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C75083">
      <w:pPr>
        <w:pStyle w:val="3"/>
        <w:rPr>
          <w:rFonts w:ascii="仿宋" w:hAnsi="仿宋" w:eastAsia="仿宋" w:cs="仿宋"/>
        </w:rPr>
      </w:pPr>
    </w:p>
    <w:p w14:paraId="25A6D4F8">
      <w:pPr>
        <w:pStyle w:val="5"/>
        <w:rPr>
          <w:rFonts w:ascii="仿宋" w:hAnsi="仿宋" w:eastAsia="仿宋" w:cs="仿宋"/>
        </w:rPr>
      </w:pPr>
    </w:p>
    <w:p w14:paraId="298CD8B3">
      <w:pPr>
        <w:jc w:val="center"/>
        <w:rPr>
          <w:rFonts w:hint="eastAsia" w:ascii="仿宋" w:hAnsi="仿宋" w:eastAsia="仿宋" w:cs="仿宋"/>
          <w:b/>
          <w:kern w:val="0"/>
          <w:sz w:val="72"/>
          <w:szCs w:val="72"/>
        </w:rPr>
      </w:pPr>
      <w:r>
        <w:rPr>
          <w:rFonts w:hint="eastAsia" w:ascii="仿宋" w:hAnsi="仿宋" w:eastAsia="仿宋" w:cs="仿宋"/>
          <w:b/>
          <w:kern w:val="0"/>
          <w:sz w:val="72"/>
          <w:szCs w:val="72"/>
        </w:rPr>
        <w:t>政府采购合同</w:t>
      </w:r>
    </w:p>
    <w:p w14:paraId="02FA43B6">
      <w:pPr>
        <w:pStyle w:val="7"/>
        <w:jc w:val="center"/>
        <w:rPr>
          <w:rFonts w:hint="default" w:eastAsia="仿宋"/>
          <w:b/>
          <w:bCs w:val="0"/>
          <w:sz w:val="2"/>
          <w:szCs w:val="6"/>
          <w:lang w:val="en-US" w:eastAsia="zh-CN"/>
        </w:rPr>
      </w:pPr>
      <w:r>
        <w:rPr>
          <w:rFonts w:hint="eastAsia" w:ascii="仿宋" w:hAnsi="仿宋" w:eastAsia="仿宋" w:cs="仿宋"/>
          <w:b/>
          <w:bCs w:val="0"/>
          <w:kern w:val="0"/>
          <w:sz w:val="22"/>
          <w:szCs w:val="22"/>
          <w:lang w:val="en-US" w:eastAsia="zh-CN"/>
        </w:rPr>
        <w:t>本合同仅供参考，具体以双方签订合同为准</w:t>
      </w:r>
    </w:p>
    <w:p w14:paraId="6333531D">
      <w:pPr>
        <w:pStyle w:val="5"/>
      </w:pPr>
      <w:r>
        <w:rPr>
          <w:rFonts w:hint="eastAsia" w:ascii="宋体" w:hAnsi="宋体" w:cs="宋体"/>
          <w:b/>
          <w:sz w:val="32"/>
          <w:szCs w:val="32"/>
          <w:highlight w:val="none"/>
          <w:shd w:val="clear" w:color="auto" w:fill="FFFFFF"/>
          <w:lang w:val="en-US" w:eastAsia="zh-CN"/>
        </w:rPr>
        <w:t xml:space="preserve"> </w:t>
      </w:r>
    </w:p>
    <w:p w14:paraId="5F267DDC">
      <w:pPr>
        <w:pStyle w:val="5"/>
        <w:rPr>
          <w:rFonts w:ascii="仿宋" w:hAnsi="仿宋" w:eastAsia="仿宋" w:cs="仿宋"/>
        </w:rPr>
      </w:pPr>
    </w:p>
    <w:p w14:paraId="5D39C998">
      <w:pPr>
        <w:jc w:val="center"/>
        <w:rPr>
          <w:rFonts w:ascii="仿宋" w:hAnsi="仿宋" w:eastAsia="仿宋" w:cs="仿宋"/>
          <w:b/>
          <w:sz w:val="48"/>
          <w:szCs w:val="28"/>
        </w:rPr>
      </w:pPr>
    </w:p>
    <w:p w14:paraId="44994D5F">
      <w:pPr>
        <w:pStyle w:val="5"/>
      </w:pPr>
    </w:p>
    <w:p w14:paraId="4526992E"/>
    <w:p w14:paraId="5F4A3515">
      <w:pPr>
        <w:spacing w:line="360" w:lineRule="auto"/>
        <w:ind w:firstLine="1928" w:firstLineChars="600"/>
        <w:jc w:val="left"/>
        <w:rPr>
          <w:rFonts w:ascii="仿宋" w:hAnsi="仿宋" w:eastAsia="仿宋" w:cs="仿宋"/>
          <w:b/>
          <w:kern w:val="0"/>
          <w:sz w:val="32"/>
          <w:szCs w:val="32"/>
        </w:rPr>
      </w:pPr>
    </w:p>
    <w:p w14:paraId="51C94582">
      <w:pPr>
        <w:rPr>
          <w:rFonts w:ascii="仿宋" w:hAnsi="仿宋" w:eastAsia="仿宋" w:cs="仿宋"/>
        </w:rPr>
      </w:pPr>
    </w:p>
    <w:p w14:paraId="66593849">
      <w:pPr>
        <w:rPr>
          <w:rFonts w:ascii="仿宋" w:hAnsi="仿宋" w:eastAsia="仿宋" w:cs="仿宋"/>
        </w:rPr>
      </w:pPr>
    </w:p>
    <w:p w14:paraId="04997A9C">
      <w:pPr>
        <w:pStyle w:val="5"/>
        <w:rPr>
          <w:rFonts w:ascii="仿宋" w:hAnsi="仿宋" w:eastAsia="仿宋" w:cs="仿宋"/>
        </w:rPr>
      </w:pPr>
    </w:p>
    <w:p w14:paraId="2D5D5343">
      <w:pPr>
        <w:pStyle w:val="5"/>
        <w:rPr>
          <w:rFonts w:ascii="仿宋" w:hAnsi="仿宋" w:eastAsia="仿宋" w:cs="仿宋"/>
        </w:rPr>
      </w:pPr>
    </w:p>
    <w:p w14:paraId="0BBF7BB0">
      <w:pPr>
        <w:pStyle w:val="5"/>
        <w:rPr>
          <w:rFonts w:ascii="仿宋" w:hAnsi="仿宋" w:eastAsia="仿宋" w:cs="仿宋"/>
        </w:rPr>
      </w:pPr>
    </w:p>
    <w:p w14:paraId="5C60CAA7">
      <w:pPr>
        <w:pStyle w:val="8"/>
        <w:ind w:firstLine="0" w:firstLineChars="0"/>
        <w:rPr>
          <w:rFonts w:ascii="仿宋" w:hAnsi="仿宋" w:eastAsia="仿宋" w:cs="仿宋"/>
        </w:rPr>
      </w:pPr>
    </w:p>
    <w:p w14:paraId="4020A601">
      <w:pPr>
        <w:rPr>
          <w:rFonts w:ascii="仿宋" w:hAnsi="仿宋" w:eastAsia="仿宋" w:cs="仿宋"/>
        </w:rPr>
      </w:pPr>
    </w:p>
    <w:p w14:paraId="5FF8A4E7">
      <w:pPr>
        <w:spacing w:line="360" w:lineRule="auto"/>
        <w:jc w:val="left"/>
        <w:rPr>
          <w:rFonts w:ascii="仿宋" w:hAnsi="仿宋" w:eastAsia="仿宋" w:cs="仿宋"/>
        </w:rPr>
      </w:pPr>
    </w:p>
    <w:p w14:paraId="203A72E9">
      <w:pPr>
        <w:pStyle w:val="3"/>
        <w:rPr>
          <w:rFonts w:ascii="仿宋" w:hAnsi="仿宋" w:eastAsia="仿宋" w:cs="仿宋"/>
        </w:rPr>
      </w:pPr>
    </w:p>
    <w:p w14:paraId="6AA3B386">
      <w:pPr>
        <w:spacing w:line="360" w:lineRule="auto"/>
        <w:rPr>
          <w:rFonts w:hint="eastAsia" w:ascii="仿宋" w:hAnsi="仿宋" w:eastAsia="仿宋" w:cs="仿宋"/>
          <w:b/>
          <w:kern w:val="0"/>
          <w:sz w:val="32"/>
          <w:szCs w:val="32"/>
        </w:rPr>
      </w:pPr>
    </w:p>
    <w:p w14:paraId="519616B1">
      <w:pPr>
        <w:spacing w:line="360" w:lineRule="auto"/>
        <w:ind w:firstLine="1928" w:firstLineChars="600"/>
        <w:jc w:val="both"/>
        <w:rPr>
          <w:rFonts w:hint="default" w:ascii="仿宋" w:hAnsi="仿宋" w:eastAsia="仿宋" w:cs="仿宋"/>
          <w:b/>
          <w:kern w:val="0"/>
          <w:sz w:val="32"/>
          <w:szCs w:val="32"/>
          <w:lang w:val="en-US"/>
        </w:rPr>
      </w:pPr>
      <w:r>
        <w:rPr>
          <w:rFonts w:hint="eastAsia" w:ascii="仿宋" w:hAnsi="仿宋" w:eastAsia="仿宋" w:cs="仿宋"/>
          <w:b/>
          <w:kern w:val="0"/>
          <w:sz w:val="32"/>
          <w:szCs w:val="32"/>
        </w:rPr>
        <w:t>采购人：</w:t>
      </w:r>
      <w:r>
        <w:rPr>
          <w:rFonts w:hint="eastAsia" w:ascii="仿宋" w:hAnsi="仿宋" w:eastAsia="仿宋" w:cs="仿宋"/>
          <w:b/>
          <w:kern w:val="0"/>
          <w:sz w:val="32"/>
          <w:szCs w:val="32"/>
          <w:u w:val="single"/>
          <w:lang w:val="en-US" w:eastAsia="zh-CN"/>
        </w:rPr>
        <w:t xml:space="preserve"> 白水县公安局交通管理大队 </w:t>
      </w:r>
    </w:p>
    <w:p w14:paraId="0B7D7D34">
      <w:pPr>
        <w:spacing w:line="360" w:lineRule="auto"/>
        <w:ind w:firstLine="1928" w:firstLineChars="600"/>
        <w:rPr>
          <w:rFonts w:hint="default" w:ascii="仿宋" w:hAnsi="仿宋" w:eastAsia="仿宋" w:cs="仿宋"/>
          <w:b/>
          <w:kern w:val="0"/>
          <w:sz w:val="32"/>
          <w:szCs w:val="32"/>
          <w:lang w:val="en-US"/>
        </w:rPr>
      </w:pPr>
      <w:r>
        <w:rPr>
          <w:rFonts w:hint="eastAsia" w:ascii="仿宋" w:hAnsi="仿宋" w:eastAsia="仿宋" w:cs="仿宋"/>
          <w:b/>
          <w:kern w:val="0"/>
          <w:sz w:val="32"/>
          <w:szCs w:val="32"/>
        </w:rPr>
        <w:t>供应商：</w:t>
      </w:r>
      <w:r>
        <w:rPr>
          <w:rFonts w:hint="eastAsia" w:ascii="仿宋" w:hAnsi="仿宋" w:eastAsia="仿宋" w:cs="仿宋"/>
          <w:b/>
          <w:kern w:val="0"/>
          <w:sz w:val="32"/>
          <w:szCs w:val="32"/>
          <w:u w:val="single"/>
          <w:lang w:val="en-US" w:eastAsia="zh-CN"/>
        </w:rPr>
        <w:t xml:space="preserve">                          </w:t>
      </w:r>
    </w:p>
    <w:p w14:paraId="6E8803D5">
      <w:pPr>
        <w:spacing w:line="360" w:lineRule="auto"/>
        <w:ind w:firstLine="1928" w:firstLineChars="600"/>
        <w:rPr>
          <w:rFonts w:hint="default" w:ascii="仿宋" w:hAnsi="仿宋" w:eastAsia="仿宋" w:cs="仿宋"/>
          <w:sz w:val="24"/>
          <w:szCs w:val="24"/>
          <w:u w:val="single"/>
          <w:lang w:val="en-US" w:eastAsia="zh-CN"/>
        </w:rPr>
      </w:pPr>
      <w:r>
        <w:rPr>
          <w:rFonts w:hint="eastAsia" w:ascii="仿宋" w:hAnsi="仿宋" w:eastAsia="仿宋" w:cs="仿宋"/>
          <w:b/>
          <w:kern w:val="0"/>
          <w:sz w:val="32"/>
          <w:szCs w:val="32"/>
        </w:rPr>
        <w:t>时  间：</w:t>
      </w:r>
      <w:r>
        <w:rPr>
          <w:rFonts w:hint="eastAsia" w:ascii="仿宋" w:hAnsi="仿宋" w:eastAsia="仿宋" w:cs="仿宋"/>
          <w:b/>
          <w:kern w:val="0"/>
          <w:sz w:val="32"/>
          <w:szCs w:val="32"/>
          <w:u w:val="single"/>
          <w:lang w:val="en-US" w:eastAsia="zh-CN"/>
        </w:rPr>
        <w:t xml:space="preserve">                            </w:t>
      </w:r>
    </w:p>
    <w:p w14:paraId="4E3F1569">
      <w:pPr>
        <w:tabs>
          <w:tab w:val="center" w:pos="4153"/>
        </w:tabs>
        <w:spacing w:line="360" w:lineRule="auto"/>
        <w:jc w:val="left"/>
        <w:rPr>
          <w:rFonts w:ascii="仿宋" w:hAnsi="仿宋" w:eastAsia="仿宋" w:cs="仿宋"/>
          <w:b/>
          <w:bCs/>
          <w:sz w:val="48"/>
          <w:szCs w:val="52"/>
        </w:rPr>
        <w:sectPr>
          <w:headerReference r:id="rId5" w:type="first"/>
          <w:headerReference r:id="rId3" w:type="default"/>
          <w:footerReference r:id="rId6" w:type="default"/>
          <w:headerReference r:id="rId4" w:type="even"/>
          <w:pgSz w:w="11906" w:h="16838"/>
          <w:pgMar w:top="1440" w:right="1219" w:bottom="1440" w:left="1219" w:header="851" w:footer="992" w:gutter="0"/>
          <w:pgNumType w:start="1"/>
          <w:cols w:space="720" w:num="1"/>
          <w:titlePg/>
          <w:docGrid w:linePitch="312" w:charSpace="0"/>
        </w:sectPr>
      </w:pPr>
    </w:p>
    <w:p w14:paraId="39D113BC">
      <w:pPr>
        <w:keepNext w:val="0"/>
        <w:keepLines w:val="0"/>
        <w:pageBreakBefore w:val="0"/>
        <w:kinsoku/>
        <w:wordWrap w:val="0"/>
        <w:overflowPunct/>
        <w:topLinePunct/>
        <w:autoSpaceDE/>
        <w:autoSpaceDN/>
        <w:bidi w:val="0"/>
        <w:adjustRightInd/>
        <w:snapToGrid w:val="0"/>
        <w:spacing w:line="408" w:lineRule="auto"/>
        <w:ind w:firstLine="442" w:firstLineChars="200"/>
        <w:contextualSpacing/>
        <w:jc w:val="left"/>
        <w:textAlignment w:val="auto"/>
        <w:rPr>
          <w:rFonts w:hint="default" w:ascii="仿宋" w:hAnsi="仿宋" w:eastAsia="仿宋" w:cs="仿宋"/>
          <w:b/>
          <w:color w:val="000000" w:themeColor="text1"/>
          <w:sz w:val="22"/>
          <w:highlight w:val="none"/>
          <w:u w:val="single"/>
          <w:lang w:val="en-US" w:eastAsia="zh-CN"/>
          <w14:textFill>
            <w14:solidFill>
              <w14:schemeClr w14:val="tx1"/>
            </w14:solidFill>
          </w14:textFill>
        </w:rPr>
      </w:pPr>
      <w:r>
        <w:rPr>
          <w:rFonts w:hint="eastAsia" w:ascii="仿宋" w:hAnsi="仿宋" w:eastAsia="仿宋" w:cs="仿宋"/>
          <w:b/>
          <w:color w:val="000000" w:themeColor="text1"/>
          <w:sz w:val="22"/>
          <w:highlight w:val="none"/>
          <w:lang w:val="zh-CN"/>
          <w14:textFill>
            <w14:solidFill>
              <w14:schemeClr w14:val="tx1"/>
            </w14:solidFill>
          </w14:textFill>
        </w:rPr>
        <w:t>甲</w:t>
      </w:r>
      <w:r>
        <w:rPr>
          <w:rFonts w:hint="eastAsia" w:ascii="仿宋" w:hAnsi="仿宋" w:eastAsia="仿宋" w:cs="仿宋"/>
          <w:b/>
          <w:color w:val="000000" w:themeColor="text1"/>
          <w:sz w:val="22"/>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2"/>
          <w:highlight w:val="none"/>
          <w:lang w:val="zh-CN"/>
          <w14:textFill>
            <w14:solidFill>
              <w14:schemeClr w14:val="tx1"/>
            </w14:solidFill>
          </w14:textFill>
        </w:rPr>
        <w:t>方：</w:t>
      </w:r>
      <w:r>
        <w:rPr>
          <w:rFonts w:hint="eastAsia" w:ascii="仿宋" w:hAnsi="仿宋" w:eastAsia="仿宋" w:cs="仿宋"/>
          <w:b/>
          <w:color w:val="000000" w:themeColor="text1"/>
          <w:sz w:val="22"/>
          <w:highlight w:val="none"/>
          <w:u w:val="single"/>
          <w:lang w:val="en-US" w:eastAsia="zh-CN"/>
          <w14:textFill>
            <w14:solidFill>
              <w14:schemeClr w14:val="tx1"/>
            </w14:solidFill>
          </w14:textFill>
        </w:rPr>
        <w:t xml:space="preserve">  白水县公安局交通管理大队  </w:t>
      </w:r>
    </w:p>
    <w:p w14:paraId="2C114E50">
      <w:pPr>
        <w:keepNext w:val="0"/>
        <w:keepLines w:val="0"/>
        <w:pageBreakBefore w:val="0"/>
        <w:kinsoku/>
        <w:wordWrap w:val="0"/>
        <w:overflowPunct/>
        <w:topLinePunct/>
        <w:autoSpaceDE/>
        <w:autoSpaceDN/>
        <w:bidi w:val="0"/>
        <w:adjustRightInd/>
        <w:snapToGrid w:val="0"/>
        <w:spacing w:line="408" w:lineRule="auto"/>
        <w:ind w:firstLine="442" w:firstLineChars="200"/>
        <w:contextualSpacing/>
        <w:jc w:val="left"/>
        <w:textAlignment w:val="auto"/>
        <w:rPr>
          <w:rFonts w:hint="default" w:ascii="仿宋" w:hAnsi="仿宋" w:eastAsia="仿宋" w:cs="仿宋"/>
          <w:b/>
          <w:kern w:val="0"/>
          <w:sz w:val="32"/>
          <w:szCs w:val="32"/>
          <w:u w:val="single"/>
          <w:lang w:val="en-US" w:eastAsia="zh-CN"/>
        </w:rPr>
      </w:pPr>
      <w:r>
        <w:rPr>
          <w:rFonts w:hint="eastAsia" w:ascii="仿宋" w:hAnsi="仿宋" w:eastAsia="仿宋" w:cs="仿宋"/>
          <w:b/>
          <w:color w:val="000000" w:themeColor="text1"/>
          <w:sz w:val="22"/>
          <w:highlight w:val="none"/>
          <w:lang w:val="zh-CN" w:eastAsia="zh-CN"/>
          <w14:textFill>
            <w14:solidFill>
              <w14:schemeClr w14:val="tx1"/>
            </w14:solidFill>
          </w14:textFill>
        </w:rPr>
        <w:t>乙</w:t>
      </w:r>
      <w:r>
        <w:rPr>
          <w:rFonts w:hint="eastAsia" w:ascii="仿宋" w:hAnsi="仿宋" w:eastAsia="仿宋" w:cs="仿宋"/>
          <w:b/>
          <w:color w:val="000000" w:themeColor="text1"/>
          <w:sz w:val="22"/>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2"/>
          <w:highlight w:val="none"/>
          <w:lang w:val="zh-CN" w:eastAsia="zh-CN"/>
          <w14:textFill>
            <w14:solidFill>
              <w14:schemeClr w14:val="tx1"/>
            </w14:solidFill>
          </w14:textFill>
        </w:rPr>
        <w:t>方</w:t>
      </w:r>
      <w:r>
        <w:rPr>
          <w:rFonts w:hint="eastAsia" w:ascii="仿宋" w:hAnsi="仿宋" w:eastAsia="仿宋" w:cs="仿宋"/>
          <w:b/>
          <w:color w:val="000000" w:themeColor="text1"/>
          <w:sz w:val="22"/>
          <w:highlight w:val="none"/>
          <w:lang w:val="zh-CN"/>
          <w14:textFill>
            <w14:solidFill>
              <w14:schemeClr w14:val="tx1"/>
            </w14:solidFill>
          </w14:textFill>
        </w:rPr>
        <w:t>：</w:t>
      </w:r>
      <w:r>
        <w:rPr>
          <w:rFonts w:hint="eastAsia" w:ascii="仿宋" w:hAnsi="仿宋" w:eastAsia="仿宋" w:cs="仿宋"/>
          <w:b/>
          <w:color w:val="000000" w:themeColor="text1"/>
          <w:sz w:val="22"/>
          <w:highlight w:val="none"/>
          <w:u w:val="single"/>
          <w:lang w:val="en-US" w:eastAsia="zh-CN"/>
          <w14:textFill>
            <w14:solidFill>
              <w14:schemeClr w14:val="tx1"/>
            </w14:solidFill>
          </w14:textFill>
        </w:rPr>
        <w:t xml:space="preserve">                            </w:t>
      </w:r>
    </w:p>
    <w:p w14:paraId="003180DD">
      <w:pPr>
        <w:pStyle w:val="9"/>
        <w:shd w:val="clear" w:color="auto" w:fill="FFFFFF"/>
        <w:spacing w:before="0" w:beforeAutospacing="0" w:after="0" w:afterAutospacing="0" w:line="500" w:lineRule="exact"/>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kern w:val="2"/>
          <w:sz w:val="22"/>
          <w:szCs w:val="22"/>
          <w:highlight w:val="none"/>
          <w:u w:val="single"/>
          <w:lang w:val="en-US" w:eastAsia="zh-CN" w:bidi="ar-SA"/>
          <w14:textFill>
            <w14:solidFill>
              <w14:schemeClr w14:val="tx1"/>
            </w14:solidFill>
          </w14:textFill>
        </w:rPr>
        <w:t>车辆管理所档案室升级改造装备购置建设项目</w:t>
      </w:r>
      <w:r>
        <w:rPr>
          <w:rFonts w:hint="eastAsia" w:ascii="仿宋" w:hAnsi="仿宋" w:eastAsia="仿宋" w:cs="仿宋"/>
          <w:color w:val="000000" w:themeColor="text1"/>
          <w:sz w:val="22"/>
          <w:highlight w:val="none"/>
          <w14:textFill>
            <w14:solidFill>
              <w14:schemeClr w14:val="tx1"/>
            </w14:solidFill>
          </w14:textFill>
        </w:rPr>
        <w:t>采用公开招标采购方式进行采购，经评审委员会评审推荐，</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r>
        <w:rPr>
          <w:rFonts w:hint="eastAsia" w:ascii="仿宋" w:hAnsi="仿宋" w:eastAsia="仿宋" w:cs="仿宋"/>
          <w:iCs/>
          <w:color w:val="000000" w:themeColor="text1"/>
          <w:sz w:val="22"/>
          <w:highlight w:val="none"/>
          <w14:textFill>
            <w14:solidFill>
              <w14:schemeClr w14:val="tx1"/>
            </w14:solidFill>
          </w14:textFill>
        </w:rPr>
        <w:t>为</w:t>
      </w:r>
      <w:r>
        <w:rPr>
          <w:rFonts w:hint="eastAsia" w:ascii="仿宋" w:hAnsi="仿宋" w:eastAsia="仿宋" w:cs="仿宋"/>
          <w:color w:val="000000" w:themeColor="text1"/>
          <w:sz w:val="22"/>
          <w:highlight w:val="none"/>
          <w14:textFill>
            <w14:solidFill>
              <w14:schemeClr w14:val="tx1"/>
            </w14:solidFill>
          </w14:textFill>
        </w:rPr>
        <w:t>本项目</w:t>
      </w:r>
      <w:r>
        <w:rPr>
          <w:rFonts w:hint="eastAsia" w:ascii="仿宋" w:hAnsi="仿宋" w:eastAsia="仿宋" w:cs="仿宋"/>
          <w:color w:val="000000" w:themeColor="text1"/>
          <w:sz w:val="22"/>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2"/>
          <w:highlight w:val="none"/>
          <w14:textFill>
            <w14:solidFill>
              <w14:schemeClr w14:val="tx1"/>
            </w14:solidFill>
          </w14:textFill>
        </w:rPr>
        <w:t>的中标人。</w:t>
      </w:r>
    </w:p>
    <w:p w14:paraId="05911301">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依据《中华人民共和国民法典》和《中华人民共和国政府采购法》，经双方协商按下述条款和条件签署本合同。</w:t>
      </w:r>
    </w:p>
    <w:p w14:paraId="4B92E3F8">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甲方通过公开招标方式，接受了乙方以总金额</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元</w:t>
      </w:r>
      <w:r>
        <w:rPr>
          <w:rFonts w:hint="eastAsia" w:ascii="仿宋" w:hAnsi="仿宋" w:eastAsia="仿宋" w:cs="仿宋"/>
          <w:color w:val="000000" w:themeColor="text1"/>
          <w:sz w:val="22"/>
          <w:highlight w:val="none"/>
          <w14:textFill>
            <w14:solidFill>
              <w14:schemeClr w14:val="tx1"/>
            </w14:solidFill>
          </w14:textFill>
        </w:rPr>
        <w:t>（以下简称“合同价”)提供合同条款附件所述货物和服务。</w:t>
      </w:r>
    </w:p>
    <w:tbl>
      <w:tblPr>
        <w:tblStyle w:val="11"/>
        <w:tblW w:w="49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2077"/>
        <w:gridCol w:w="2093"/>
        <w:gridCol w:w="1450"/>
        <w:gridCol w:w="1969"/>
      </w:tblGrid>
      <w:tr w14:paraId="43EC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exact"/>
        </w:trPr>
        <w:tc>
          <w:tcPr>
            <w:tcW w:w="534" w:type="pct"/>
            <w:vAlign w:val="center"/>
          </w:tcPr>
          <w:p w14:paraId="76A56974">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序号</w:t>
            </w:r>
          </w:p>
        </w:tc>
        <w:tc>
          <w:tcPr>
            <w:tcW w:w="1222" w:type="pct"/>
            <w:vAlign w:val="center"/>
          </w:tcPr>
          <w:p w14:paraId="56525093">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货物名称</w:t>
            </w:r>
          </w:p>
        </w:tc>
        <w:tc>
          <w:tcPr>
            <w:tcW w:w="1231" w:type="pct"/>
            <w:vAlign w:val="center"/>
          </w:tcPr>
          <w:p w14:paraId="68B90869">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单价</w:t>
            </w:r>
          </w:p>
        </w:tc>
        <w:tc>
          <w:tcPr>
            <w:tcW w:w="853" w:type="pct"/>
            <w:vAlign w:val="center"/>
          </w:tcPr>
          <w:p w14:paraId="6D3413E1">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数量</w:t>
            </w:r>
          </w:p>
        </w:tc>
        <w:tc>
          <w:tcPr>
            <w:tcW w:w="1158" w:type="pct"/>
            <w:vAlign w:val="center"/>
          </w:tcPr>
          <w:p w14:paraId="554C97FB">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金额</w:t>
            </w:r>
          </w:p>
        </w:tc>
      </w:tr>
      <w:tr w14:paraId="7C77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1D121D03">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1</w:t>
            </w:r>
          </w:p>
        </w:tc>
        <w:tc>
          <w:tcPr>
            <w:tcW w:w="1222" w:type="pct"/>
            <w:vAlign w:val="center"/>
          </w:tcPr>
          <w:p w14:paraId="4B3144DA">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3B32280F">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43CC3A72">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52736FAB">
            <w:pPr>
              <w:jc w:val="center"/>
              <w:rPr>
                <w:rFonts w:hint="default" w:ascii="仿宋" w:hAnsi="仿宋" w:eastAsia="仿宋" w:cs="仿宋"/>
                <w:color w:val="000000" w:themeColor="text1"/>
                <w:sz w:val="22"/>
                <w:lang w:val="en-US" w:eastAsia="zh-CN"/>
                <w14:textFill>
                  <w14:solidFill>
                    <w14:schemeClr w14:val="tx1"/>
                  </w14:solidFill>
                </w14:textFill>
              </w:rPr>
            </w:pPr>
          </w:p>
        </w:tc>
      </w:tr>
      <w:tr w14:paraId="2FF31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66B1DC77">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2</w:t>
            </w:r>
          </w:p>
        </w:tc>
        <w:tc>
          <w:tcPr>
            <w:tcW w:w="1222" w:type="pct"/>
            <w:vAlign w:val="center"/>
          </w:tcPr>
          <w:p w14:paraId="6C5F7C9D">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063DC4C5">
            <w:pPr>
              <w:jc w:val="center"/>
              <w:rPr>
                <w:rFonts w:hint="eastAsia"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181A917B">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37DEB39D">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p>
        </w:tc>
      </w:tr>
      <w:tr w14:paraId="7B54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36C8ADF1">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3</w:t>
            </w:r>
          </w:p>
        </w:tc>
        <w:tc>
          <w:tcPr>
            <w:tcW w:w="1222" w:type="pct"/>
            <w:vAlign w:val="center"/>
          </w:tcPr>
          <w:p w14:paraId="0DDE6E27">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50860E68">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759F3028">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354C6C12">
            <w:pPr>
              <w:keepNext w:val="0"/>
              <w:keepLines w:val="0"/>
              <w:widowControl/>
              <w:suppressLineNumbers w:val="0"/>
              <w:jc w:val="center"/>
              <w:textAlignment w:val="center"/>
              <w:rPr>
                <w:rFonts w:hint="default" w:ascii="仿宋" w:hAnsi="仿宋" w:eastAsia="仿宋" w:cs="仿宋"/>
                <w:color w:val="000000" w:themeColor="text1"/>
                <w:sz w:val="22"/>
                <w:lang w:val="en-US" w:eastAsia="zh-CN"/>
                <w14:textFill>
                  <w14:solidFill>
                    <w14:schemeClr w14:val="tx1"/>
                  </w14:solidFill>
                </w14:textFill>
              </w:rPr>
            </w:pPr>
          </w:p>
        </w:tc>
      </w:tr>
      <w:tr w14:paraId="4786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030B0A71">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4</w:t>
            </w:r>
          </w:p>
        </w:tc>
        <w:tc>
          <w:tcPr>
            <w:tcW w:w="1222" w:type="pct"/>
            <w:vAlign w:val="center"/>
          </w:tcPr>
          <w:p w14:paraId="7CB85E48">
            <w:pPr>
              <w:jc w:val="both"/>
              <w:rPr>
                <w:rFonts w:hint="eastAsia" w:ascii="仿宋" w:hAnsi="仿宋" w:eastAsia="仿宋" w:cs="仿宋"/>
                <w:color w:val="000000" w:themeColor="text1"/>
                <w:sz w:val="22"/>
                <w:lang w:val="en-US" w:eastAsia="zh-CN"/>
                <w14:textFill>
                  <w14:solidFill>
                    <w14:schemeClr w14:val="tx1"/>
                  </w14:solidFill>
                </w14:textFill>
              </w:rPr>
            </w:pPr>
          </w:p>
          <w:p w14:paraId="5D88742D">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3B4C651F">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29F22C9F">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70840E23">
            <w:pPr>
              <w:keepNext w:val="0"/>
              <w:keepLines w:val="0"/>
              <w:widowControl/>
              <w:suppressLineNumbers w:val="0"/>
              <w:jc w:val="center"/>
              <w:textAlignment w:val="center"/>
              <w:rPr>
                <w:rFonts w:hint="default" w:ascii="仿宋" w:hAnsi="仿宋" w:eastAsia="仿宋" w:cs="仿宋"/>
                <w:color w:val="000000" w:themeColor="text1"/>
                <w:sz w:val="22"/>
                <w:lang w:val="en-US" w:eastAsia="zh-CN"/>
                <w14:textFill>
                  <w14:solidFill>
                    <w14:schemeClr w14:val="tx1"/>
                  </w14:solidFill>
                </w14:textFill>
              </w:rPr>
            </w:pPr>
          </w:p>
        </w:tc>
      </w:tr>
      <w:tr w14:paraId="63EE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13CA7680">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5</w:t>
            </w:r>
          </w:p>
        </w:tc>
        <w:tc>
          <w:tcPr>
            <w:tcW w:w="1222" w:type="pct"/>
            <w:vAlign w:val="center"/>
          </w:tcPr>
          <w:p w14:paraId="7FEB1E18">
            <w:pPr>
              <w:ind w:firstLine="440" w:firstLineChars="200"/>
              <w:jc w:val="both"/>
              <w:rPr>
                <w:rFonts w:hint="eastAsia" w:ascii="仿宋" w:hAnsi="仿宋" w:eastAsia="仿宋" w:cs="仿宋"/>
                <w:color w:val="000000" w:themeColor="text1"/>
                <w:sz w:val="22"/>
                <w:lang w:val="en-US" w:eastAsia="zh-CN"/>
                <w14:textFill>
                  <w14:solidFill>
                    <w14:schemeClr w14:val="tx1"/>
                  </w14:solidFill>
                </w14:textFill>
              </w:rPr>
            </w:pPr>
          </w:p>
          <w:p w14:paraId="68DF5BC4">
            <w:pPr>
              <w:jc w:val="both"/>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13E9C0CE">
            <w:pPr>
              <w:jc w:val="both"/>
              <w:rPr>
                <w:rFonts w:hint="default"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6FA2171E">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3B7C7F2F">
            <w:pPr>
              <w:keepNext w:val="0"/>
              <w:keepLines w:val="0"/>
              <w:widowControl/>
              <w:suppressLineNumbers w:val="0"/>
              <w:jc w:val="center"/>
              <w:textAlignment w:val="center"/>
              <w:rPr>
                <w:rFonts w:hint="default" w:ascii="仿宋" w:hAnsi="仿宋" w:eastAsia="仿宋" w:cs="仿宋"/>
                <w:color w:val="000000" w:themeColor="text1"/>
                <w:sz w:val="22"/>
                <w:lang w:val="en-US" w:eastAsia="zh-CN"/>
                <w14:textFill>
                  <w14:solidFill>
                    <w14:schemeClr w14:val="tx1"/>
                  </w14:solidFill>
                </w14:textFill>
              </w:rPr>
            </w:pPr>
          </w:p>
        </w:tc>
      </w:tr>
      <w:tr w14:paraId="19E2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534" w:type="pct"/>
            <w:vAlign w:val="center"/>
          </w:tcPr>
          <w:p w14:paraId="37398317">
            <w:pPr>
              <w:jc w:val="center"/>
              <w:rPr>
                <w:rFonts w:hint="default"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6</w:t>
            </w:r>
          </w:p>
        </w:tc>
        <w:tc>
          <w:tcPr>
            <w:tcW w:w="1222" w:type="pct"/>
            <w:vAlign w:val="center"/>
          </w:tcPr>
          <w:p w14:paraId="4631D76C">
            <w:pPr>
              <w:keepNext w:val="0"/>
              <w:keepLines w:val="0"/>
              <w:widowControl/>
              <w:suppressLineNumbers w:val="0"/>
              <w:jc w:val="left"/>
              <w:rPr>
                <w:rFonts w:hint="eastAsia" w:ascii="仿宋" w:hAnsi="仿宋" w:eastAsia="仿宋" w:cs="仿宋"/>
                <w:color w:val="000000" w:themeColor="text1"/>
                <w:sz w:val="22"/>
                <w:lang w:val="en-US" w:eastAsia="zh-CN"/>
                <w14:textFill>
                  <w14:solidFill>
                    <w14:schemeClr w14:val="tx1"/>
                  </w14:solidFill>
                </w14:textFill>
              </w:rPr>
            </w:pPr>
          </w:p>
          <w:p w14:paraId="7A352339">
            <w:pPr>
              <w:jc w:val="center"/>
              <w:rPr>
                <w:rFonts w:hint="eastAsia" w:ascii="仿宋" w:hAnsi="仿宋" w:eastAsia="仿宋" w:cs="仿宋"/>
                <w:color w:val="000000" w:themeColor="text1"/>
                <w:sz w:val="22"/>
                <w:lang w:val="en-US" w:eastAsia="zh-CN"/>
                <w14:textFill>
                  <w14:solidFill>
                    <w14:schemeClr w14:val="tx1"/>
                  </w14:solidFill>
                </w14:textFill>
              </w:rPr>
            </w:pPr>
            <w:r>
              <w:rPr>
                <w:rFonts w:hint="eastAsia" w:ascii="仿宋" w:hAnsi="仿宋" w:eastAsia="仿宋" w:cs="仿宋"/>
                <w:color w:val="000000" w:themeColor="text1"/>
                <w:sz w:val="22"/>
                <w:lang w:val="en-US" w:eastAsia="zh-CN"/>
                <w14:textFill>
                  <w14:solidFill>
                    <w14:schemeClr w14:val="tx1"/>
                  </w14:solidFill>
                </w14:textFill>
              </w:rPr>
              <w:t xml:space="preserve"> </w:t>
            </w:r>
          </w:p>
        </w:tc>
        <w:tc>
          <w:tcPr>
            <w:tcW w:w="1231" w:type="pct"/>
            <w:vAlign w:val="center"/>
          </w:tcPr>
          <w:p w14:paraId="3E4433FA">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853" w:type="pct"/>
            <w:vAlign w:val="center"/>
          </w:tcPr>
          <w:p w14:paraId="4D908E7A">
            <w:pPr>
              <w:jc w:val="center"/>
              <w:rPr>
                <w:rFonts w:hint="default" w:ascii="仿宋" w:hAnsi="仿宋" w:eastAsia="仿宋" w:cs="仿宋"/>
                <w:color w:val="000000" w:themeColor="text1"/>
                <w:sz w:val="22"/>
                <w:lang w:val="en-US" w:eastAsia="zh-CN"/>
                <w14:textFill>
                  <w14:solidFill>
                    <w14:schemeClr w14:val="tx1"/>
                  </w14:solidFill>
                </w14:textFill>
              </w:rPr>
            </w:pPr>
          </w:p>
        </w:tc>
        <w:tc>
          <w:tcPr>
            <w:tcW w:w="1158" w:type="pct"/>
            <w:shd w:val="clear" w:color="auto" w:fill="auto"/>
            <w:vAlign w:val="center"/>
          </w:tcPr>
          <w:p w14:paraId="5C022D7F">
            <w:pPr>
              <w:keepNext w:val="0"/>
              <w:keepLines w:val="0"/>
              <w:widowControl/>
              <w:suppressLineNumbers w:val="0"/>
              <w:jc w:val="center"/>
              <w:textAlignment w:val="center"/>
              <w:rPr>
                <w:rFonts w:hint="default" w:ascii="仿宋" w:hAnsi="仿宋" w:eastAsia="仿宋" w:cs="仿宋"/>
                <w:color w:val="000000" w:themeColor="text1"/>
                <w:sz w:val="22"/>
                <w:lang w:val="en-US" w:eastAsia="zh-CN"/>
                <w14:textFill>
                  <w14:solidFill>
                    <w14:schemeClr w14:val="tx1"/>
                  </w14:solidFill>
                </w14:textFill>
              </w:rPr>
            </w:pPr>
          </w:p>
        </w:tc>
      </w:tr>
    </w:tbl>
    <w:p w14:paraId="11D7AC84">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本合同在此声明如下：</w:t>
      </w:r>
    </w:p>
    <w:p w14:paraId="17E38DA1">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1.本合同中的词语和术语的含义与合同条款中定义的相同。</w:t>
      </w:r>
    </w:p>
    <w:p w14:paraId="1DCA0BB2">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2.下述文件是本合同的一部分，并与本合同一起阅读和解释：</w:t>
      </w:r>
    </w:p>
    <w:p w14:paraId="0B1F90A5">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2-1合同通用条款</w:t>
      </w:r>
    </w:p>
    <w:p w14:paraId="15A1138E">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2-2合同条款附件（如有）</w:t>
      </w:r>
    </w:p>
    <w:p w14:paraId="0AB2AAE6">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2-3中标通知书</w:t>
      </w:r>
    </w:p>
    <w:p w14:paraId="08CE8199">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2-4招标文件</w:t>
      </w:r>
    </w:p>
    <w:p w14:paraId="26E32F8F">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2-5投标文件</w:t>
      </w:r>
    </w:p>
    <w:p w14:paraId="57817B68">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2-6甲乙双方协商的其他条款</w:t>
      </w:r>
    </w:p>
    <w:p w14:paraId="7AC2FA82">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3.考虑到甲方将按照本合同向乙方支付货款，乙方在此保证全部按照合同的规定向甲方提供货物和服务，并修补缺陷。</w:t>
      </w:r>
    </w:p>
    <w:p w14:paraId="08683280">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4.考虑到乙方提供的货物和服务并修补缺陷，甲方在此保证按照合同规定的时间和方式向乙方支付合同价或其他按合同规定应支付的金额。</w:t>
      </w:r>
    </w:p>
    <w:p w14:paraId="79B9D3D4">
      <w:pPr>
        <w:keepNext w:val="0"/>
        <w:keepLines w:val="0"/>
        <w:pageBreakBefore w:val="0"/>
        <w:kinsoku/>
        <w:wordWrap w:val="0"/>
        <w:overflowPunct/>
        <w:topLinePunct/>
        <w:autoSpaceDE/>
        <w:autoSpaceDN/>
        <w:bidi w:val="0"/>
        <w:adjustRightInd/>
        <w:snapToGrid w:val="0"/>
        <w:spacing w:line="408" w:lineRule="auto"/>
        <w:ind w:firstLine="440" w:firstLineChars="200"/>
        <w:contextualSpacing/>
        <w:jc w:val="left"/>
        <w:textAlignment w:val="auto"/>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5.本合同一式</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陆  </w:t>
      </w:r>
      <w:r>
        <w:rPr>
          <w:rFonts w:hint="eastAsia" w:ascii="仿宋" w:hAnsi="仿宋" w:eastAsia="仿宋" w:cs="仿宋"/>
          <w:color w:val="000000" w:themeColor="text1"/>
          <w:sz w:val="22"/>
          <w:highlight w:val="none"/>
          <w14:textFill>
            <w14:solidFill>
              <w14:schemeClr w14:val="tx1"/>
            </w14:solidFill>
          </w14:textFill>
        </w:rPr>
        <w:t>份，其中，甲方</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u w:val="single"/>
          <w:lang w:eastAsia="zh-CN"/>
          <w14:textFill>
            <w14:solidFill>
              <w14:schemeClr w14:val="tx1"/>
            </w14:solidFill>
          </w14:textFill>
        </w:rPr>
        <w:t>叁</w:t>
      </w:r>
      <w:r>
        <w:rPr>
          <w:rFonts w:hint="eastAsia" w:ascii="仿宋" w:hAnsi="仿宋" w:eastAsia="仿宋" w:cs="仿宋"/>
          <w:color w:val="000000" w:themeColor="text1"/>
          <w:sz w:val="22"/>
          <w:highlight w:val="none"/>
          <w:u w:val="single"/>
          <w14:textFill>
            <w14:solidFill>
              <w14:schemeClr w14:val="tx1"/>
            </w14:solidFill>
          </w14:textFill>
        </w:rPr>
        <w:t>　</w:t>
      </w:r>
      <w:r>
        <w:rPr>
          <w:rFonts w:hint="eastAsia" w:ascii="仿宋" w:hAnsi="仿宋" w:eastAsia="仿宋" w:cs="仿宋"/>
          <w:color w:val="000000" w:themeColor="text1"/>
          <w:sz w:val="22"/>
          <w:highlight w:val="none"/>
          <w14:textFill>
            <w14:solidFill>
              <w14:schemeClr w14:val="tx1"/>
            </w14:solidFill>
          </w14:textFill>
        </w:rPr>
        <w:t>份，乙方</w:t>
      </w:r>
      <w:r>
        <w:rPr>
          <w:rFonts w:hint="eastAsia" w:ascii="仿宋" w:hAnsi="仿宋" w:eastAsia="仿宋" w:cs="仿宋"/>
          <w:color w:val="000000" w:themeColor="text1"/>
          <w:sz w:val="22"/>
          <w:highlight w:val="none"/>
          <w:u w:val="single"/>
          <w14:textFill>
            <w14:solidFill>
              <w14:schemeClr w14:val="tx1"/>
            </w14:solidFill>
          </w14:textFill>
        </w:rPr>
        <w:t xml:space="preserve"> </w:t>
      </w:r>
      <w:r>
        <w:rPr>
          <w:rFonts w:hint="eastAsia" w:ascii="仿宋" w:hAnsi="仿宋" w:eastAsia="仿宋" w:cs="仿宋"/>
          <w:color w:val="000000" w:themeColor="text1"/>
          <w:sz w:val="22"/>
          <w:highlight w:val="none"/>
          <w:u w:val="single"/>
          <w:lang w:eastAsia="zh-CN"/>
          <w14:textFill>
            <w14:solidFill>
              <w14:schemeClr w14:val="tx1"/>
            </w14:solidFill>
          </w14:textFill>
        </w:rPr>
        <w:t>贰</w:t>
      </w:r>
      <w:r>
        <w:rPr>
          <w:rFonts w:hint="eastAsia" w:ascii="仿宋" w:hAnsi="仿宋" w:eastAsia="仿宋" w:cs="仿宋"/>
          <w:color w:val="000000" w:themeColor="text1"/>
          <w:sz w:val="22"/>
          <w:highlight w:val="none"/>
          <w:u w:val="single"/>
          <w14:textFill>
            <w14:solidFill>
              <w14:schemeClr w14:val="tx1"/>
            </w14:solidFill>
          </w14:textFill>
        </w:rPr>
        <w:t>　</w:t>
      </w:r>
      <w:r>
        <w:rPr>
          <w:rFonts w:hint="eastAsia" w:ascii="仿宋" w:hAnsi="仿宋" w:eastAsia="仿宋" w:cs="仿宋"/>
          <w:color w:val="000000" w:themeColor="text1"/>
          <w:sz w:val="22"/>
          <w:highlight w:val="none"/>
          <w14:textFill>
            <w14:solidFill>
              <w14:schemeClr w14:val="tx1"/>
            </w14:solidFill>
          </w14:textFill>
        </w:rPr>
        <w:t>份，采购代理机构</w:t>
      </w:r>
      <w:r>
        <w:rPr>
          <w:rFonts w:hint="eastAsia" w:ascii="仿宋" w:hAnsi="仿宋" w:eastAsia="仿宋" w:cs="仿宋"/>
          <w:color w:val="000000" w:themeColor="text1"/>
          <w:sz w:val="22"/>
          <w:highlight w:val="none"/>
          <w:u w:val="single"/>
          <w14:textFill>
            <w14:solidFill>
              <w14:schemeClr w14:val="tx1"/>
            </w14:solidFill>
          </w14:textFill>
        </w:rPr>
        <w:t xml:space="preserve"> 壹 </w:t>
      </w:r>
      <w:r>
        <w:rPr>
          <w:rFonts w:hint="eastAsia" w:ascii="仿宋" w:hAnsi="仿宋" w:eastAsia="仿宋" w:cs="仿宋"/>
          <w:color w:val="000000" w:themeColor="text1"/>
          <w:sz w:val="22"/>
          <w:highlight w:val="none"/>
          <w14:textFill>
            <w14:solidFill>
              <w14:schemeClr w14:val="tx1"/>
            </w14:solidFill>
          </w14:textFill>
        </w:rPr>
        <w:t>份。</w:t>
      </w:r>
    </w:p>
    <w:p w14:paraId="4F923CBF">
      <w:pPr>
        <w:pStyle w:val="3"/>
        <w:keepNext w:val="0"/>
        <w:keepLines w:val="0"/>
        <w:pageBreakBefore w:val="0"/>
        <w:kinsoku/>
        <w:overflowPunct/>
        <w:autoSpaceDE/>
        <w:autoSpaceDN/>
        <w:bidi w:val="0"/>
        <w:adjustRightInd/>
        <w:spacing w:line="408" w:lineRule="auto"/>
        <w:textAlignment w:val="auto"/>
        <w:rPr>
          <w:color w:val="000000" w:themeColor="text1"/>
          <w:highlight w:val="none"/>
          <w14:textFill>
            <w14:solidFill>
              <w14:schemeClr w14:val="tx1"/>
            </w14:solidFill>
          </w14:textFill>
        </w:rPr>
      </w:pPr>
    </w:p>
    <w:tbl>
      <w:tblPr>
        <w:tblStyle w:val="10"/>
        <w:tblW w:w="9067" w:type="dxa"/>
        <w:jc w:val="center"/>
        <w:tblLayout w:type="fixed"/>
        <w:tblCellMar>
          <w:top w:w="0" w:type="dxa"/>
          <w:left w:w="108" w:type="dxa"/>
          <w:bottom w:w="0" w:type="dxa"/>
          <w:right w:w="108" w:type="dxa"/>
        </w:tblCellMar>
      </w:tblPr>
      <w:tblGrid>
        <w:gridCol w:w="4051"/>
        <w:gridCol w:w="5016"/>
      </w:tblGrid>
      <w:tr w14:paraId="157A453C">
        <w:tblPrEx>
          <w:tblCellMar>
            <w:top w:w="0" w:type="dxa"/>
            <w:left w:w="108" w:type="dxa"/>
            <w:bottom w:w="0" w:type="dxa"/>
            <w:right w:w="108" w:type="dxa"/>
          </w:tblCellMar>
        </w:tblPrEx>
        <w:trPr>
          <w:trHeight w:val="5412" w:hRule="atLeast"/>
          <w:jc w:val="center"/>
        </w:trPr>
        <w:tc>
          <w:tcPr>
            <w:tcW w:w="4051" w:type="dxa"/>
            <w:tcMar>
              <w:top w:w="113" w:type="dxa"/>
              <w:left w:w="113" w:type="dxa"/>
              <w:bottom w:w="113" w:type="dxa"/>
              <w:right w:w="113" w:type="dxa"/>
            </w:tcMar>
          </w:tcPr>
          <w:p w14:paraId="4C6FB1F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甲方名称： </w:t>
            </w:r>
          </w:p>
          <w:p w14:paraId="54269EF1">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代表签字：</w:t>
            </w:r>
          </w:p>
          <w:p w14:paraId="430BF852">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甲方地址： </w:t>
            </w:r>
          </w:p>
          <w:p w14:paraId="217A9CC9">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电    话： </w:t>
            </w:r>
          </w:p>
          <w:p w14:paraId="5F78CA40">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传    真： </w:t>
            </w:r>
          </w:p>
          <w:p w14:paraId="3778D244">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邮    编： </w:t>
            </w:r>
          </w:p>
          <w:p w14:paraId="5511423E">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开户银行： </w:t>
            </w:r>
          </w:p>
          <w:p w14:paraId="28F99E7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帐    号： </w:t>
            </w:r>
          </w:p>
          <w:p w14:paraId="387544F8">
            <w:pPr>
              <w:pStyle w:val="7"/>
              <w:rPr>
                <w:rFonts w:hint="eastAsia"/>
                <w:lang w:val="en-US" w:eastAsia="zh-CN"/>
              </w:rPr>
            </w:pPr>
          </w:p>
          <w:p w14:paraId="1DEEA98C">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日期：     年  月  日</w:t>
            </w:r>
          </w:p>
          <w:p w14:paraId="026029A2">
            <w:pPr>
              <w:keepNext w:val="0"/>
              <w:keepLines w:val="0"/>
              <w:pageBreakBefore w:val="0"/>
              <w:kinsoku/>
              <w:wordWrap w:val="0"/>
              <w:overflowPunct/>
              <w:topLinePunct/>
              <w:autoSpaceDE/>
              <w:autoSpaceDN/>
              <w:bidi w:val="0"/>
              <w:adjustRightInd/>
              <w:snapToGrid w:val="0"/>
              <w:spacing w:before="240" w:beforeLines="100" w:line="408" w:lineRule="auto"/>
              <w:contextualSpacing/>
              <w:jc w:val="left"/>
              <w:textAlignment w:val="auto"/>
              <w:rPr>
                <w:rFonts w:ascii="仿宋" w:hAnsi="仿宋" w:eastAsia="仿宋" w:cs="仿宋"/>
                <w:b/>
                <w:color w:val="auto"/>
                <w:sz w:val="22"/>
                <w:highlight w:val="none"/>
              </w:rPr>
            </w:pPr>
          </w:p>
        </w:tc>
        <w:tc>
          <w:tcPr>
            <w:tcW w:w="5016" w:type="dxa"/>
          </w:tcPr>
          <w:p w14:paraId="32A8D885">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 xml:space="preserve">乙方名称：   </w:t>
            </w:r>
          </w:p>
          <w:p w14:paraId="3162FD3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代表签字：</w:t>
            </w:r>
          </w:p>
          <w:p w14:paraId="20BEF93F">
            <w:pPr>
              <w:wordWrap w:val="0"/>
              <w:topLinePunct/>
              <w:snapToGrid w:val="0"/>
              <w:spacing w:line="480" w:lineRule="auto"/>
              <w:ind w:left="1104" w:hanging="1104" w:hangingChars="500"/>
              <w:contextualSpacing/>
              <w:jc w:val="left"/>
              <w:rPr>
                <w:rFonts w:hint="default"/>
                <w:lang w:val="en-US" w:eastAsia="zh-CN"/>
              </w:rPr>
            </w:pPr>
            <w:r>
              <w:rPr>
                <w:rFonts w:hint="eastAsia" w:ascii="仿宋" w:hAnsi="仿宋" w:eastAsia="仿宋" w:cs="仿宋"/>
                <w:b/>
                <w:color w:val="auto"/>
                <w:kern w:val="0"/>
                <w:sz w:val="22"/>
                <w:highlight w:val="none"/>
                <w:lang w:val="en-US" w:eastAsia="zh-CN"/>
              </w:rPr>
              <w:t>乙方地址：</w:t>
            </w:r>
          </w:p>
          <w:p w14:paraId="33650C3A">
            <w:pPr>
              <w:wordWrap w:val="0"/>
              <w:topLinePunct/>
              <w:snapToGrid w:val="0"/>
              <w:spacing w:line="480" w:lineRule="auto"/>
              <w:contextualSpacing/>
              <w:jc w:val="left"/>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电    话：</w:t>
            </w:r>
          </w:p>
          <w:p w14:paraId="04873809">
            <w:pPr>
              <w:wordWrap w:val="0"/>
              <w:topLinePunct/>
              <w:snapToGrid w:val="0"/>
              <w:spacing w:line="480" w:lineRule="auto"/>
              <w:contextualSpacing/>
              <w:jc w:val="left"/>
              <w:rPr>
                <w:rFonts w:hint="default"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传    真：</w:t>
            </w:r>
          </w:p>
          <w:p w14:paraId="3C855322">
            <w:pPr>
              <w:wordWrap w:val="0"/>
              <w:topLinePunct/>
              <w:snapToGrid w:val="0"/>
              <w:spacing w:line="480" w:lineRule="auto"/>
              <w:contextualSpacing/>
              <w:jc w:val="left"/>
              <w:rPr>
                <w:rFonts w:hint="default"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邮    编：</w:t>
            </w:r>
          </w:p>
          <w:p w14:paraId="40E9F77C">
            <w:pPr>
              <w:wordWrap w:val="0"/>
              <w:topLinePunct/>
              <w:snapToGrid w:val="0"/>
              <w:spacing w:line="480" w:lineRule="auto"/>
              <w:ind w:left="1325" w:hanging="1325" w:hangingChars="600"/>
              <w:contextualSpacing/>
              <w:jc w:val="both"/>
              <w:rPr>
                <w:rFonts w:hint="eastAsia"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开户银行：</w:t>
            </w:r>
          </w:p>
          <w:p w14:paraId="31256658">
            <w:pPr>
              <w:wordWrap w:val="0"/>
              <w:topLinePunct/>
              <w:snapToGrid w:val="0"/>
              <w:spacing w:line="480" w:lineRule="auto"/>
              <w:contextualSpacing/>
              <w:jc w:val="left"/>
              <w:rPr>
                <w:rFonts w:hint="default" w:ascii="仿宋" w:hAnsi="仿宋" w:eastAsia="仿宋" w:cs="仿宋"/>
                <w:b/>
                <w:color w:val="auto"/>
                <w:kern w:val="0"/>
                <w:sz w:val="22"/>
                <w:highlight w:val="none"/>
                <w:lang w:val="en-US" w:eastAsia="zh-CN"/>
              </w:rPr>
            </w:pPr>
            <w:r>
              <w:rPr>
                <w:rFonts w:hint="eastAsia" w:ascii="仿宋" w:hAnsi="仿宋" w:eastAsia="仿宋" w:cs="仿宋"/>
                <w:b/>
                <w:color w:val="auto"/>
                <w:kern w:val="0"/>
                <w:sz w:val="22"/>
                <w:highlight w:val="none"/>
                <w:lang w:val="en-US" w:eastAsia="zh-CN"/>
              </w:rPr>
              <w:t>帐    号：</w:t>
            </w:r>
          </w:p>
          <w:p w14:paraId="16386F4A">
            <w:pPr>
              <w:wordWrap w:val="0"/>
              <w:topLinePunct/>
              <w:snapToGrid w:val="0"/>
              <w:spacing w:line="480" w:lineRule="auto"/>
              <w:ind w:left="482"/>
              <w:contextualSpacing/>
              <w:jc w:val="left"/>
              <w:rPr>
                <w:rFonts w:ascii="仿宋" w:hAnsi="仿宋" w:eastAsia="仿宋" w:cs="仿宋"/>
                <w:b/>
                <w:color w:val="auto"/>
                <w:kern w:val="0"/>
                <w:sz w:val="22"/>
                <w:highlight w:val="none"/>
              </w:rPr>
            </w:pPr>
          </w:p>
          <w:p w14:paraId="1C0745C1">
            <w:pPr>
              <w:wordWrap w:val="0"/>
              <w:topLinePunct/>
              <w:snapToGrid w:val="0"/>
              <w:spacing w:line="480" w:lineRule="auto"/>
              <w:contextualSpacing/>
              <w:jc w:val="left"/>
              <w:rPr>
                <w:rFonts w:ascii="仿宋" w:hAnsi="仿宋" w:eastAsia="仿宋" w:cs="仿宋"/>
                <w:b/>
                <w:color w:val="auto"/>
                <w:kern w:val="0"/>
                <w:sz w:val="22"/>
                <w:highlight w:val="none"/>
              </w:rPr>
            </w:pPr>
            <w:r>
              <w:rPr>
                <w:rFonts w:hint="eastAsia" w:ascii="仿宋" w:hAnsi="仿宋" w:eastAsia="仿宋" w:cs="仿宋"/>
                <w:b/>
                <w:color w:val="auto"/>
                <w:kern w:val="0"/>
                <w:sz w:val="22"/>
                <w:highlight w:val="none"/>
              </w:rPr>
              <w:t>日期：     年  月  日</w:t>
            </w:r>
          </w:p>
          <w:p w14:paraId="24C24CFE">
            <w:pPr>
              <w:keepNext w:val="0"/>
              <w:keepLines w:val="0"/>
              <w:pageBreakBefore w:val="0"/>
              <w:kinsoku/>
              <w:wordWrap w:val="0"/>
              <w:overflowPunct/>
              <w:topLinePunct/>
              <w:autoSpaceDE/>
              <w:autoSpaceDN/>
              <w:bidi w:val="0"/>
              <w:adjustRightInd/>
              <w:snapToGrid w:val="0"/>
              <w:spacing w:before="240" w:beforeLines="100" w:line="408" w:lineRule="auto"/>
              <w:contextualSpacing/>
              <w:jc w:val="left"/>
              <w:textAlignment w:val="auto"/>
              <w:rPr>
                <w:rFonts w:ascii="仿宋" w:hAnsi="仿宋" w:eastAsia="仿宋" w:cs="仿宋"/>
                <w:b/>
                <w:color w:val="auto"/>
                <w:sz w:val="22"/>
                <w:highlight w:val="none"/>
              </w:rPr>
            </w:pPr>
          </w:p>
        </w:tc>
      </w:tr>
    </w:tbl>
    <w:p w14:paraId="591FE3B2">
      <w:pPr>
        <w:spacing w:line="360" w:lineRule="auto"/>
        <w:jc w:val="left"/>
        <w:rPr>
          <w:rFonts w:ascii="仿宋" w:hAnsi="仿宋" w:eastAsia="仿宋" w:cs="仿宋"/>
          <w:color w:val="000000" w:themeColor="text1"/>
          <w:sz w:val="22"/>
          <w:highlight w:val="none"/>
          <w14:textFill>
            <w14:solidFill>
              <w14:schemeClr w14:val="tx1"/>
            </w14:solidFill>
          </w14:textFill>
        </w:rPr>
        <w:sectPr>
          <w:headerReference r:id="rId7" w:type="default"/>
          <w:footerReference r:id="rId8" w:type="default"/>
          <w:pgSz w:w="11907" w:h="16840"/>
          <w:pgMar w:top="1440" w:right="1797" w:bottom="1440" w:left="1797" w:header="720" w:footer="720" w:gutter="0"/>
          <w:pgNumType w:fmt="decimal" w:start="1"/>
          <w:cols w:space="720" w:num="1"/>
          <w:docGrid w:linePitch="326" w:charSpace="0"/>
        </w:sectPr>
      </w:pPr>
    </w:p>
    <w:p w14:paraId="50563802">
      <w:pPr>
        <w:spacing w:line="360" w:lineRule="auto"/>
        <w:jc w:val="center"/>
        <w:outlineLvl w:val="0"/>
        <w:rPr>
          <w:rFonts w:ascii="仿宋" w:hAnsi="仿宋" w:eastAsia="仿宋" w:cs="仿宋"/>
          <w:b/>
          <w:color w:val="FF0000"/>
          <w:sz w:val="36"/>
          <w:szCs w:val="36"/>
          <w:highlight w:val="none"/>
        </w:rPr>
      </w:pPr>
      <w:bookmarkStart w:id="0" w:name="_Toc20442"/>
      <w:bookmarkStart w:id="1" w:name="_Toc9965370"/>
      <w:bookmarkStart w:id="2" w:name="_Toc31480"/>
      <w:bookmarkStart w:id="3" w:name="_Toc5528"/>
      <w:r>
        <w:rPr>
          <w:rFonts w:hint="eastAsia" w:ascii="仿宋" w:hAnsi="仿宋" w:eastAsia="仿宋" w:cs="仿宋"/>
          <w:b/>
          <w:color w:val="000000" w:themeColor="text1"/>
          <w:sz w:val="36"/>
          <w:szCs w:val="36"/>
          <w:highlight w:val="none"/>
          <w14:textFill>
            <w14:solidFill>
              <w14:schemeClr w14:val="tx1"/>
            </w14:solidFill>
          </w14:textFill>
        </w:rPr>
        <w:t>合同通用条款</w:t>
      </w:r>
      <w:bookmarkEnd w:id="0"/>
      <w:bookmarkEnd w:id="1"/>
      <w:bookmarkEnd w:id="2"/>
      <w:bookmarkEnd w:id="3"/>
    </w:p>
    <w:p w14:paraId="4A5F18BA">
      <w:pPr>
        <w:spacing w:line="360" w:lineRule="auto"/>
        <w:ind w:firstLine="442" w:firstLineChars="200"/>
        <w:rPr>
          <w:rFonts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1.定义</w:t>
      </w:r>
    </w:p>
    <w:p w14:paraId="6E86C87F">
      <w:pPr>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本合同下列术语应解释为：</w:t>
      </w:r>
    </w:p>
    <w:p w14:paraId="03F33BD6">
      <w:pPr>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1.1“合同”指甲乙双方签署的、合同格式中载明的甲乙双方所达成的协议，包括所有的附件、附录和上述文件所提到的构成合同的所有文件；</w:t>
      </w:r>
    </w:p>
    <w:p w14:paraId="672E3C7A">
      <w:pPr>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1.2“合同价”指根据合同规定乙方在正确地完全履行合同义务后甲方应支付给乙方的价格；</w:t>
      </w:r>
    </w:p>
    <w:p w14:paraId="17459450">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1.3“服务”指根据合同规定乙方承担的与项目有关的服务，比如运输、保险、安装、调试、提供技术援助、培训和合同中规定乙方应承担的其它义务；</w:t>
      </w:r>
    </w:p>
    <w:p w14:paraId="1ACEBA74">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1.4“货物”指乙方根据合同规定须向甲方提供的货物、设备、材料、备件、工具和／或其它材料。</w:t>
      </w:r>
    </w:p>
    <w:p w14:paraId="47CEFACD">
      <w:pPr>
        <w:wordWrap w:val="0"/>
        <w:topLinePunct/>
        <w:spacing w:line="360" w:lineRule="auto"/>
        <w:ind w:firstLine="442" w:firstLineChars="200"/>
        <w:jc w:val="left"/>
        <w:rPr>
          <w:rFonts w:ascii="仿宋" w:hAnsi="仿宋" w:eastAsia="仿宋" w:cs="仿宋"/>
          <w:b/>
          <w:color w:val="000000" w:themeColor="text1"/>
          <w:sz w:val="22"/>
          <w:highlight w:val="none"/>
          <w14:textFill>
            <w14:solidFill>
              <w14:schemeClr w14:val="tx1"/>
            </w14:solidFill>
          </w14:textFill>
        </w:rPr>
      </w:pPr>
      <w:r>
        <w:rPr>
          <w:rFonts w:hint="eastAsia" w:ascii="仿宋" w:hAnsi="仿宋" w:eastAsia="仿宋" w:cs="仿宋"/>
          <w:b/>
          <w:color w:val="000000" w:themeColor="text1"/>
          <w:sz w:val="22"/>
          <w:highlight w:val="none"/>
          <w14:textFill>
            <w14:solidFill>
              <w14:schemeClr w14:val="tx1"/>
            </w14:solidFill>
          </w14:textFill>
        </w:rPr>
        <w:t>2.适用性</w:t>
      </w:r>
    </w:p>
    <w:p w14:paraId="6B1DB9F9">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2.1本合同条款适用于没有被本项目招标文件规定条款、中标人投标文件承诺条款所取代的范围。</w:t>
      </w:r>
    </w:p>
    <w:p w14:paraId="4A54EB55">
      <w:pPr>
        <w:wordWrap w:val="0"/>
        <w:topLinePunct/>
        <w:spacing w:line="360" w:lineRule="auto"/>
        <w:ind w:firstLine="433" w:firstLineChars="196"/>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3.标准</w:t>
      </w:r>
    </w:p>
    <w:p w14:paraId="2A55436A">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3.1若乙方在其投标文件中承诺的技术标准优于本项目招标文件“采购需求”所述标准的，按投标文件的承诺执行。如果没有提及适用标准，则应符合中华人民共和国有关机构发布的最新版本的标准。乙方应保证，甲方使用服务或货物的任何一部分时，免受第三方提出的侵犯其专利权、商标权、著作权或其它知识产权的起诉。</w:t>
      </w:r>
    </w:p>
    <w:p w14:paraId="167DF97C">
      <w:pPr>
        <w:wordWrap w:val="0"/>
        <w:topLinePunct/>
        <w:spacing w:line="360" w:lineRule="auto"/>
        <w:ind w:firstLine="440" w:firstLineChars="200"/>
        <w:jc w:val="left"/>
        <w:rPr>
          <w:rFonts w:hint="eastAsia" w:ascii="仿宋" w:hAnsi="仿宋" w:eastAsia="仿宋" w:cs="仿宋"/>
          <w:color w:val="000000" w:themeColor="text1"/>
          <w:sz w:val="22"/>
          <w:highlight w:val="none"/>
          <w14:textFill>
            <w14:solidFill>
              <w14:schemeClr w14:val="tx1"/>
            </w14:solidFill>
          </w14:textFill>
        </w:rPr>
      </w:pPr>
      <w:bookmarkStart w:id="4" w:name="_Toc167714040"/>
      <w:bookmarkStart w:id="5" w:name="_Toc167715237"/>
      <w:bookmarkStart w:id="6" w:name="_Toc167712842"/>
      <w:r>
        <w:rPr>
          <w:rFonts w:hint="eastAsia" w:ascii="仿宋" w:hAnsi="仿宋" w:eastAsia="仿宋" w:cs="仿宋"/>
          <w:color w:val="000000" w:themeColor="text1"/>
          <w:sz w:val="22"/>
          <w:highlight w:val="none"/>
          <w14:textFill>
            <w14:solidFill>
              <w14:schemeClr w14:val="tx1"/>
            </w14:solidFill>
          </w14:textFill>
        </w:rPr>
        <w:t>4.</w:t>
      </w:r>
      <w:bookmarkEnd w:id="4"/>
      <w:bookmarkEnd w:id="5"/>
      <w:bookmarkEnd w:id="6"/>
      <w:r>
        <w:rPr>
          <w:rFonts w:hint="eastAsia" w:ascii="仿宋" w:hAnsi="仿宋" w:eastAsia="仿宋" w:cs="仿宋"/>
          <w:color w:val="000000" w:themeColor="text1"/>
          <w:sz w:val="22"/>
          <w:highlight w:val="none"/>
          <w14:textFill>
            <w14:solidFill>
              <w14:schemeClr w14:val="tx1"/>
            </w14:solidFill>
          </w14:textFill>
        </w:rPr>
        <w:t xml:space="preserve">质量保证 </w:t>
      </w:r>
    </w:p>
    <w:p w14:paraId="4A5FB4FC">
      <w:pPr>
        <w:wordWrap w:val="0"/>
        <w:topLinePunct/>
        <w:spacing w:line="360" w:lineRule="auto"/>
        <w:ind w:firstLine="440" w:firstLineChars="200"/>
        <w:jc w:val="left"/>
        <w:rPr>
          <w:rFonts w:hint="default" w:ascii="仿宋" w:hAnsi="仿宋" w:eastAsia="仿宋" w:cs="仿宋"/>
          <w:color w:val="000000" w:themeColor="text1"/>
          <w:sz w:val="22"/>
          <w:highlight w:val="none"/>
          <w:lang w:val="en-US" w:eastAsia="zh-CN"/>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4.1.交货期：</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自合同签订之日起3个月   </w:t>
      </w:r>
      <w:r>
        <w:rPr>
          <w:rFonts w:hint="eastAsia" w:ascii="仿宋" w:hAnsi="仿宋" w:eastAsia="仿宋" w:cs="仿宋"/>
          <w:color w:val="000000" w:themeColor="text1"/>
          <w:sz w:val="22"/>
          <w:highlight w:val="none"/>
          <w14:textFill>
            <w14:solidFill>
              <w14:schemeClr w14:val="tx1"/>
            </w14:solidFill>
          </w14:textFill>
        </w:rPr>
        <w:t>。</w:t>
      </w:r>
    </w:p>
    <w:p w14:paraId="11C4E495">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4.2甲方有权对乙方服务进行监督，如乙方未达到服务质量标准，甲方有权进行适量赔偿或终止服务合同。</w:t>
      </w:r>
    </w:p>
    <w:p w14:paraId="43CE4862">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4.3在服务期内，甲方会根据国家相关法律法规、行业规范、内部规章制度及合同，对乙方工作人员在本项目中的工作进行监督，并不定期进行考核。</w:t>
      </w:r>
    </w:p>
    <w:p w14:paraId="7564D5FF">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4.4甲方负责牵头成立监督小组，主要收集整理各方面对本项目的意见和建议，甲方组织召开整改会议，乙方应参加并对提出问题进行整改，在会议上提出整改意见后，乙方落实不到位的，甲方可无条件解除采购合同。</w:t>
      </w:r>
    </w:p>
    <w:p w14:paraId="7E21B846">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4.5甲方如遇政策性调整或其他特殊原因，直至有可能解除采购合同的情况下，可提前书面告知乙方，按照当月实际天数费用结算，甲方不承担其他违约责任，即可终止合同。</w:t>
      </w:r>
    </w:p>
    <w:p w14:paraId="1ADD91F0">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4.6乙方在服务期内，应严格遵守中华人民共和国的现行法律法规，及乙方和甲方内部的相关管理制度，并应保障制度的有效执行。</w:t>
      </w:r>
    </w:p>
    <w:p w14:paraId="5DB1BD7A">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4.7乙方在服务期内，应爱护公物，合理使用设备设施。否则，因乙方服务人员使用不当而对设备设施造成损坏的，由乙方承担一切责任和经济损失。</w:t>
      </w:r>
    </w:p>
    <w:p w14:paraId="519DDA9B">
      <w:pPr>
        <w:pStyle w:val="4"/>
        <w:tabs>
          <w:tab w:val="left" w:pos="3544"/>
        </w:tabs>
        <w:wordWrap w:val="0"/>
        <w:topLinePunct/>
        <w:adjustRightInd w:val="0"/>
        <w:snapToGrid w:val="0"/>
        <w:spacing w:line="360" w:lineRule="auto"/>
        <w:ind w:firstLine="440" w:firstLineChars="200"/>
        <w:rPr>
          <w:rFonts w:ascii="仿宋" w:hAnsi="仿宋" w:eastAsia="仿宋" w:cs="仿宋"/>
          <w:color w:val="000000" w:themeColor="text1"/>
          <w:sz w:val="22"/>
          <w:szCs w:val="24"/>
          <w:highlight w:val="none"/>
          <w14:textFill>
            <w14:solidFill>
              <w14:schemeClr w14:val="tx1"/>
            </w14:solidFill>
          </w14:textFill>
        </w:rPr>
      </w:pPr>
      <w:r>
        <w:rPr>
          <w:rFonts w:hint="eastAsia" w:ascii="仿宋" w:hAnsi="仿宋" w:eastAsia="仿宋" w:cs="仿宋"/>
          <w:color w:val="000000" w:themeColor="text1"/>
          <w:sz w:val="22"/>
          <w:szCs w:val="24"/>
          <w:highlight w:val="none"/>
          <w14:textFill>
            <w14:solidFill>
              <w14:schemeClr w14:val="tx1"/>
            </w14:solidFill>
          </w14:textFill>
        </w:rPr>
        <w:t>4.8乙方派驻的技术人员在服务期间，因特殊原因无法继续提供服务的，在征得甲方的同意后，由乙方及时将人员予以调配，保证工作的正常进行。新替换人员应根据相关规定做好人员备案工作。</w:t>
      </w:r>
    </w:p>
    <w:p w14:paraId="779C85F4">
      <w:pPr>
        <w:tabs>
          <w:tab w:val="left" w:pos="3544"/>
        </w:tabs>
        <w:wordWrap w:val="0"/>
        <w:topLinePunct/>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4.9服务期间，乙方派出人员发生的任何意外伤害，均由乙方承担全部责任和赔偿。</w:t>
      </w:r>
    </w:p>
    <w:p w14:paraId="6C9BCA36">
      <w:pPr>
        <w:tabs>
          <w:tab w:val="left" w:pos="3544"/>
        </w:tabs>
        <w:wordWrap w:val="0"/>
        <w:topLinePunct/>
        <w:spacing w:line="360" w:lineRule="auto"/>
        <w:ind w:firstLine="440" w:firstLineChars="200"/>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4.10服务期间，乙方必须要按照甲方要求对于突发事件提供应急服务和保障。</w:t>
      </w:r>
    </w:p>
    <w:p w14:paraId="6EA06730">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4.11乙方除因特殊情况外，造成数据或系统设备的损坏与丢失，甲方有权要求乙方进行适当赔偿。</w:t>
      </w:r>
    </w:p>
    <w:p w14:paraId="4D7F89CB">
      <w:pPr>
        <w:wordWrap w:val="0"/>
        <w:topLinePunct/>
        <w:spacing w:line="360" w:lineRule="auto"/>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 xml:space="preserve">    5.索赔</w:t>
      </w:r>
    </w:p>
    <w:p w14:paraId="25FF8CE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5.1如果乙方对偏差负有责任，而甲方在服务期内提出了索赔，乙方应按照甲方同意的下列一种或几种方式结合起来解决索赔事宜：</w:t>
      </w:r>
    </w:p>
    <w:p w14:paraId="4FFC312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⑴乙方同意用合同规定的货币将合同款退还给甲方，并承担由此发生的一切损失和费用，包括利息、银行手续费等其它必要费用。</w:t>
      </w:r>
    </w:p>
    <w:p w14:paraId="28982B5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⑵根据服务的偏差情况、以及甲方所遭受损失的金额，经甲乙双方商定降低服务价格。</w:t>
      </w:r>
    </w:p>
    <w:p w14:paraId="7AB3EC3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5.2如果在甲方发出索赔通知后三十（30）天内，乙方未作答复，上述索赔应视为已被乙方接受。如乙方未能在甲方发出索赔通知后三十（30）天内或甲方同意的延长期限内，按照甲方同意的上述规定的任何一种方法解决索赔事宜，甲方将从未付款项中扣回索赔金额。若索赔金额超过未付款项的，乙方必须进行弥补。</w:t>
      </w:r>
    </w:p>
    <w:p w14:paraId="229C92E3">
      <w:pPr>
        <w:wordWrap w:val="0"/>
        <w:topLinePunct/>
        <w:spacing w:line="360" w:lineRule="auto"/>
        <w:ind w:firstLine="440" w:firstLineChars="200"/>
        <w:jc w:val="left"/>
        <w:rPr>
          <w:rFonts w:hint="eastAsia"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6.付款及验收</w:t>
      </w:r>
    </w:p>
    <w:p w14:paraId="1D36B545">
      <w:pPr>
        <w:wordWrap w:val="0"/>
        <w:topLinePunct/>
        <w:spacing w:line="360" w:lineRule="auto"/>
        <w:ind w:firstLine="440" w:firstLineChars="200"/>
        <w:jc w:val="left"/>
        <w:rPr>
          <w:rFonts w:hint="default" w:ascii="仿宋" w:hAnsi="仿宋" w:eastAsia="仿宋" w:cs="仿宋"/>
          <w:color w:val="000000" w:themeColor="text1"/>
          <w:sz w:val="22"/>
          <w:highlight w:val="none"/>
          <w:u w:val="single"/>
          <w:lang w:val="en-US"/>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6.1合同款项：</w:t>
      </w:r>
      <w:r>
        <w:rPr>
          <w:rFonts w:hint="eastAsia" w:ascii="仿宋" w:hAnsi="仿宋" w:eastAsia="仿宋" w:cs="仿宋"/>
          <w:color w:val="000000" w:themeColor="text1"/>
          <w:sz w:val="22"/>
          <w:highlight w:val="none"/>
          <w:u w:val="single"/>
          <w:lang w:val="en-US" w:eastAsia="zh-CN"/>
          <w14:textFill>
            <w14:solidFill>
              <w14:schemeClr w14:val="tx1"/>
            </w14:solidFill>
          </w14:textFill>
        </w:rPr>
        <w:t xml:space="preserve">                                 </w:t>
      </w:r>
    </w:p>
    <w:p w14:paraId="7B3BA054">
      <w:pPr>
        <w:wordWrap w:val="0"/>
        <w:topLinePunct/>
        <w:spacing w:line="360" w:lineRule="auto"/>
        <w:ind w:firstLine="440" w:firstLineChars="200"/>
        <w:jc w:val="left"/>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6.2付款方式：</w:t>
      </w:r>
      <w:r>
        <w:rPr>
          <w:rFonts w:hint="eastAsia" w:ascii="仿宋" w:hAnsi="仿宋" w:eastAsia="仿宋" w:cs="仿宋"/>
          <w:color w:val="000000" w:themeColor="text1"/>
          <w:kern w:val="0"/>
          <w:sz w:val="22"/>
          <w:highlight w:val="none"/>
          <w:u w:val="single"/>
          <w:lang w:val="en-US" w:eastAsia="zh-CN"/>
          <w14:textFill>
            <w14:solidFill>
              <w14:schemeClr w14:val="tx1"/>
            </w14:solidFill>
          </w14:textFill>
        </w:rPr>
        <w:t xml:space="preserve">  合同签订后 ，达到付款条件起 7 个工作日内，支付合同总金额的 40.00%。设备全部安装调试完毕之后 ，达到付款条件起  7 个工作日内，支付合同总金额的 30.00%。 验收合格后，达到付款条件起  7 个工作日内，支付合同总金额的 30.00%。  </w:t>
      </w:r>
      <w:r>
        <w:rPr>
          <w:rFonts w:hint="eastAsia" w:ascii="仿宋" w:hAnsi="仿宋" w:eastAsia="仿宋" w:cs="仿宋"/>
          <w:color w:val="000000" w:themeColor="text1"/>
          <w:kern w:val="0"/>
          <w:sz w:val="22"/>
          <w:highlight w:val="none"/>
          <w:lang w:val="en-US" w:eastAsia="zh-CN"/>
          <w14:textFill>
            <w14:solidFill>
              <w14:schemeClr w14:val="tx1"/>
            </w14:solidFill>
          </w14:textFill>
        </w:rPr>
        <w:t xml:space="preserve">            </w:t>
      </w:r>
      <w:bookmarkStart w:id="7" w:name="_GoBack"/>
      <w:bookmarkEnd w:id="7"/>
    </w:p>
    <w:p w14:paraId="429FB6B8">
      <w:pPr>
        <w:wordWrap w:val="0"/>
        <w:topLinePunct/>
        <w:spacing w:line="360" w:lineRule="auto"/>
        <w:ind w:left="437" w:leftChars="208"/>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6.3项目验收</w:t>
      </w:r>
    </w:p>
    <w:p w14:paraId="721E1DF8">
      <w:pPr>
        <w:wordWrap w:val="0"/>
        <w:topLinePunct/>
        <w:spacing w:line="360" w:lineRule="auto"/>
        <w:ind w:left="437" w:leftChars="208"/>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1）乙方按期供货完成后，向甲方提交验收申请；</w:t>
      </w:r>
    </w:p>
    <w:p w14:paraId="0FB80DB7">
      <w:pPr>
        <w:wordWrap w:val="0"/>
        <w:topLinePunct/>
        <w:spacing w:line="360" w:lineRule="auto"/>
        <w:ind w:left="437" w:leftChars="208"/>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2）甲方收到验收申请后组织验收，验收时乙方应无条件予以配合并提供验收</w:t>
      </w:r>
    </w:p>
    <w:p w14:paraId="7160F009">
      <w:pPr>
        <w:wordWrap w:val="0"/>
        <w:topLinePunct/>
        <w:spacing w:line="360" w:lineRule="auto"/>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所需的必要资料，若乙方不配合或者未按时交货或交货不全的，甲方将拒绝验收；</w:t>
      </w:r>
    </w:p>
    <w:p w14:paraId="70CCB460">
      <w:pPr>
        <w:wordWrap w:val="0"/>
        <w:topLinePunct/>
        <w:spacing w:line="360" w:lineRule="auto"/>
        <w:ind w:left="437" w:leftChars="208"/>
        <w:rPr>
          <w:rFonts w:hint="eastAsia" w:ascii="仿宋" w:hAnsi="仿宋" w:eastAsia="仿宋" w:cs="仿宋"/>
          <w:color w:val="000000" w:themeColor="text1"/>
          <w:kern w:val="0"/>
          <w:sz w:val="22"/>
          <w:highlight w:val="none"/>
          <w:lang w:val="en-US" w:eastAsia="zh-CN"/>
          <w14:textFill>
            <w14:solidFill>
              <w14:schemeClr w14:val="tx1"/>
            </w14:solidFill>
          </w14:textFill>
        </w:rPr>
      </w:pPr>
      <w:r>
        <w:rPr>
          <w:rFonts w:hint="eastAsia" w:ascii="仿宋" w:hAnsi="仿宋" w:eastAsia="仿宋" w:cs="仿宋"/>
          <w:color w:val="000000" w:themeColor="text1"/>
          <w:kern w:val="0"/>
          <w:sz w:val="22"/>
          <w:highlight w:val="none"/>
          <w:lang w:val="en-US" w:eastAsia="zh-CN"/>
          <w14:textFill>
            <w14:solidFill>
              <w14:schemeClr w14:val="tx1"/>
            </w14:solidFill>
          </w14:textFill>
        </w:rPr>
        <w:t>3）验收依据：招标文件、投标文件、合同文本、国内相应的标准及规范。</w:t>
      </w:r>
    </w:p>
    <w:p w14:paraId="508915C5">
      <w:pPr>
        <w:wordWrap w:val="0"/>
        <w:topLinePunct/>
        <w:spacing w:line="360" w:lineRule="auto"/>
        <w:ind w:left="437" w:leftChars="208"/>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7.转包、分包</w:t>
      </w:r>
    </w:p>
    <w:p w14:paraId="1278CDD9">
      <w:pPr>
        <w:wordWrap w:val="0"/>
        <w:topLinePunct/>
        <w:spacing w:line="360" w:lineRule="auto"/>
        <w:ind w:firstLine="440" w:firstLineChars="200"/>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7.1投标人在中标后</w:t>
      </w:r>
      <w:r>
        <w:rPr>
          <w:rFonts w:hint="eastAsia" w:ascii="仿宋" w:hAnsi="仿宋" w:eastAsia="仿宋" w:cs="仿宋"/>
          <w:color w:val="000000" w:themeColor="text1"/>
          <w:sz w:val="22"/>
          <w:highlight w:val="none"/>
          <w:lang w:val="en-US" w:eastAsia="zh-CN"/>
          <w14:textFill>
            <w14:solidFill>
              <w14:schemeClr w14:val="tx1"/>
            </w14:solidFill>
          </w14:textFill>
        </w:rPr>
        <w:t>不</w:t>
      </w:r>
      <w:r>
        <w:rPr>
          <w:rFonts w:hint="eastAsia" w:ascii="仿宋" w:hAnsi="仿宋" w:eastAsia="仿宋" w:cs="仿宋"/>
          <w:color w:val="000000" w:themeColor="text1"/>
          <w:sz w:val="22"/>
          <w:highlight w:val="none"/>
          <w14:textFill>
            <w14:solidFill>
              <w14:schemeClr w14:val="tx1"/>
            </w14:solidFill>
          </w14:textFill>
        </w:rPr>
        <w:t>允许转包、分包。</w:t>
      </w:r>
    </w:p>
    <w:p w14:paraId="79961BC3">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8.乙方履约延误</w:t>
      </w:r>
    </w:p>
    <w:p w14:paraId="4B5D0A3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8.1乙方应在规定的服务期内提供服务。</w:t>
      </w:r>
    </w:p>
    <w:p w14:paraId="659027C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8.2在履行合同过程中，如果乙方遇到妨碍提供服务的情况时，应及时以书面形式将拖延的事实、可能拖延的时间和原因通知甲方。甲方在收到乙方通知后，应尽快对情况进行评价，并确定是否同意，以及是否收取误期赔偿费。延期应通过修改合同的方式由双方认可。</w:t>
      </w:r>
    </w:p>
    <w:p w14:paraId="4F895CE7">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9.违约终止合同</w:t>
      </w:r>
    </w:p>
    <w:p w14:paraId="3197589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9.1在甲方对乙方违约而采取的任何补救措施不受影响的情况下，甲方可向乙方发出书面违约通知书，提出终止部分或全部合同：</w:t>
      </w:r>
    </w:p>
    <w:p w14:paraId="00FFB462">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⑴如果乙方未能在合同规定的期限内或甲方根据合同条款第8.2条的规定同意延长的期限内提供服务。</w:t>
      </w:r>
    </w:p>
    <w:p w14:paraId="46A95BDB">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⑵如果乙方未能履行合同规定的其它任何义务。</w:t>
      </w:r>
    </w:p>
    <w:p w14:paraId="25DE0E0C">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⑶如果甲方认为乙方在本合同的竞争和实施过程中有腐败和欺诈行为。为此目的，定义下述条件：</w:t>
      </w:r>
    </w:p>
    <w:p w14:paraId="6275D495">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“腐败行为”是指提供、给予、接受或索取任何有价值的物品来影响甲方在采购过程或合同实施过程中的行为。</w:t>
      </w:r>
    </w:p>
    <w:p w14:paraId="5F1545C7">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“欺诈行为”是指为了影响采购过程或合同实施过程而谎报或隐瞒事实，损害甲方利益的行为。</w:t>
      </w:r>
    </w:p>
    <w:p w14:paraId="2955778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9.2如果甲方根据上述第9.1条的规定，终止了全部或部分合同，甲方可以依其认为适当的条件和方法购买类似的服务，乙方应承担甲方因购买类似服务而产生的额外支出。但是，乙方应继续执行合同中未终止的部分。</w:t>
      </w:r>
    </w:p>
    <w:p w14:paraId="66419182">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10.不可抗力</w:t>
      </w:r>
    </w:p>
    <w:p w14:paraId="23B1E304">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10.1签约双方任何一方由于不可抗力事件的影响而不能执行合同时，履行合同的期限应予延长，其延长的期限应相当于事件所影响的时间。不可抗力事件是指甲乙双方在缔结合同时所不能预见的，并且它的发生及其后果是无法避免和无法克服的事件，诸如战争、严重火灾、洪水、台风、地震、疫情等。</w:t>
      </w:r>
    </w:p>
    <w:p w14:paraId="4CE33CD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10.2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3649FE6F">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10.3因合同一方迟延履行合同后发生不可抗力的，不能免除迟延履行方的相应责任。</w:t>
      </w:r>
    </w:p>
    <w:p w14:paraId="5FBD05B4">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11.因破产而终止合同</w:t>
      </w:r>
    </w:p>
    <w:p w14:paraId="115E7F7B">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11.1如果乙方破产或无清偿能力，甲方可在任何时候以书面形式通知乙方，提出终止合同而不给乙方补偿。该合同的终止将不损害或影响甲方已经采取或将要采取的任何行动或补救措施的权力。</w:t>
      </w:r>
    </w:p>
    <w:p w14:paraId="184C2E24">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12.因甲方的便利而终止合同</w:t>
      </w:r>
    </w:p>
    <w:p w14:paraId="2C5B894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12.1甲方可在任何时候出于自身的便利向乙方发出书面通知全部或部分终止合同，终止通知应明确该终止合同是出于甲方的便利，并明确合同终止的程度，以及终止的生效日期。</w:t>
      </w:r>
    </w:p>
    <w:p w14:paraId="141C068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12.2对乙方收到终止通知后三十（30）天内完成的服务，甲方应按原合同价格和条款予以接收，对于剩下的服务，甲方可：</w:t>
      </w:r>
    </w:p>
    <w:p w14:paraId="74D8AAB6">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 xml:space="preserve">⑴仅对部分服务按照原来的合同价格和条款予以接受； </w:t>
      </w:r>
    </w:p>
    <w:p w14:paraId="036832D9">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⑵取消对所剩服务的采购，并按双方商定的金额向乙方支付部分完成服务的费用。</w:t>
      </w:r>
    </w:p>
    <w:p w14:paraId="5C1A2F9D">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13.争议的解决</w:t>
      </w:r>
    </w:p>
    <w:p w14:paraId="66C825E8">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13.1因执行本合同所发生的或与本合同有关的一切争议,双方应通过友好协商解决。如果协商开始后六十（60）天还不能解决，任何一方均可按中华人民共和国有关法律的规定提交仲裁。仲裁地点为采购人所在地的仲裁委员会。</w:t>
      </w:r>
    </w:p>
    <w:p w14:paraId="39C6AE83">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13.2仲裁裁决应为最终裁决，对双方均具有约束力。</w:t>
      </w:r>
    </w:p>
    <w:p w14:paraId="1D0D5BEE">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13.3仲裁费除仲裁机关另有裁决外均应由败诉方负担。</w:t>
      </w:r>
    </w:p>
    <w:p w14:paraId="3272375C">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13.4在仲裁期间，除正在进行仲裁的部分外，本合同其它部分应继续执行。</w:t>
      </w:r>
    </w:p>
    <w:p w14:paraId="54598609">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14.通知</w:t>
      </w:r>
    </w:p>
    <w:p w14:paraId="6643D89E">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14.1本合同一方给对方的通知应用书面形式送到合同专用条款中规定的对方的地址。传真要经书面确认。</w:t>
      </w:r>
    </w:p>
    <w:p w14:paraId="5831F5C2">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14.2通知以送到日期或通知书的生效日期为生效日期，两者中以晚的一个日期为准。</w:t>
      </w:r>
    </w:p>
    <w:p w14:paraId="243CB96B">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15.税款</w:t>
      </w:r>
    </w:p>
    <w:p w14:paraId="508C3432">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15.1按照中华人民共和国税法和有关部门的规定，甲方需交纳的与本合同有关的一切税费均应由甲方负担。</w:t>
      </w:r>
    </w:p>
    <w:p w14:paraId="19EF3768">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15.2按照中华人民共和国税法和有关部门的规定，乙方需交纳的与本合同有关的一切税费均应由乙方负担。</w:t>
      </w:r>
    </w:p>
    <w:p w14:paraId="073D5F6E">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16.其他</w:t>
      </w:r>
    </w:p>
    <w:p w14:paraId="4E078F00">
      <w:pPr>
        <w:wordWrap w:val="0"/>
        <w:topLinePunct/>
        <w:spacing w:line="360" w:lineRule="auto"/>
        <w:ind w:firstLine="440" w:firstLineChars="200"/>
        <w:jc w:val="left"/>
        <w:rPr>
          <w:rFonts w:ascii="仿宋" w:hAnsi="仿宋" w:eastAsia="仿宋" w:cs="仿宋"/>
          <w:color w:val="000000" w:themeColor="text1"/>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16.1</w:t>
      </w:r>
      <w:r>
        <w:rPr>
          <w:rFonts w:hint="eastAsia" w:ascii="仿宋" w:hAnsi="仿宋" w:eastAsia="仿宋" w:cs="仿宋"/>
          <w:color w:val="000000" w:themeColor="text1"/>
          <w:sz w:val="22"/>
          <w:highlight w:val="none"/>
          <w14:textFill>
            <w14:solidFill>
              <w14:schemeClr w14:val="tx1"/>
            </w14:solidFill>
          </w14:textFill>
        </w:rPr>
        <w:t>乙方和乙方工作人员应对甲方提供的资料，以及对在项目实施过程中知悉的秘密（包括不限于国家秘密、科研秘密、商业秘密、群众个人信息等所有秘密）履行保密义务，不得就所涉及的秘密及敏感信息以单位或者个人名义公开披露和公开发表观点。</w:t>
      </w:r>
    </w:p>
    <w:p w14:paraId="2B83CFDB">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16.2本合同应按照中华人民共和国的现行法律进行解释。</w:t>
      </w:r>
    </w:p>
    <w:p w14:paraId="48B7A1B0">
      <w:pPr>
        <w:wordWrap w:val="0"/>
        <w:topLinePunct/>
        <w:spacing w:line="360" w:lineRule="auto"/>
        <w:ind w:firstLine="440" w:firstLineChars="200"/>
        <w:jc w:val="left"/>
        <w:rPr>
          <w:rFonts w:ascii="仿宋" w:hAnsi="仿宋" w:eastAsia="仿宋" w:cs="仿宋"/>
          <w:color w:val="000000" w:themeColor="text1"/>
          <w:kern w:val="0"/>
          <w:sz w:val="22"/>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16.3本合同语言为简体中文，双方交换的与合同有关的信函均按此书写。</w:t>
      </w:r>
    </w:p>
    <w:p w14:paraId="6CF1452F">
      <w:pPr>
        <w:wordWrap w:val="0"/>
        <w:topLinePunct/>
        <w:spacing w:line="360" w:lineRule="auto"/>
        <w:ind w:firstLine="441"/>
        <w:jc w:val="left"/>
        <w:rPr>
          <w:rFonts w:ascii="仿宋" w:hAnsi="仿宋" w:eastAsia="仿宋" w:cs="仿宋"/>
          <w:b/>
          <w:bCs/>
          <w:color w:val="000000" w:themeColor="text1"/>
          <w:sz w:val="22"/>
          <w:highlight w:val="none"/>
          <w14:textFill>
            <w14:solidFill>
              <w14:schemeClr w14:val="tx1"/>
            </w14:solidFill>
          </w14:textFill>
        </w:rPr>
      </w:pPr>
      <w:r>
        <w:rPr>
          <w:rFonts w:hint="eastAsia" w:ascii="仿宋" w:hAnsi="仿宋" w:eastAsia="仿宋" w:cs="仿宋"/>
          <w:color w:val="000000" w:themeColor="text1"/>
          <w:sz w:val="22"/>
          <w:highlight w:val="none"/>
          <w14:textFill>
            <w14:solidFill>
              <w14:schemeClr w14:val="tx1"/>
            </w14:solidFill>
          </w14:textFill>
        </w:rPr>
        <w:t>16.4</w:t>
      </w:r>
      <w:r>
        <w:rPr>
          <w:rFonts w:hint="eastAsia" w:ascii="仿宋" w:hAnsi="仿宋" w:eastAsia="仿宋" w:cs="仿宋"/>
          <w:color w:val="000000" w:themeColor="text1"/>
          <w:kern w:val="0"/>
          <w:sz w:val="22"/>
          <w:highlight w:val="none"/>
          <w14:textFill>
            <w14:solidFill>
              <w14:schemeClr w14:val="tx1"/>
            </w14:solidFill>
          </w14:textFill>
        </w:rPr>
        <w:t xml:space="preserve"> 除技术规范中另有规定外,计量单位均使用中华人民共和国法定计量单位。</w:t>
      </w:r>
    </w:p>
    <w:p w14:paraId="6AB4530B">
      <w:pPr>
        <w:wordWrap w:val="0"/>
        <w:topLinePunct/>
        <w:spacing w:line="360" w:lineRule="auto"/>
        <w:ind w:firstLine="442" w:firstLineChars="200"/>
        <w:jc w:val="left"/>
        <w:rPr>
          <w:rFonts w:ascii="仿宋" w:hAnsi="仿宋" w:eastAsia="仿宋" w:cs="仿宋"/>
          <w:b/>
          <w:color w:val="000000" w:themeColor="text1"/>
          <w:kern w:val="0"/>
          <w:sz w:val="22"/>
          <w:highlight w:val="none"/>
          <w14:textFill>
            <w14:solidFill>
              <w14:schemeClr w14:val="tx1"/>
            </w14:solidFill>
          </w14:textFill>
        </w:rPr>
      </w:pPr>
      <w:r>
        <w:rPr>
          <w:rFonts w:hint="eastAsia" w:ascii="仿宋" w:hAnsi="仿宋" w:eastAsia="仿宋" w:cs="仿宋"/>
          <w:b/>
          <w:color w:val="000000" w:themeColor="text1"/>
          <w:kern w:val="0"/>
          <w:sz w:val="22"/>
          <w:highlight w:val="none"/>
          <w14:textFill>
            <w14:solidFill>
              <w14:schemeClr w14:val="tx1"/>
            </w14:solidFill>
          </w14:textFill>
        </w:rPr>
        <w:t>17.合同生效</w:t>
      </w:r>
    </w:p>
    <w:p w14:paraId="57F3669E">
      <w:pPr>
        <w:topLinePunct/>
        <w:spacing w:line="360" w:lineRule="auto"/>
        <w:ind w:firstLine="440" w:firstLineChars="200"/>
        <w:jc w:val="left"/>
        <w:rPr>
          <w:rFonts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color w:val="000000" w:themeColor="text1"/>
          <w:kern w:val="0"/>
          <w:sz w:val="22"/>
          <w:highlight w:val="none"/>
          <w14:textFill>
            <w14:solidFill>
              <w14:schemeClr w14:val="tx1"/>
            </w14:solidFill>
          </w14:textFill>
        </w:rPr>
        <w:t>17.1</w:t>
      </w:r>
      <w:r>
        <w:rPr>
          <w:rFonts w:hint="eastAsia" w:ascii="仿宋" w:hAnsi="仿宋" w:eastAsia="仿宋" w:cs="仿宋"/>
          <w:color w:val="000000" w:themeColor="text1"/>
          <w:sz w:val="22"/>
          <w:highlight w:val="none"/>
          <w14:textFill>
            <w14:solidFill>
              <w14:schemeClr w14:val="tx1"/>
            </w14:solidFill>
          </w14:textFill>
        </w:rPr>
        <w:t>本合同在甲乙双方盖公章后生效。</w:t>
      </w:r>
    </w:p>
    <w:p w14:paraId="510135FF">
      <w:pPr>
        <w:rPr>
          <w:color w:val="000000" w:themeColor="text1"/>
          <w:highlight w:val="none"/>
          <w14:textFill>
            <w14:solidFill>
              <w14:schemeClr w14:val="tx1"/>
            </w14:solidFill>
          </w14:textFill>
        </w:rPr>
      </w:pPr>
    </w:p>
    <w:p w14:paraId="532EF69A">
      <w:pPr>
        <w:pStyle w:val="13"/>
      </w:pPr>
    </w:p>
    <w:p w14:paraId="1C6F3025">
      <w:pPr>
        <w:pStyle w:val="13"/>
        <w:rPr>
          <w:rFonts w:hint="eastAsia"/>
          <w:lang w:val="en-US" w:eastAsia="zh-Hans"/>
        </w:rPr>
      </w:pPr>
    </w:p>
    <w:p w14:paraId="4F4B93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4EDE1">
    <w:pPr>
      <w:pStyle w:val="5"/>
    </w:pPr>
    <w:r>
      <w:t>陕西博源招标服务有限公司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C1279">
    <w:pPr>
      <w:pStyle w:val="5"/>
      <w:jc w:val="center"/>
      <w:rPr>
        <w:rFonts w:ascii="仿宋" w:hAnsi="仿宋" w:eastAsia="仿宋"/>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47C672">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247C672">
                    <w:pPr>
                      <w:pStyle w:val="5"/>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C8AC056"/>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14:paraId="4C8AC056"/>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1CFA5">
    <w:pPr>
      <w:pStyle w:val="6"/>
      <w:pBdr>
        <w:bottom w:val="none" w:color="auto" w:sz="0" w:space="0"/>
      </w:pBdr>
      <w:jc w:val="lef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93914">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A5EB9">
    <w:pPr>
      <w:pStyle w:val="6"/>
      <w:pBdr>
        <w:bottom w:val="none" w:color="auto" w:sz="0" w:space="1"/>
      </w:pBdr>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2AD72">
    <w:pPr>
      <w:pStyle w:val="6"/>
      <w:pBdr>
        <w:bottom w:val="none" w:color="auto" w:sz="0" w:space="1"/>
      </w:pBdr>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A97A9A"/>
    <w:multiLevelType w:val="multilevel"/>
    <w:tmpl w:val="A0A97A9A"/>
    <w:lvl w:ilvl="0" w:tentative="0">
      <w:start w:val="1"/>
      <w:numFmt w:val="chineseCounting"/>
      <w:lvlText w:val="%1."/>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1" w:hanging="1151"/>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0B50FB"/>
    <w:rsid w:val="500B5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4"/>
    <w:basedOn w:val="1"/>
    <w:next w:val="1"/>
    <w:semiHidden/>
    <w:unhideWhenUsed/>
    <w:qFormat/>
    <w:uiPriority w:val="0"/>
    <w:pPr>
      <w:keepNext/>
      <w:keepLines/>
      <w:numPr>
        <w:ilvl w:val="3"/>
        <w:numId w:val="1"/>
      </w:numPr>
      <w:spacing w:before="160" w:after="170" w:line="376" w:lineRule="auto"/>
      <w:ind w:left="864" w:leftChars="0" w:rightChars="100" w:hanging="864"/>
      <w:outlineLvl w:val="3"/>
    </w:pPr>
    <w:rPr>
      <w:rFonts w:ascii="Calibri Light" w:hAnsi="Calibri Light" w:eastAsia="宋体" w:cs="Times New Roman"/>
      <w:bCs/>
      <w:sz w:val="28"/>
      <w:szCs w:val="28"/>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spacing w:line="360" w:lineRule="auto"/>
    </w:pPr>
    <w:rPr>
      <w:rFonts w:ascii="Tahoma" w:hAnsi="Tahoma"/>
    </w:rPr>
  </w:style>
  <w:style w:type="paragraph" w:styleId="4">
    <w:name w:val="Plain Text"/>
    <w:basedOn w:val="1"/>
    <w:qFormat/>
    <w:uiPriority w:val="0"/>
    <w:pPr>
      <w:spacing w:line="360" w:lineRule="auto"/>
    </w:pPr>
    <w:rPr>
      <w:rFonts w:ascii="宋体" w:hAnsi="Courier New"/>
      <w:szCs w:val="21"/>
    </w:rPr>
  </w:style>
  <w:style w:type="paragraph" w:styleId="5">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paragraph" w:styleId="6">
    <w:name w:val="header"/>
    <w:basedOn w:val="1"/>
    <w:next w:val="3"/>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sz w:val="18"/>
      <w:szCs w:val="18"/>
    </w:rPr>
  </w:style>
  <w:style w:type="paragraph" w:styleId="7">
    <w:name w:val="toc 1"/>
    <w:basedOn w:val="1"/>
    <w:next w:val="1"/>
    <w:unhideWhenUsed/>
    <w:qFormat/>
    <w:uiPriority w:val="39"/>
    <w:pPr>
      <w:tabs>
        <w:tab w:val="right" w:leader="dot" w:pos="8296"/>
      </w:tabs>
      <w:spacing w:beforeLines="50" w:afterLines="50"/>
      <w:ind w:firstLine="241" w:firstLineChars="100"/>
    </w:pPr>
    <w:rPr>
      <w:rFonts w:ascii="Times New Roman" w:hAnsi="Times New Roman"/>
      <w:szCs w:val="24"/>
    </w:rPr>
  </w:style>
  <w:style w:type="paragraph" w:styleId="8">
    <w:name w:val="footnote text"/>
    <w:basedOn w:val="1"/>
    <w:unhideWhenUsed/>
    <w:qFormat/>
    <w:uiPriority w:val="99"/>
    <w:pPr>
      <w:snapToGrid w:val="0"/>
      <w:spacing w:line="360" w:lineRule="auto"/>
      <w:ind w:firstLine="200" w:firstLineChars="200"/>
      <w:jc w:val="left"/>
    </w:pPr>
    <w:rPr>
      <w:kern w:val="0"/>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2026-06-11T11:40:00Z</dcterms:created>
  <dc:creator>那就这样吧</dc:creator>
  <cp:lastModifiedBy>那就这样吧</cp:lastModifiedBy>
  <dcterms:modified xsi:type="dcterms:W3CDTF">2026-06-11T11:40:57Z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2567E062F3DC4E9F807E63B631984519_11</vt:lpwstr>
  </property>
  <property fmtid="{D5CDD505-2E9C-101B-9397-08002B2CF9AE}" pid="4" name="KSOTemplateDocerSaveRecord">
    <vt:lpwstr>eyJoZGlkIjoiNzM3ZTFhZWQxMThkOTVlMmI2YWFlMWQyOWI1Y2ZhOTciLCJ1c2VySWQiOiIyNzIwNjQ2ODcifQ==</vt:lpwstr>
  </property>
</Properties>
</file>