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西安职业技术学院院本部培训公寓维修项目竞争性磋商公告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院本部培训公寓维修项目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2026年06月11日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项目编号：YMD-2026061F</w:t>
      </w:r>
    </w:p>
    <w:p>
      <w:pPr>
        <w:pStyle w:val="null3"/>
      </w:pPr>
      <w:r>
        <w:rPr>
          <w:rFonts w:ascii="仿宋_GB2312" w:hAnsi="仿宋_GB2312" w:cs="仿宋_GB2312" w:eastAsia="仿宋_GB2312"/>
        </w:rPr>
        <w:t>项目名称：院本部培训公寓维修项目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采购包1：50日历日（2026年7月15日--2026年9月3日）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合同包1(院本部培训公寓维修项目)落实政府采购政策需满足的资格要求如下: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合同包1(院本部培训公寓维修项目)特定资格要求如下:</w:t>
      </w:r>
    </w:p>
    <w:p>
      <w:pPr>
        <w:pStyle w:val="null3"/>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(1)具有独立承担民事责任能力的法人、其他组织或自然人，提供合法有效的统一社会信用代码营业执照（事业单位提供事业单位法人证书，自然人提供身份证明）。</w:t>
      </w:r>
    </w:p>
    <w:p>
      <w:pPr>
        <w:pStyle w:val="null3"/>
      </w:pPr>
      <w:r>
        <w:rPr>
          <w:rFonts w:ascii="仿宋_GB2312" w:hAnsi="仿宋_GB2312" w:cs="仿宋_GB2312" w:eastAsia="仿宋_GB2312"/>
        </w:rPr>
        <w:t>(2)提供经审计的2024年度或2025年度财务审计报告（成立时间至提交投标文件截止时间不足一年的可提供成立后任意时段的资产负债表），或提交投标截止时间前3个月内开户银行出具的资信证明（附基本存款账户信息）。</w:t>
      </w:r>
    </w:p>
    <w:p>
      <w:pPr>
        <w:pStyle w:val="null3"/>
      </w:pPr>
      <w:r>
        <w:rPr>
          <w:rFonts w:ascii="仿宋_GB2312" w:hAnsi="仿宋_GB2312" w:cs="仿宋_GB2312" w:eastAsia="仿宋_GB2312"/>
        </w:rPr>
        <w:t>(3)提供投标截止时间前12个月内至少一个月纳税证明或完税证明，纳税证明或完税证明上应有代收机构或税务机关的公章或业务专用章；其他组织和自然人提供投标截止时间前12个月内至少一个月缴纳税收的凭据；依法免税的投标人应提供相关文件证明。</w:t>
      </w:r>
    </w:p>
    <w:p>
      <w:pPr>
        <w:pStyle w:val="null3"/>
      </w:pPr>
      <w:r>
        <w:rPr>
          <w:rFonts w:ascii="仿宋_GB2312" w:hAnsi="仿宋_GB2312" w:cs="仿宋_GB2312" w:eastAsia="仿宋_GB2312"/>
        </w:rPr>
        <w:t>(4)提供投标截止时间前12个月内至少一个月已缴纳的社会保障资金的证明（社会保障资金缴存单据或社保机构开具的社会保险参保缴费情况证明等）；依法不需要缴纳社会保障资金的投标人应提供相关文件证明。</w:t>
      </w:r>
    </w:p>
    <w:p>
      <w:pPr>
        <w:pStyle w:val="null3"/>
      </w:pPr>
      <w:r>
        <w:rPr>
          <w:rFonts w:ascii="仿宋_GB2312" w:hAnsi="仿宋_GB2312" w:cs="仿宋_GB2312" w:eastAsia="仿宋_GB2312"/>
        </w:rPr>
        <w:t>(5)参加本次政府采购活动前3年内在经营活动中没有重大违法记录，以及未被列入失信被执行人、重大税收违法案件当事人名单、政府采购严重违法失信行为记录名单的书面声明。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(6)供应商须提供具有履行合同所必需的设备和专业技术能力的承诺。</w:t>
      </w:r>
    </w:p>
    <w:p>
      <w:pPr>
        <w:pStyle w:val="null3"/>
      </w:pPr>
      <w:r>
        <w:rPr>
          <w:rFonts w:ascii="仿宋_GB2312" w:hAnsi="仿宋_GB2312" w:cs="仿宋_GB2312" w:eastAsia="仿宋_GB2312"/>
        </w:rPr>
        <w:t>(7)供应商应在信用中国、中国执行信息公开网和中国政府采购网（www.ccgp.gov.cn）可查询信用记录，并且未被列入失信被执行人、重大税收违法案件当事人名单、政府采购严重违法失信行为记录名单等，以磋商当日现场查询结果截图形式留存。</w:t>
      </w:r>
    </w:p>
    <w:p>
      <w:pPr>
        <w:pStyle w:val="null3"/>
      </w:pPr>
      <w:r>
        <w:rPr>
          <w:rFonts w:ascii="仿宋_GB2312" w:hAnsi="仿宋_GB2312" w:cs="仿宋_GB2312" w:eastAsia="仿宋_GB2312"/>
        </w:rPr>
        <w:t>(8)供应商应授权合法的人员参与磋商全过程，其中法定代表人直接磋商，须附法定代表人身份证明书。法定代表人授权代表参加磋商的，须附法定代表人授权书。</w:t>
      </w:r>
    </w:p>
    <w:p>
      <w:pPr>
        <w:pStyle w:val="null3"/>
      </w:pPr>
      <w:r>
        <w:rPr>
          <w:rFonts w:ascii="仿宋_GB2312" w:hAnsi="仿宋_GB2312" w:cs="仿宋_GB2312" w:eastAsia="仿宋_GB2312"/>
        </w:rPr>
        <w:t>(9)供应商须具备建设行政主管部门颁发的建筑工程施工总承包三级及以上资质,同时具有有效的安全生产许可证。</w:t>
      </w:r>
    </w:p>
    <w:p>
      <w:pPr>
        <w:pStyle w:val="null3"/>
      </w:pPr>
      <w:r>
        <w:rPr>
          <w:rFonts w:ascii="仿宋_GB2312" w:hAnsi="仿宋_GB2312" w:cs="仿宋_GB2312" w:eastAsia="仿宋_GB2312"/>
        </w:rPr>
        <w:t>(10)证书等级：二级及以上注册建造师资格 专业：建筑工程专业 补充说明：拟派项目经理须具备建筑工程专业二级及以上注册建造师资质并具有有效的安全生产考核合格证，在本单位注册且无在建工程、无不良记录（提供承诺书）。</w:t>
      </w:r>
    </w:p>
    <w:p>
      <w:pPr>
        <w:pStyle w:val="null3"/>
      </w:pPr>
      <w:r>
        <w:rPr>
          <w:rFonts w:ascii="仿宋_GB2312" w:hAnsi="仿宋_GB2312" w:cs="仿宋_GB2312" w:eastAsia="仿宋_GB2312"/>
        </w:rPr>
        <w:t>(11)本次项目不接受联合体。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2026年06月01日 </w:t>
      </w:r>
      <w:r>
        <w:rPr>
          <w:rFonts w:ascii="仿宋_GB2312" w:hAnsi="仿宋_GB2312" w:cs="仿宋_GB2312" w:eastAsia="仿宋_GB2312"/>
        </w:rPr>
        <w:t>至</w:t>
      </w:r>
      <w:r>
        <w:rPr>
          <w:rFonts w:ascii="仿宋_GB2312" w:hAnsi="仿宋_GB2312" w:cs="仿宋_GB2312" w:eastAsia="仿宋_GB2312"/>
        </w:rPr>
        <w:t xml:space="preserve"> 2026年06月05日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2026年06月11日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2026年06月11日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color w:val="333333"/>
          <w:shd w:fill="FFFFFF" w:val="clear"/>
        </w:rPr>
        <w:t>（六）执行的其他政府采购政策</w:t>
      </w:r>
    </w:p>
    <w:p>
      <w:pPr>
        <w:pStyle w:val="null3"/>
        <w:ind w:firstLine="480"/>
        <w:jc w:val="both"/>
      </w:pPr>
      <w:r>
        <w:rPr>
          <w:rFonts w:ascii="仿宋_GB2312" w:hAnsi="仿宋_GB2312" w:cs="仿宋_GB2312" w:eastAsia="仿宋_GB2312"/>
          <w:sz w:val="21"/>
          <w:shd w:fill="FFFFFF" w:val="clear"/>
        </w:rPr>
        <w:t>（1）《国务院办公厅关于建立政府强制采购节能产品制度的通知》（国办发〔2007〕51号）；</w:t>
      </w:r>
    </w:p>
    <w:p>
      <w:pPr>
        <w:pStyle w:val="null3"/>
        <w:ind w:firstLine="480"/>
        <w:jc w:val="both"/>
      </w:pPr>
      <w:r>
        <w:rPr>
          <w:rFonts w:ascii="仿宋_GB2312" w:hAnsi="仿宋_GB2312" w:cs="仿宋_GB2312" w:eastAsia="仿宋_GB2312"/>
          <w:sz w:val="21"/>
          <w:shd w:fill="FFFFFF" w:val="clear"/>
        </w:rPr>
        <w:t>（2）《财政部 司法部关于政府采购支持监狱企业发展有关问题的通知》（财库〔2014〕68号）；</w:t>
      </w:r>
    </w:p>
    <w:p>
      <w:pPr>
        <w:pStyle w:val="null3"/>
        <w:ind w:firstLine="480"/>
        <w:jc w:val="both"/>
      </w:pPr>
      <w:r>
        <w:rPr>
          <w:rFonts w:ascii="仿宋_GB2312" w:hAnsi="仿宋_GB2312" w:cs="仿宋_GB2312" w:eastAsia="仿宋_GB2312"/>
          <w:sz w:val="21"/>
          <w:shd w:fill="FFFFFF" w:val="clear"/>
        </w:rPr>
        <w:t>（3）《财政部、民政部、中国残疾人联合会关于促进残疾人就业政府采购政策的通知》（财库〔2017〕141号）；</w:t>
      </w:r>
    </w:p>
    <w:p>
      <w:pPr>
        <w:pStyle w:val="null3"/>
        <w:ind w:firstLine="480"/>
        <w:jc w:val="both"/>
      </w:pPr>
      <w:r>
        <w:rPr>
          <w:rFonts w:ascii="仿宋_GB2312" w:hAnsi="仿宋_GB2312" w:cs="仿宋_GB2312" w:eastAsia="仿宋_GB2312"/>
          <w:sz w:val="21"/>
          <w:shd w:fill="FFFFFF" w:val="clear"/>
        </w:rPr>
        <w:t>（4）《财政部 发展改革委 生态环境部 市场监管总局关于调整优化节能产品、环境标志产品政府采购执行机制的通知》（财库〔2019〕9号）；</w:t>
      </w:r>
    </w:p>
    <w:p>
      <w:pPr>
        <w:pStyle w:val="null3"/>
        <w:ind w:firstLine="480"/>
        <w:jc w:val="both"/>
      </w:pPr>
      <w:r>
        <w:rPr>
          <w:rFonts w:ascii="仿宋_GB2312" w:hAnsi="仿宋_GB2312" w:cs="仿宋_GB2312" w:eastAsia="仿宋_GB2312"/>
          <w:sz w:val="21"/>
          <w:shd w:fill="FFFFFF" w:val="clear"/>
        </w:rPr>
        <w:t>（5）《关于印发环境标志产品政府采购品目清单的通知》（财库〔2019〕18号）；</w:t>
      </w:r>
    </w:p>
    <w:p>
      <w:pPr>
        <w:pStyle w:val="null3"/>
        <w:ind w:firstLine="480"/>
        <w:jc w:val="both"/>
      </w:pPr>
      <w:r>
        <w:rPr>
          <w:rFonts w:ascii="仿宋_GB2312" w:hAnsi="仿宋_GB2312" w:cs="仿宋_GB2312" w:eastAsia="仿宋_GB2312"/>
          <w:sz w:val="21"/>
          <w:shd w:fill="FFFFFF" w:val="clear"/>
        </w:rPr>
        <w:t>（6）《关于印发节能产品政府采购品目清单的通知》（财库〔2019〕19号）；</w:t>
      </w:r>
    </w:p>
    <w:p>
      <w:pPr>
        <w:pStyle w:val="null3"/>
        <w:ind w:firstLine="480"/>
        <w:jc w:val="both"/>
      </w:pPr>
      <w:r>
        <w:rPr>
          <w:rFonts w:ascii="仿宋_GB2312" w:hAnsi="仿宋_GB2312" w:cs="仿宋_GB2312" w:eastAsia="仿宋_GB2312"/>
          <w:sz w:val="21"/>
          <w:shd w:fill="FFFFFF" w:val="clear"/>
        </w:rPr>
        <w:t>（7）《关于运用政府采购政策支持乡村产业振兴的通知》（财库〔2021〕19号）；</w:t>
      </w:r>
    </w:p>
    <w:p>
      <w:pPr>
        <w:pStyle w:val="null3"/>
        <w:ind w:firstLine="480"/>
        <w:jc w:val="both"/>
      </w:pPr>
      <w:r>
        <w:rPr>
          <w:rFonts w:ascii="仿宋_GB2312" w:hAnsi="仿宋_GB2312" w:cs="仿宋_GB2312" w:eastAsia="仿宋_GB2312"/>
          <w:sz w:val="21"/>
          <w:shd w:fill="FFFFFF" w:val="clear"/>
        </w:rPr>
        <w:t>（8）《政府采购促进中小企业发展管理办法》（财库〔2020〕46号）；</w:t>
      </w:r>
    </w:p>
    <w:p>
      <w:pPr>
        <w:pStyle w:val="null3"/>
        <w:ind w:firstLine="480"/>
        <w:jc w:val="both"/>
      </w:pPr>
      <w:r>
        <w:rPr>
          <w:rFonts w:ascii="仿宋_GB2312" w:hAnsi="仿宋_GB2312" w:cs="仿宋_GB2312" w:eastAsia="仿宋_GB2312"/>
          <w:sz w:val="21"/>
          <w:shd w:fill="FFFFFF" w:val="clear"/>
        </w:rPr>
        <w:t>（9） 《陕西省财政厅关于印发&lt;陕西省中小企业政府采购信用融资办法&gt;的通知》（陕财办采〔2018〕23号；</w:t>
      </w:r>
    </w:p>
    <w:p>
      <w:pPr>
        <w:pStyle w:val="null3"/>
        <w:ind w:firstLine="480"/>
        <w:jc w:val="both"/>
      </w:pPr>
      <w:r>
        <w:rPr>
          <w:rFonts w:ascii="仿宋_GB2312" w:hAnsi="仿宋_GB2312" w:cs="仿宋_GB2312" w:eastAsia="仿宋_GB2312"/>
          <w:sz w:val="21"/>
          <w:shd w:fill="FFFFFF" w:val="clear"/>
        </w:rPr>
        <w:t>（10）陕西省财政厅《关于加快推进我省中小企业政府采购信用融资工作的通知》（陕财办采〔2020〕15号）；</w:t>
      </w:r>
    </w:p>
    <w:p>
      <w:pPr>
        <w:pStyle w:val="null3"/>
        <w:ind w:firstLine="480"/>
        <w:jc w:val="both"/>
      </w:pPr>
      <w:r>
        <w:rPr>
          <w:rFonts w:ascii="仿宋_GB2312" w:hAnsi="仿宋_GB2312" w:cs="仿宋_GB2312" w:eastAsia="仿宋_GB2312"/>
          <w:sz w:val="21"/>
          <w:shd w:fill="FFFFFF" w:val="clear"/>
        </w:rPr>
        <w:t>（11）陕西省财政厅《关于进一步加强政府绿色采购有关问</w:t>
      </w:r>
      <w:r>
        <w:rPr>
          <w:rFonts w:ascii="仿宋_GB2312" w:hAnsi="仿宋_GB2312" w:cs="仿宋_GB2312" w:eastAsia="仿宋_GB2312"/>
          <w:sz w:val="21"/>
          <w:color w:val="333333"/>
          <w:shd w:fill="FFFFFF" w:val="clear"/>
        </w:rPr>
        <w:t>题的通知》（陕财办采〔2021〕29号）；</w:t>
      </w:r>
    </w:p>
    <w:p>
      <w:pPr>
        <w:pStyle w:val="null3"/>
        <w:ind w:firstLine="480"/>
        <w:jc w:val="both"/>
      </w:pPr>
      <w:r>
        <w:rPr>
          <w:rFonts w:ascii="仿宋_GB2312" w:hAnsi="仿宋_GB2312" w:cs="仿宋_GB2312" w:eastAsia="仿宋_GB2312"/>
          <w:sz w:val="21"/>
          <w:color w:val="333333"/>
          <w:shd w:fill="FFFFFF" w:val="clear"/>
        </w:rPr>
        <w:t>（12）《陕西省财政厅关于落实政府采购支持中小企业政策有关事项的通知》陕财办采函〔2022〕10号；</w:t>
      </w:r>
    </w:p>
    <w:p>
      <w:pPr>
        <w:pStyle w:val="null3"/>
        <w:ind w:firstLine="480"/>
        <w:jc w:val="both"/>
      </w:pPr>
      <w:r>
        <w:rPr>
          <w:rFonts w:ascii="仿宋_GB2312" w:hAnsi="仿宋_GB2312" w:cs="仿宋_GB2312" w:eastAsia="仿宋_GB2312"/>
          <w:sz w:val="21"/>
          <w:color w:val="333333"/>
          <w:shd w:fill="FFFFFF" w:val="clear"/>
        </w:rPr>
        <w:t>（13）《关于进一步加大政府采购支持中小企业力度的通知》（财库〔2022〕19号；</w:t>
      </w:r>
    </w:p>
    <w:p>
      <w:pPr>
        <w:pStyle w:val="null3"/>
        <w:ind w:firstLine="480"/>
        <w:jc w:val="both"/>
      </w:pPr>
      <w:r>
        <w:rPr>
          <w:rFonts w:ascii="仿宋_GB2312" w:hAnsi="仿宋_GB2312" w:cs="仿宋_GB2312" w:eastAsia="仿宋_GB2312"/>
          <w:sz w:val="21"/>
          <w:color w:val="333333"/>
          <w:shd w:fill="FFFFFF" w:val="clear"/>
        </w:rPr>
        <w:t>（14）《关于扩大政府采购支持绿色建材促进建筑品质提升政策实施范围的通知》财库〔2022〕35号；</w:t>
      </w:r>
    </w:p>
    <w:p>
      <w:pPr>
        <w:pStyle w:val="null3"/>
        <w:ind w:firstLine="480"/>
        <w:jc w:val="both"/>
      </w:pPr>
      <w:r>
        <w:rPr>
          <w:rFonts w:ascii="仿宋_GB2312" w:hAnsi="仿宋_GB2312" w:cs="仿宋_GB2312" w:eastAsia="仿宋_GB2312"/>
          <w:sz w:val="21"/>
          <w:color w:val="333333"/>
          <w:shd w:fill="FFFFFF" w:val="clear"/>
        </w:rPr>
        <w:t>（15）《陕西省财政厅关于进一步落实政府采购支持中小企业相关政策的通知》陕财办采〔2023〕3号；</w:t>
      </w:r>
    </w:p>
    <w:p>
      <w:pPr>
        <w:pStyle w:val="null3"/>
        <w:ind w:firstLine="480"/>
        <w:jc w:val="both"/>
      </w:pPr>
      <w:r>
        <w:rPr>
          <w:rFonts w:ascii="仿宋_GB2312" w:hAnsi="仿宋_GB2312" w:cs="仿宋_GB2312" w:eastAsia="仿宋_GB2312"/>
          <w:sz w:val="21"/>
          <w:color w:val="333333"/>
          <w:shd w:fill="FFFFFF" w:val="clear"/>
        </w:rPr>
        <w:t>（16）《陕西省财政厅关于进一步优化政府采购营商环境有关事项的通知》陕财办采〔2023〕4号；</w:t>
      </w:r>
    </w:p>
    <w:p>
      <w:pPr>
        <w:pStyle w:val="null3"/>
        <w:ind w:firstLine="480"/>
        <w:jc w:val="both"/>
      </w:pPr>
      <w:r>
        <w:rPr>
          <w:rFonts w:ascii="仿宋_GB2312" w:hAnsi="仿宋_GB2312" w:cs="仿宋_GB2312" w:eastAsia="仿宋_GB2312"/>
          <w:sz w:val="21"/>
          <w:color w:val="333333"/>
        </w:rPr>
        <w:t>（</w:t>
      </w:r>
      <w:r>
        <w:rPr>
          <w:rFonts w:ascii="仿宋_GB2312" w:hAnsi="仿宋_GB2312" w:cs="仿宋_GB2312" w:eastAsia="仿宋_GB2312"/>
          <w:sz w:val="21"/>
          <w:color w:val="333333"/>
        </w:rPr>
        <w:t>17</w:t>
      </w:r>
      <w:r>
        <w:rPr>
          <w:rFonts w:ascii="仿宋_GB2312" w:hAnsi="仿宋_GB2312" w:cs="仿宋_GB2312" w:eastAsia="仿宋_GB2312"/>
          <w:sz w:val="21"/>
          <w:color w:val="333333"/>
        </w:rPr>
        <w:t>）其他需要落实的政府采购政策。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西安职业技术学院</w:t>
      </w:r>
    </w:p>
    <w:p>
      <w:pPr>
        <w:pStyle w:val="null3"/>
      </w:pPr>
      <w:r>
        <w:rPr>
          <w:rFonts w:ascii="仿宋_GB2312" w:hAnsi="仿宋_GB2312" w:cs="仿宋_GB2312" w:eastAsia="仿宋_GB2312"/>
        </w:rPr>
        <w:t>地址：</w:t>
      </w:r>
      <w:r>
        <w:rPr>
          <w:rFonts w:ascii="仿宋_GB2312" w:hAnsi="仿宋_GB2312" w:cs="仿宋_GB2312" w:eastAsia="仿宋_GB2312"/>
        </w:rPr>
        <w:t>雁塔区鱼斗路251号</w:t>
      </w:r>
    </w:p>
    <w:p>
      <w:pPr>
        <w:pStyle w:val="null3"/>
      </w:pPr>
      <w:r>
        <w:rPr>
          <w:rFonts w:ascii="仿宋_GB2312" w:hAnsi="仿宋_GB2312" w:cs="仿宋_GB2312" w:eastAsia="仿宋_GB2312"/>
        </w:rPr>
        <w:t>联系方式：</w:t>
      </w:r>
      <w:r>
        <w:rPr>
          <w:rFonts w:ascii="仿宋_GB2312" w:hAnsi="仿宋_GB2312" w:cs="仿宋_GB2312" w:eastAsia="仿宋_GB2312"/>
        </w:rPr>
        <w:t>13384981699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永明项目管理有限公司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陕西省西咸新区沣西新城尚业路1309号总部经济园6号楼516室</w:t>
      </w:r>
    </w:p>
    <w:p>
      <w:pPr>
        <w:pStyle w:val="null3"/>
      </w:pPr>
      <w:r>
        <w:rPr>
          <w:rFonts w:ascii="仿宋_GB2312" w:hAnsi="仿宋_GB2312" w:cs="仿宋_GB2312" w:eastAsia="仿宋_GB2312"/>
        </w:rPr>
        <w:t>联系方式：</w:t>
      </w:r>
      <w:r>
        <w:rPr>
          <w:rFonts w:ascii="仿宋_GB2312" w:hAnsi="仿宋_GB2312" w:cs="仿宋_GB2312" w:eastAsia="仿宋_GB2312"/>
        </w:rPr>
        <w:t>18182603963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王彩玲</w:t>
      </w:r>
    </w:p>
    <w:p>
      <w:pPr>
        <w:pStyle w:val="null3"/>
      </w:pPr>
      <w:r>
        <w:rPr>
          <w:rFonts w:ascii="仿宋_GB2312" w:hAnsi="仿宋_GB2312" w:cs="仿宋_GB2312" w:eastAsia="仿宋_GB2312"/>
        </w:rPr>
        <w:t>电话：</w:t>
      </w:r>
      <w:r>
        <w:rPr>
          <w:rFonts w:ascii="仿宋_GB2312" w:hAnsi="仿宋_GB2312" w:cs="仿宋_GB2312" w:eastAsia="仿宋_GB2312"/>
        </w:rPr>
        <w:t>18182603963</w:t>
      </w:r>
    </w:p>
    <w:p>
      <w:pPr>
        <w:pStyle w:val="null3"/>
        <w:jc w:val="right"/>
      </w:pPr>
      <w:r>
        <w:rPr>
          <w:rFonts w:ascii="仿宋_GB2312" w:hAnsi="仿宋_GB2312" w:cs="仿宋_GB2312" w:eastAsia="仿宋_GB2312"/>
        </w:rPr>
        <w:t>永明项目管理有限公司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