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版本号：RTYZB-2026-ZB-00420260820002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大荔经济技术开发区详细规划编制工作服务项目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RTYZB-2026-ZB-004</w:t>
      </w:r>
      <w:r>
        <w:br/>
      </w:r>
      <w:r>
        <w:br/>
      </w:r>
      <w:r>
        <w:br/>
      </w:r>
    </w:p>
    <w:p>
      <w:pPr>
        <w:pStyle w:val="null3"/>
        <w:jc w:val="center"/>
        <w:outlineLvl w:val="2"/>
      </w:pPr>
      <w:r>
        <w:rPr>
          <w:rFonts w:ascii="仿宋_GB2312" w:hAnsi="仿宋_GB2312" w:cs="仿宋_GB2312" w:eastAsia="仿宋_GB2312"/>
          <w:sz w:val="28"/>
          <w:b/>
        </w:rPr>
        <w:t>大荔县自然资源局</w:t>
      </w:r>
    </w:p>
    <w:p>
      <w:pPr>
        <w:pStyle w:val="null3"/>
        <w:jc w:val="center"/>
        <w:outlineLvl w:val="2"/>
      </w:pPr>
      <w:r>
        <w:rPr>
          <w:rFonts w:ascii="仿宋_GB2312" w:hAnsi="仿宋_GB2312" w:cs="仿宋_GB2312" w:eastAsia="仿宋_GB2312"/>
          <w:sz w:val="28"/>
          <w:b/>
        </w:rPr>
        <w:t>陕西容天源工程项目管理有限公司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陕西容天源工程项目管理有限公司</w:t>
      </w:r>
      <w:r>
        <w:rPr>
          <w:rFonts w:ascii="仿宋_GB2312" w:hAnsi="仿宋_GB2312" w:cs="仿宋_GB2312" w:eastAsia="仿宋_GB2312"/>
        </w:rPr>
        <w:t>（以下简称“代理机构”）受</w:t>
      </w:r>
      <w:r>
        <w:rPr>
          <w:rFonts w:ascii="仿宋_GB2312" w:hAnsi="仿宋_GB2312" w:cs="仿宋_GB2312" w:eastAsia="仿宋_GB2312"/>
        </w:rPr>
        <w:t>大荔县自然资源局</w:t>
      </w:r>
      <w:r>
        <w:rPr>
          <w:rFonts w:ascii="仿宋_GB2312" w:hAnsi="仿宋_GB2312" w:cs="仿宋_GB2312" w:eastAsia="仿宋_GB2312"/>
        </w:rPr>
        <w:t>委托，拟对</w:t>
      </w:r>
      <w:r>
        <w:rPr>
          <w:rFonts w:ascii="仿宋_GB2312" w:hAnsi="仿宋_GB2312" w:cs="仿宋_GB2312" w:eastAsia="仿宋_GB2312"/>
        </w:rPr>
        <w:t>大荔经济技术开发区详细规划编制工作服务项目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RTYZB-2026-ZB-004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大荔经济技术开发区详细规划编制工作服务项目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为建⽴健全县域“⼆级三类”国⼟空间规划体系，规范⼤荔经济技术开发区国⼟空间详细规划实施监督⼯作，现组织开展⼤荔经济技术开发区详细规划的编制⼯作。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采购包1（大荔经济技术开发区详细规划编制工作服务项目）：属于专门面向中小企业采购。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1、投标人及项目负责人资质：投标人须具备相关行政主管部门颁发的城乡规划编制乙级及以上或土地规划编制乙级及以上资质证书；项目负责人须为城乡规划或土地规划类相关专业中级及以上职称。</w:t>
      </w:r>
    </w:p>
    <w:p>
      <w:pPr>
        <w:pStyle w:val="null3"/>
      </w:pPr>
      <w:r>
        <w:rPr>
          <w:rFonts w:ascii="仿宋_GB2312" w:hAnsi="仿宋_GB2312" w:cs="仿宋_GB2312" w:eastAsia="仿宋_GB2312"/>
        </w:rPr>
        <w:t>2、法定代表人身份证明书或法定代表人授权委托书：法定代表人参加投标的，须提供法定代表人身份证明文件;法定代表人授权他人参加投标的，须提供法定代表人授权委托书(附法定代表人、被授权人身份证复印件)及被授权人近半年内任意一个月的社保缴纳证明。</w:t>
      </w:r>
    </w:p>
    <w:p>
      <w:pPr>
        <w:pStyle w:val="null3"/>
      </w:pPr>
      <w:r>
        <w:rPr>
          <w:rFonts w:ascii="仿宋_GB2312" w:hAnsi="仿宋_GB2312" w:cs="仿宋_GB2312" w:eastAsia="仿宋_GB2312"/>
        </w:rPr>
        <w:t>3、信用查询：不得为信用中国网站(www.creditchina.gov.cn)“记录失信被执行人和重大税收 违法案件当事人名单”记录名单；不得为中国政府采购网(www.ccgp.gov.cn)“政府采购严重违法失信行为信息记录”的单位。</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大荔县自然资源局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大荔县东环路十字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32610500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陕西容天源工程项目管理有限公司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陕西省西安市雁塔区南⼆环东段208号西北新闻⼤厦B座2703室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13992240667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代理服务费收费标准：本项⽬收取代理服务费 代理服务费⽤收取对象：中标/成交供应商代理服务费收费标准：参考《国家计委关于印发〈招标代理服务收费管理暂⾏办法&gt;的通知》(计价格【2002】1980号)及《国家发改委关于降低部分建设项⽬收费标准规范收费⾏为等有关问题的通知》(发改价格[2011]534号)规定按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大荔县自然资源局</w:t>
      </w:r>
      <w:r>
        <w:rPr>
          <w:rFonts w:ascii="仿宋_GB2312" w:hAnsi="仿宋_GB2312" w:cs="仿宋_GB2312" w:eastAsia="仿宋_GB2312"/>
        </w:rPr>
        <w:t>和</w:t>
      </w:r>
      <w:r>
        <w:rPr>
          <w:rFonts w:ascii="仿宋_GB2312" w:hAnsi="仿宋_GB2312" w:cs="仿宋_GB2312" w:eastAsia="仿宋_GB2312"/>
        </w:rPr>
        <w:t>陕西容天源工程项目管理有限公司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大荔县自然资源局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陕西容天源工程项目管理有限公司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大荔县自然资源局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陕西容天源工程项目管理有限公司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投标⼈将在采购项⽬实施过程中采⽤⾃有或者第三⽅知识成果的，使⽤该知识成果后，投标⼈需提供开发接⼝和开发 ⼿册等技术资料，并承诺提供⽆限期⽀持，采购⼈享有使⽤权（含采购⼈委托第三⽅在该项⽬后续开发的使⽤权）。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1、本项目应按要求完成全部内容。 2、本项目验收标准应符合国家相关标准。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陕西容天源工程项目管理有限公司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陕西容天源工程项目管理有限公司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陕西容天源工程项目管理有限公司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联系人：姚露</w:t>
      </w:r>
    </w:p>
    <w:p>
      <w:pPr>
        <w:pStyle w:val="null3"/>
      </w:pPr>
      <w:r>
        <w:rPr>
          <w:rFonts w:ascii="仿宋_GB2312" w:hAnsi="仿宋_GB2312" w:cs="仿宋_GB2312" w:eastAsia="仿宋_GB2312"/>
        </w:rPr>
        <w:t>联系电话：13992240667</w:t>
      </w:r>
    </w:p>
    <w:p>
      <w:pPr>
        <w:pStyle w:val="null3"/>
      </w:pPr>
      <w:r>
        <w:rPr>
          <w:rFonts w:ascii="仿宋_GB2312" w:hAnsi="仿宋_GB2312" w:cs="仿宋_GB2312" w:eastAsia="仿宋_GB2312"/>
        </w:rPr>
        <w:t>地址：陕西省西安市雁塔区南⼆环东段208号西北新闻⼤厦B座2703室</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为建立健全县域“二级三类”国土空间规划体系，规范大荔经济技术开发区国土空间详细规划实施监督工作，现组织开展大荔经济技术开发区详细规划的编制工作。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3,140,000.00</w:t>
      </w:r>
    </w:p>
    <w:p>
      <w:pPr>
        <w:pStyle w:val="null3"/>
      </w:pPr>
      <w:r>
        <w:rPr>
          <w:rFonts w:ascii="仿宋_GB2312" w:hAnsi="仿宋_GB2312" w:cs="仿宋_GB2312" w:eastAsia="仿宋_GB2312"/>
        </w:rPr>
        <w:t>采购包最高限价（元）: 3,140,000.00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大荔经济技术开发区详细规划编制工作服务项目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标的名称：大荔经济技术开发区详细规划编制工作服务项目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一、基本要求</w:t>
            </w:r>
          </w:p>
          <w:p>
            <w:pPr>
              <w:pStyle w:val="null3"/>
            </w:pPr>
            <w:r>
              <w:rPr>
                <w:rFonts w:ascii="仿宋_GB2312" w:hAnsi="仿宋_GB2312" w:cs="仿宋_GB2312" w:eastAsia="仿宋_GB2312"/>
                <w:sz w:val="21"/>
              </w:rPr>
              <w:t>1、功能要求：</w:t>
            </w:r>
          </w:p>
          <w:p>
            <w:pPr>
              <w:pStyle w:val="null3"/>
            </w:pPr>
            <w:r>
              <w:rPr>
                <w:rFonts w:ascii="仿宋_GB2312" w:hAnsi="仿宋_GB2312" w:cs="仿宋_GB2312" w:eastAsia="仿宋_GB2312"/>
                <w:sz w:val="21"/>
                <w:color w:val="000000"/>
              </w:rPr>
              <w:t xml:space="preserve">根据《陕西省自然资源厅关于 </w:t>
            </w:r>
            <w:r>
              <w:rPr>
                <w:rFonts w:ascii="仿宋_GB2312" w:hAnsi="仿宋_GB2312" w:cs="仿宋_GB2312" w:eastAsia="仿宋_GB2312"/>
                <w:sz w:val="21"/>
                <w:color w:val="000000"/>
              </w:rPr>
              <w:t xml:space="preserve">加快推进国土空间详细规划工作的通知》（陕自然资规发 </w:t>
            </w:r>
            <w:r>
              <w:rPr>
                <w:rFonts w:ascii="仿宋_GB2312" w:hAnsi="仿宋_GB2312" w:cs="仿宋_GB2312" w:eastAsia="仿宋_GB2312"/>
                <w:sz w:val="21"/>
                <w:color w:val="000000"/>
              </w:rPr>
              <w:t>〔</w:t>
            </w:r>
            <w:r>
              <w:rPr>
                <w:rFonts w:ascii="仿宋_GB2312" w:hAnsi="仿宋_GB2312" w:cs="仿宋_GB2312" w:eastAsia="仿宋_GB2312"/>
                <w:sz w:val="21"/>
                <w:color w:val="000000"/>
              </w:rPr>
              <w:t>2024</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1086 </w:t>
            </w:r>
            <w:r>
              <w:rPr>
                <w:rFonts w:ascii="仿宋_GB2312" w:hAnsi="仿宋_GB2312" w:cs="仿宋_GB2312" w:eastAsia="仿宋_GB2312"/>
                <w:sz w:val="21"/>
                <w:color w:val="000000"/>
              </w:rPr>
              <w:t xml:space="preserve">号）和《渭南市自然资源和规划局关于加快推 </w:t>
            </w:r>
            <w:r>
              <w:rPr>
                <w:rFonts w:ascii="仿宋_GB2312" w:hAnsi="仿宋_GB2312" w:cs="仿宋_GB2312" w:eastAsia="仿宋_GB2312"/>
                <w:sz w:val="21"/>
                <w:color w:val="000000"/>
              </w:rPr>
              <w:t>进国土空间详细规划工作的通知》（渭自然资发〔</w:t>
            </w:r>
            <w:r>
              <w:rPr>
                <w:rFonts w:ascii="仿宋_GB2312" w:hAnsi="仿宋_GB2312" w:cs="仿宋_GB2312" w:eastAsia="仿宋_GB2312"/>
                <w:sz w:val="21"/>
                <w:color w:val="000000"/>
              </w:rPr>
              <w:t>2024</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234 </w:t>
            </w:r>
            <w:r>
              <w:rPr>
                <w:rFonts w:ascii="仿宋_GB2312" w:hAnsi="仿宋_GB2312" w:cs="仿宋_GB2312" w:eastAsia="仿宋_GB2312"/>
                <w:sz w:val="21"/>
                <w:color w:val="000000"/>
              </w:rPr>
              <w:t xml:space="preserve">号）文件要求，编制大荔经济技术开发区国土空间详细规划， </w:t>
            </w:r>
            <w:r>
              <w:rPr>
                <w:rFonts w:ascii="仿宋_GB2312" w:hAnsi="仿宋_GB2312" w:cs="仿宋_GB2312" w:eastAsia="仿宋_GB2312"/>
                <w:sz w:val="21"/>
                <w:color w:val="000000"/>
              </w:rPr>
              <w:t xml:space="preserve">严格落实上级国土空间规划管控要求，细化规划范围内用地 </w:t>
            </w:r>
            <w:r>
              <w:rPr>
                <w:rFonts w:ascii="仿宋_GB2312" w:hAnsi="仿宋_GB2312" w:cs="仿宋_GB2312" w:eastAsia="仿宋_GB2312"/>
                <w:sz w:val="21"/>
                <w:color w:val="000000"/>
              </w:rPr>
              <w:t xml:space="preserve">布局、用地性质、容积率、建筑高度、绿地、基础设施、公 </w:t>
            </w:r>
            <w:r>
              <w:rPr>
                <w:rFonts w:ascii="仿宋_GB2312" w:hAnsi="仿宋_GB2312" w:cs="仿宋_GB2312" w:eastAsia="仿宋_GB2312"/>
                <w:sz w:val="21"/>
                <w:color w:val="000000"/>
              </w:rPr>
              <w:t xml:space="preserve">共服务配套、道路交通、生态保护、产业用地管控等各项规 </w:t>
            </w:r>
            <w:r>
              <w:rPr>
                <w:rFonts w:ascii="仿宋_GB2312" w:hAnsi="仿宋_GB2312" w:cs="仿宋_GB2312" w:eastAsia="仿宋_GB2312"/>
                <w:sz w:val="21"/>
                <w:color w:val="000000"/>
              </w:rPr>
              <w:t xml:space="preserve">划管控指标；建立清晰可落地的规划管控体系，进一步规范 </w:t>
            </w:r>
            <w:r>
              <w:rPr>
                <w:rFonts w:ascii="仿宋_GB2312" w:hAnsi="仿宋_GB2312" w:cs="仿宋_GB2312" w:eastAsia="仿宋_GB2312"/>
                <w:sz w:val="21"/>
                <w:color w:val="000000"/>
              </w:rPr>
              <w:t xml:space="preserve">大荔经济技术开发区规划审批、项目落地、土地利用等规划 </w:t>
            </w:r>
            <w:r>
              <w:rPr>
                <w:rFonts w:ascii="仿宋_GB2312" w:hAnsi="仿宋_GB2312" w:cs="仿宋_GB2312" w:eastAsia="仿宋_GB2312"/>
                <w:sz w:val="21"/>
                <w:color w:val="000000"/>
              </w:rPr>
              <w:t>管理全流程工作，为土地出让、工程建设、规划许可核发提</w:t>
            </w:r>
            <w:r>
              <w:rPr>
                <w:rFonts w:ascii="仿宋_GB2312" w:hAnsi="仿宋_GB2312" w:cs="仿宋_GB2312" w:eastAsia="仿宋_GB2312"/>
                <w:sz w:val="21"/>
                <w:color w:val="000000"/>
              </w:rPr>
              <w:t>供法定规划依据。</w:t>
            </w:r>
          </w:p>
          <w:p>
            <w:pPr>
              <w:pStyle w:val="null3"/>
            </w:pPr>
            <w:r>
              <w:rPr>
                <w:rFonts w:ascii="仿宋_GB2312" w:hAnsi="仿宋_GB2312" w:cs="仿宋_GB2312" w:eastAsia="仿宋_GB2312"/>
                <w:sz w:val="21"/>
              </w:rPr>
              <w:t>2、采购内容及分包情况：</w:t>
            </w:r>
          </w:p>
          <w:p>
            <w:pPr>
              <w:pStyle w:val="null3"/>
            </w:pPr>
            <w:r>
              <w:rPr>
                <w:rFonts w:ascii="仿宋_GB2312" w:hAnsi="仿宋_GB2312" w:cs="仿宋_GB2312" w:eastAsia="仿宋_GB2312"/>
                <w:sz w:val="21"/>
                <w:color w:val="000000"/>
              </w:rPr>
              <w:t xml:space="preserve">根据《陕西省自然资源厅关于 </w:t>
            </w:r>
            <w:r>
              <w:rPr>
                <w:rFonts w:ascii="仿宋_GB2312" w:hAnsi="仿宋_GB2312" w:cs="仿宋_GB2312" w:eastAsia="仿宋_GB2312"/>
                <w:sz w:val="21"/>
                <w:color w:val="000000"/>
              </w:rPr>
              <w:t xml:space="preserve">加快推进国土空间详细规划工作的通知》（陕自然资规发 </w:t>
            </w:r>
            <w:r>
              <w:rPr>
                <w:rFonts w:ascii="仿宋_GB2312" w:hAnsi="仿宋_GB2312" w:cs="仿宋_GB2312" w:eastAsia="仿宋_GB2312"/>
                <w:sz w:val="21"/>
                <w:color w:val="000000"/>
              </w:rPr>
              <w:t>〔</w:t>
            </w:r>
            <w:r>
              <w:rPr>
                <w:rFonts w:ascii="仿宋_GB2312" w:hAnsi="仿宋_GB2312" w:cs="仿宋_GB2312" w:eastAsia="仿宋_GB2312"/>
                <w:sz w:val="21"/>
                <w:color w:val="000000"/>
              </w:rPr>
              <w:t>2024</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1086 </w:t>
            </w:r>
            <w:r>
              <w:rPr>
                <w:rFonts w:ascii="仿宋_GB2312" w:hAnsi="仿宋_GB2312" w:cs="仿宋_GB2312" w:eastAsia="仿宋_GB2312"/>
                <w:sz w:val="21"/>
                <w:color w:val="000000"/>
              </w:rPr>
              <w:t xml:space="preserve">号）和《渭南市自然资源和规划局关于加快推 </w:t>
            </w:r>
            <w:r>
              <w:rPr>
                <w:rFonts w:ascii="仿宋_GB2312" w:hAnsi="仿宋_GB2312" w:cs="仿宋_GB2312" w:eastAsia="仿宋_GB2312"/>
                <w:sz w:val="21"/>
                <w:color w:val="000000"/>
              </w:rPr>
              <w:t>进国土空间详细规划工作的通知》（渭自然资发〔</w:t>
            </w:r>
            <w:r>
              <w:rPr>
                <w:rFonts w:ascii="仿宋_GB2312" w:hAnsi="仿宋_GB2312" w:cs="仿宋_GB2312" w:eastAsia="仿宋_GB2312"/>
                <w:sz w:val="21"/>
                <w:color w:val="000000"/>
              </w:rPr>
              <w:t>2024</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234 </w:t>
            </w:r>
            <w:r>
              <w:rPr>
                <w:rFonts w:ascii="仿宋_GB2312" w:hAnsi="仿宋_GB2312" w:cs="仿宋_GB2312" w:eastAsia="仿宋_GB2312"/>
                <w:sz w:val="21"/>
                <w:color w:val="000000"/>
              </w:rPr>
              <w:t xml:space="preserve">号）文件要求，编制大荔经济技术开发区国土空间详细规划， </w:t>
            </w:r>
            <w:r>
              <w:rPr>
                <w:rFonts w:ascii="仿宋_GB2312" w:hAnsi="仿宋_GB2312" w:cs="仿宋_GB2312" w:eastAsia="仿宋_GB2312"/>
                <w:sz w:val="21"/>
                <w:color w:val="000000"/>
              </w:rPr>
              <w:t xml:space="preserve">严格落实上级国土空间规划管控要求，细化规划范围内用地 </w:t>
            </w:r>
            <w:r>
              <w:rPr>
                <w:rFonts w:ascii="仿宋_GB2312" w:hAnsi="仿宋_GB2312" w:cs="仿宋_GB2312" w:eastAsia="仿宋_GB2312"/>
                <w:sz w:val="21"/>
                <w:color w:val="000000"/>
              </w:rPr>
              <w:t>布局、用地性质、容积率、建筑高度、绿地、基础设施、公</w:t>
            </w:r>
            <w:r>
              <w:rPr>
                <w:rFonts w:ascii="仿宋_GB2312" w:hAnsi="仿宋_GB2312" w:cs="仿宋_GB2312" w:eastAsia="仿宋_GB2312"/>
                <w:sz w:val="21"/>
                <w:color w:val="000000"/>
              </w:rPr>
              <w:t xml:space="preserve">共服务配套、道路交通、生态保护、产业用地管控等各项规 </w:t>
            </w:r>
            <w:r>
              <w:rPr>
                <w:rFonts w:ascii="仿宋_GB2312" w:hAnsi="仿宋_GB2312" w:cs="仿宋_GB2312" w:eastAsia="仿宋_GB2312"/>
                <w:sz w:val="21"/>
                <w:color w:val="000000"/>
              </w:rPr>
              <w:t xml:space="preserve">划管控指标；建立清晰可落地的规划管控体系，进一步规范 </w:t>
            </w:r>
            <w:r>
              <w:rPr>
                <w:rFonts w:ascii="仿宋_GB2312" w:hAnsi="仿宋_GB2312" w:cs="仿宋_GB2312" w:eastAsia="仿宋_GB2312"/>
                <w:sz w:val="21"/>
                <w:color w:val="000000"/>
              </w:rPr>
              <w:t xml:space="preserve">大荔经济技术开发区规划审批、项目落地、土地利用等规划 </w:t>
            </w:r>
            <w:r>
              <w:rPr>
                <w:rFonts w:ascii="仿宋_GB2312" w:hAnsi="仿宋_GB2312" w:cs="仿宋_GB2312" w:eastAsia="仿宋_GB2312"/>
                <w:sz w:val="21"/>
                <w:color w:val="000000"/>
              </w:rPr>
              <w:t>管理全流程工作，为土地出让、工程建设、规划许可核发提</w:t>
            </w:r>
            <w:r>
              <w:rPr>
                <w:rFonts w:ascii="仿宋_GB2312" w:hAnsi="仿宋_GB2312" w:cs="仿宋_GB2312" w:eastAsia="仿宋_GB2312"/>
                <w:sz w:val="21"/>
                <w:color w:val="000000"/>
              </w:rPr>
              <w:t>供法定规划依据，本项目涉及一个合同标包。</w:t>
            </w:r>
          </w:p>
          <w:p>
            <w:pPr>
              <w:pStyle w:val="null3"/>
            </w:pPr>
            <w:r>
              <w:rPr>
                <w:rFonts w:ascii="仿宋_GB2312" w:hAnsi="仿宋_GB2312" w:cs="仿宋_GB2312" w:eastAsia="仿宋_GB2312"/>
                <w:sz w:val="21"/>
              </w:rPr>
              <w:t>3、服务期限：自合同签订之日起至2026年12月底。</w:t>
            </w:r>
          </w:p>
          <w:p>
            <w:pPr>
              <w:pStyle w:val="null3"/>
            </w:pPr>
            <w:r>
              <w:rPr>
                <w:rFonts w:ascii="仿宋_GB2312" w:hAnsi="仿宋_GB2312" w:cs="仿宋_GB2312" w:eastAsia="仿宋_GB2312"/>
                <w:sz w:val="21"/>
              </w:rPr>
              <w:t>4、服务地点：大荔县</w:t>
            </w:r>
          </w:p>
          <w:p>
            <w:pPr>
              <w:pStyle w:val="null3"/>
            </w:pPr>
            <w:r>
              <w:rPr>
                <w:rFonts w:ascii="仿宋_GB2312" w:hAnsi="仿宋_GB2312" w:cs="仿宋_GB2312" w:eastAsia="仿宋_GB2312"/>
                <w:sz w:val="21"/>
              </w:rPr>
              <w:t>5、付款方式：</w:t>
            </w:r>
          </w:p>
          <w:p>
            <w:pPr>
              <w:pStyle w:val="null3"/>
            </w:pPr>
            <w:r>
              <w:rPr>
                <w:rFonts w:ascii="仿宋_GB2312" w:hAnsi="仿宋_GB2312" w:cs="仿宋_GB2312" w:eastAsia="仿宋_GB2312"/>
                <w:sz w:val="21"/>
              </w:rPr>
              <w:t>合同签订后，达到付款条件起15个工作日内，支付合同总金额的40.0%。规划编制成果通过专家评审后，达到付款条件起15个工作日内，支付合同总金额的30.0%。乙方提交最终成果并经甲方确认后，达到付款条件起15个工作日内，支付合同总金额的30.0%</w:t>
            </w:r>
          </w:p>
          <w:p>
            <w:pPr>
              <w:pStyle w:val="null3"/>
            </w:pPr>
            <w:r>
              <w:rPr>
                <w:rFonts w:ascii="仿宋_GB2312" w:hAnsi="仿宋_GB2312" w:cs="仿宋_GB2312" w:eastAsia="仿宋_GB2312"/>
                <w:sz w:val="21"/>
              </w:rPr>
              <w:t>二、需执行的国家相关标准及行业标准</w:t>
            </w:r>
          </w:p>
          <w:p>
            <w:pPr>
              <w:pStyle w:val="null3"/>
            </w:pPr>
            <w:r>
              <w:rPr>
                <w:rFonts w:ascii="仿宋_GB2312" w:hAnsi="仿宋_GB2312" w:cs="仿宋_GB2312" w:eastAsia="仿宋_GB2312"/>
                <w:sz w:val="21"/>
              </w:rPr>
              <w:t>满足国家相关标准、行业标准。</w:t>
            </w:r>
          </w:p>
          <w:p>
            <w:pPr>
              <w:pStyle w:val="null3"/>
            </w:pPr>
            <w:r>
              <w:rPr>
                <w:rFonts w:ascii="仿宋_GB2312" w:hAnsi="仿宋_GB2312" w:cs="仿宋_GB2312" w:eastAsia="仿宋_GB2312"/>
                <w:sz w:val="21"/>
              </w:rPr>
              <w:t>三、服务指标的具体要求</w:t>
            </w:r>
          </w:p>
          <w:p>
            <w:pPr>
              <w:pStyle w:val="null3"/>
            </w:pPr>
            <w:r>
              <w:rPr>
                <w:rFonts w:ascii="仿宋_GB2312" w:hAnsi="仿宋_GB2312" w:cs="仿宋_GB2312" w:eastAsia="仿宋_GB2312"/>
                <w:sz w:val="21"/>
              </w:rPr>
              <w:t>质量标准：验收合格。</w:t>
            </w:r>
          </w:p>
          <w:p>
            <w:pPr>
              <w:pStyle w:val="null3"/>
            </w:pPr>
            <w:r>
              <w:rPr>
                <w:rFonts w:ascii="仿宋_GB2312" w:hAnsi="仿宋_GB2312" w:cs="仿宋_GB2312" w:eastAsia="仿宋_GB2312"/>
                <w:sz w:val="21"/>
              </w:rPr>
              <w:t>四、服务质量、标准、期限、效率等要求</w:t>
            </w:r>
          </w:p>
          <w:p>
            <w:pPr>
              <w:pStyle w:val="null3"/>
            </w:pPr>
            <w:r>
              <w:rPr>
                <w:rFonts w:ascii="仿宋_GB2312" w:hAnsi="仿宋_GB2312" w:cs="仿宋_GB2312" w:eastAsia="仿宋_GB2312"/>
                <w:sz w:val="21"/>
              </w:rPr>
              <w:t>（一）质量标准</w:t>
            </w:r>
          </w:p>
          <w:p>
            <w:pPr>
              <w:pStyle w:val="null3"/>
            </w:pPr>
            <w:r>
              <w:rPr>
                <w:rFonts w:ascii="仿宋_GB2312" w:hAnsi="仿宋_GB2312" w:cs="仿宋_GB2312" w:eastAsia="仿宋_GB2312"/>
                <w:sz w:val="21"/>
              </w:rPr>
              <w:t xml:space="preserve">  验收合格</w:t>
            </w:r>
          </w:p>
          <w:p>
            <w:pPr>
              <w:pStyle w:val="null3"/>
            </w:pPr>
            <w:r>
              <w:rPr>
                <w:rFonts w:ascii="仿宋_GB2312" w:hAnsi="仿宋_GB2312" w:cs="仿宋_GB2312" w:eastAsia="仿宋_GB2312"/>
                <w:sz w:val="21"/>
              </w:rPr>
              <w:t>（二）服务期限</w:t>
            </w:r>
          </w:p>
          <w:p>
            <w:pPr>
              <w:pStyle w:val="null3"/>
            </w:pPr>
            <w:r>
              <w:rPr>
                <w:rFonts w:ascii="仿宋_GB2312" w:hAnsi="仿宋_GB2312" w:cs="仿宋_GB2312" w:eastAsia="仿宋_GB2312"/>
                <w:sz w:val="21"/>
              </w:rPr>
              <w:t>服务期限：自合同签订之日起至2026年12月底。</w:t>
            </w:r>
          </w:p>
          <w:p>
            <w:pPr>
              <w:pStyle w:val="null3"/>
            </w:pPr>
            <w:r>
              <w:rPr>
                <w:rFonts w:ascii="仿宋_GB2312" w:hAnsi="仿宋_GB2312" w:cs="仿宋_GB2312" w:eastAsia="仿宋_GB2312"/>
                <w:sz w:val="21"/>
              </w:rPr>
              <w:t>（三）服务效率</w:t>
            </w:r>
          </w:p>
          <w:p>
            <w:pPr>
              <w:pStyle w:val="null3"/>
            </w:pPr>
            <w:r>
              <w:rPr>
                <w:rFonts w:ascii="仿宋_GB2312" w:hAnsi="仿宋_GB2312" w:cs="仿宋_GB2312" w:eastAsia="仿宋_GB2312"/>
                <w:sz w:val="21"/>
              </w:rPr>
              <w:t>在合同规定的时间内完成。</w:t>
            </w:r>
          </w:p>
          <w:p>
            <w:pPr>
              <w:pStyle w:val="null3"/>
            </w:pPr>
            <w:r>
              <w:rPr>
                <w:rFonts w:ascii="仿宋_GB2312" w:hAnsi="仿宋_GB2312" w:cs="仿宋_GB2312" w:eastAsia="仿宋_GB2312"/>
                <w:sz w:val="21"/>
              </w:rPr>
              <w:t>五、付款方式</w:t>
            </w:r>
          </w:p>
          <w:p>
            <w:pPr>
              <w:pStyle w:val="null3"/>
            </w:pPr>
            <w:r>
              <w:rPr>
                <w:rFonts w:ascii="仿宋_GB2312" w:hAnsi="仿宋_GB2312" w:cs="仿宋_GB2312" w:eastAsia="仿宋_GB2312"/>
                <w:sz w:val="21"/>
              </w:rPr>
              <w:t>合同签订后，达到付款条件起15个工作日内，支付合同总金额的40.0%。规划编制成果通过专家评审后，达到付款条件起15个工作日内，支付合同总金额的30.0%。乙方提交最终成果并经甲方确认后，达到付款条件起15个工作日内，支付合同总金额的30.0%</w:t>
            </w:r>
          </w:p>
          <w:p>
            <w:pPr>
              <w:pStyle w:val="null3"/>
            </w:pPr>
            <w:r>
              <w:rPr>
                <w:rFonts w:ascii="仿宋_GB2312" w:hAnsi="仿宋_GB2312" w:cs="仿宋_GB2312" w:eastAsia="仿宋_GB2312"/>
                <w:sz w:val="21"/>
              </w:rPr>
              <w:t>六、验收标准</w:t>
            </w:r>
          </w:p>
          <w:p>
            <w:pPr>
              <w:pStyle w:val="null3"/>
            </w:pPr>
            <w:r>
              <w:rPr>
                <w:rFonts w:ascii="仿宋_GB2312" w:hAnsi="仿宋_GB2312" w:cs="仿宋_GB2312" w:eastAsia="仿宋_GB2312"/>
                <w:sz w:val="21"/>
              </w:rPr>
              <w:t>1.本项目应按要求完成全部内容。</w:t>
            </w:r>
          </w:p>
          <w:p>
            <w:pPr>
              <w:pStyle w:val="null3"/>
            </w:pPr>
            <w:r>
              <w:rPr>
                <w:rFonts w:ascii="仿宋_GB2312" w:hAnsi="仿宋_GB2312" w:cs="仿宋_GB2312" w:eastAsia="仿宋_GB2312"/>
                <w:sz w:val="21"/>
              </w:rPr>
              <w:t>2.本项目验收标准应符合国家相关标准。</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满⾜项⽬实施要求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满⾜项⽬实施要求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详⻅3.2.2项服务内容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 2026 年 12 月底。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立验收小组。合同履行达到验收条件的，通知中标(成交)供应商及时启动项目验收工作，成立验收小组；验收小组由3人及以上的单数且熟悉项目需求与标的的专业技术人员组成，负责开展政府采购项目履约验收工作。 （2）开展验收活动。验收小组应当严格按照采购合同约定对供应商履约情况进行验收，并按照采购合同的约定对每一项技术、服务、安全标准的履约情况。 （3）出具验收报告。验收报告应包括：实施验收过程基本情况陈述，供应商的履约情况，与政府采购合同约定的权利义务比较情况，验收结论合格。 （4）在采购项目履约验收完成后7个工作日内完成公示信息整理，并在陕西政府采购网公示。</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进度款，规划编制成果通过专家评审后，达到付款条件起15个工作日内，支付合同总金额的30.0%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进度款，乙方提交最终成果并经甲方确认后，达到付款条件起15个工作日内，支付合同总金额的30.0%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采购人因未及时向中标人提供项目启动所需资料造成服务期延误，每延误1日则本合同服务周期限延长1日，以此类推;因资料真实性给中标人造成损失和产生相关连带责任时，采购人除按中标人要求进行赔偿外还。需承担因连带责任产生的所有责任。(二)因供中标人原因造成工期延误(自然灾害、疫情等不可抗力除外)，采购人有权从未付款项中按每日3%。合同价款扣除违约金，此违约以30日为限。</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采购⽂件要求签字或盖章之处，⾮法⼈单位均参照执⾏。 2、投标⼈需要在线提交所有通过电⼦化交易平台实施的政府采 购项⽬的投标⽂件。本项⽬为全流程电⼦标，中标⼈须在领取中标通知书时免费为采购⼈提交纸质版投标⽂件正本⼀份、副本⼆份。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（1）具有独立承担民事责任能力的法人、其他组织或自然人，提供合法有效年报合格的统一社会信用代码营业执照或事业单位法人证书等国家规定的相关证明，自然人参与的提供身份证明文件; （2）财务状况报告：2025 年度经审计的财务报告复印件(包括报告正文、资产负债表、现金流量表、利润表、附注和会计师事务所营业执照，报告正文应当有会计师事务所公章和 2 名注册会计师的签字及盖章。且审计报告应当在注册 会 计 师 行 业 统 一 监 管 平 台 可 查 询https://acc.mof.gov.cn。)，或递交响应文件截止时间前三个月内供应商基本账户开户银行出具的资信证明； （3）社会保障资金缴纳证明：提供2026 年1月至今已缴存的至少一个月的社会保障资金缴存单据或社保机构开具的社会保险参保缴费情况证明，依法不需要缴纳社会保障资金的单位应提供相关证明材料； （4）税收缴纳证明：提供2026年1月至今已缴纳的至少一个月的纳税证明或完税证明，依法免税的单位应提供相关证明材料； （5）没有重大违法记录的书面申明：应具备良好的商业信誉，提供在参加政府采购活动前 3 年内在经营活动中没有重大违法记录的书面申明； （6）专业技术能力的书面声明：具备履行合同所必须的设备和专业技术能力的书面声明；</w:t>
            </w:r>
          </w:p>
        </w:tc>
        <w:tc>
          <w:tcPr>
            <w:tcW w:type="dxa" w:w="1661"/>
          </w:tcPr>
          <w:p>
            <w:pPr>
              <w:pStyle w:val="null3"/>
            </w:pPr>
            <w:r>
              <w:rPr>
                <w:rFonts w:ascii="仿宋_GB2312" w:hAnsi="仿宋_GB2312" w:cs="仿宋_GB2312" w:eastAsia="仿宋_GB2312"/>
              </w:rPr>
              <w:t>投标人应提交的相关资格证明材料.pdf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财务状况报告：2025 年度经审计的财务报告复印件(包括报告正文、资产负债表、现金流量表、利润表、附注和会计师事务所营业执照，报告正文应当有会计师事务所公章和 2 名注册会计师的签字及盖章。且审计报告应当在注册 会 计 师 行 业 统 一 监 管 平 台 可 查 询https://acc.mof.gov.cn。)，或递交响应文件截止时间前三个月内供应商基本账户开户银行出具的资信证明；供应商需在项目电子化交易系统中按要求上传相应证明文件并进行电子签章。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投标人应提交的相关资格证明材料.pdf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投标人及项目负责人资质</w:t>
            </w:r>
          </w:p>
        </w:tc>
        <w:tc>
          <w:tcPr>
            <w:tcW w:type="dxa" w:w="3322"/>
          </w:tcPr>
          <w:p>
            <w:pPr>
              <w:pStyle w:val="null3"/>
            </w:pPr>
            <w:r>
              <w:rPr>
                <w:rFonts w:ascii="仿宋_GB2312" w:hAnsi="仿宋_GB2312" w:cs="仿宋_GB2312" w:eastAsia="仿宋_GB2312"/>
              </w:rPr>
              <w:t>投标人须具备相关行政主管部门颁发的城乡规划编制乙级及以上或土地规划编制乙级及以上资质证书；项目负责人须为城乡规划或土地规划类相关专业中级及以上职称。</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法定代表人参加投标的，须提供法定代表人身份证明文件;法定代表人授权他人参加投标的，须提供法定代表人授权委托书(附法定代表人、被授权人身份证复印件)及被授权人近半年内任意一个月的社保缴纳证明。</w:t>
            </w:r>
          </w:p>
        </w:tc>
        <w:tc>
          <w:tcPr>
            <w:tcW w:type="dxa" w:w="1661"/>
          </w:tcPr>
          <w:p>
            <w:pPr>
              <w:pStyle w:val="null3"/>
            </w:pPr>
            <w:r>
              <w:rPr>
                <w:rFonts w:ascii="仿宋_GB2312" w:hAnsi="仿宋_GB2312" w:cs="仿宋_GB2312" w:eastAsia="仿宋_GB2312"/>
              </w:rPr>
              <w:t>投标人应提交的相关资格证明材料.pdf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不得为信用中国网站(www.creditchina.gov.cn)“记录失信被执行人和重大税收 违法案件当事人名单”记录名单；不得为中国政府采购网(www.ccgp.gov.cn)“政府采购严重违法失信行为信息记录”的单位。</w:t>
            </w:r>
          </w:p>
        </w:tc>
        <w:tc>
          <w:tcPr>
            <w:tcW w:type="dxa" w:w="1661"/>
          </w:tcPr>
          <w:p>
            <w:pPr>
              <w:pStyle w:val="null3"/>
            </w:pPr>
            <w:r>
              <w:rPr>
                <w:rFonts w:ascii="仿宋_GB2312" w:hAnsi="仿宋_GB2312" w:cs="仿宋_GB2312" w:eastAsia="仿宋_GB2312"/>
              </w:rPr>
              <w:t>投标人应提交的相关资格证明材料.pdf 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投标⽂件的签署盖章</w:t>
            </w:r>
          </w:p>
        </w:tc>
        <w:tc>
          <w:tcPr>
            <w:tcW w:type="dxa" w:w="3322"/>
          </w:tcPr>
          <w:p>
            <w:pPr>
              <w:pStyle w:val="null3"/>
            </w:pPr>
            <w:r>
              <w:rPr>
                <w:rFonts w:ascii="仿宋_GB2312" w:hAnsi="仿宋_GB2312" w:cs="仿宋_GB2312" w:eastAsia="仿宋_GB2312"/>
              </w:rPr>
              <w:t>符合招标⽂件签署盖章要求。</w:t>
            </w:r>
          </w:p>
        </w:tc>
        <w:tc>
          <w:tcPr>
            <w:tcW w:type="dxa" w:w="1661"/>
          </w:tcPr>
          <w:p>
            <w:pPr>
              <w:pStyle w:val="null3"/>
            </w:pPr>
            <w:r>
              <w:rPr>
                <w:rFonts w:ascii="仿宋_GB2312" w:hAnsi="仿宋_GB2312" w:cs="仿宋_GB2312" w:eastAsia="仿宋_GB2312"/>
              </w:rPr>
              <w:t>投标人应提交的相关资格证明材料.pdf 中小企业声明函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投标⽂件格式</w:t>
            </w:r>
          </w:p>
        </w:tc>
        <w:tc>
          <w:tcPr>
            <w:tcW w:type="dxa" w:w="3322"/>
          </w:tcPr>
          <w:p>
            <w:pPr>
              <w:pStyle w:val="null3"/>
            </w:pPr>
            <w:r>
              <w:rPr>
                <w:rFonts w:ascii="仿宋_GB2312" w:hAnsi="仿宋_GB2312" w:cs="仿宋_GB2312" w:eastAsia="仿宋_GB2312"/>
              </w:rPr>
              <w:t>符合招标⽂件关于“投标⽂件格式”的要求。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符合招标⽂件要求</w:t>
            </w:r>
          </w:p>
        </w:tc>
        <w:tc>
          <w:tcPr>
            <w:tcW w:type="dxa" w:w="1661"/>
          </w:tcPr>
          <w:p>
            <w:pPr>
              <w:pStyle w:val="null3"/>
            </w:pPr>
            <w:r>
              <w:rPr>
                <w:rFonts w:ascii="仿宋_GB2312" w:hAnsi="仿宋_GB2312" w:cs="仿宋_GB2312" w:eastAsia="仿宋_GB2312"/>
              </w:rPr>
              <w:t>开标一览表 服务内容及服务要求应答表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服务内容</w:t>
            </w:r>
          </w:p>
        </w:tc>
        <w:tc>
          <w:tcPr>
            <w:tcW w:type="dxa" w:w="3322"/>
          </w:tcPr>
          <w:p>
            <w:pPr>
              <w:pStyle w:val="null3"/>
            </w:pPr>
            <w:r>
              <w:rPr>
                <w:rFonts w:ascii="仿宋_GB2312" w:hAnsi="仿宋_GB2312" w:cs="仿宋_GB2312" w:eastAsia="仿宋_GB2312"/>
              </w:rPr>
              <w:t>符合招标⽂件要求</w:t>
            </w:r>
          </w:p>
        </w:tc>
        <w:tc>
          <w:tcPr>
            <w:tcW w:type="dxa" w:w="1661"/>
          </w:tcPr>
          <w:p>
            <w:pPr>
              <w:pStyle w:val="null3"/>
            </w:pPr>
            <w:r>
              <w:rPr>
                <w:rFonts w:ascii="仿宋_GB2312" w:hAnsi="仿宋_GB2312" w:cs="仿宋_GB2312" w:eastAsia="仿宋_GB2312"/>
              </w:rPr>
              <w:t>服务内容及服务要求应答表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投标响应</w:t>
            </w:r>
          </w:p>
        </w:tc>
        <w:tc>
          <w:tcPr>
            <w:tcW w:type="dxa" w:w="3322"/>
          </w:tcPr>
          <w:p>
            <w:pPr>
              <w:pStyle w:val="null3"/>
            </w:pPr>
            <w:r>
              <w:rPr>
                <w:rFonts w:ascii="仿宋_GB2312" w:hAnsi="仿宋_GB2312" w:cs="仿宋_GB2312" w:eastAsia="仿宋_GB2312"/>
              </w:rPr>
              <w:t>投标⽂件未出现偏离招标⽂件实质性要求的内 容，未附有采购⼈不能接受的附加条件，按招 标⽂件要求提供相关承诺或声明。</w:t>
            </w:r>
          </w:p>
        </w:tc>
        <w:tc>
          <w:tcPr>
            <w:tcW w:type="dxa" w:w="1661"/>
          </w:tcPr>
          <w:p>
            <w:pPr>
              <w:pStyle w:val="null3"/>
            </w:pPr>
            <w:r>
              <w:rPr>
                <w:rFonts w:ascii="仿宋_GB2312" w:hAnsi="仿宋_GB2312" w:cs="仿宋_GB2312" w:eastAsia="仿宋_GB2312"/>
              </w:rPr>
              <w:t>商务应答表 服务内容及服务要求应答表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项目理解与现状分析</w:t>
            </w:r>
          </w:p>
        </w:tc>
        <w:tc>
          <w:tcPr>
            <w:tcW w:type="dxa" w:w="2492"/>
          </w:tcPr>
          <w:p>
            <w:pPr>
              <w:pStyle w:val="null3"/>
            </w:pPr>
            <w:r>
              <w:rPr>
                <w:rFonts w:ascii="仿宋_GB2312" w:hAnsi="仿宋_GB2312" w:cs="仿宋_GB2312" w:eastAsia="仿宋_GB2312"/>
              </w:rPr>
              <w:t>1. 实施背景（1 分） 精准结合政策文件、行业现状等，条理清晰，贴合本项目专属情况，得 1 分；简单描述，针对性一般，不够准确或全面，得 0.5 分；未提及或完全错误，得 0 分。 2. 工作目的（1 分） 明确指出了项目要解决的核心问题或达成的核心价值，紧扣招标人需求得 1 分；笼统提及目的，但缺乏针对性，得 0.5 分；未说明或与项目无关，得 0 分。 3. 目标理解（1 分） 准确匹配招标文件全部工作要求，识别重难点、交付成果、管控标准，无理解偏差、无漏项，得 1 分；进行简单说明，逻辑层次不足，得 0.5 分；未描述或理解偏差，0 分。 每项独立打分，满分各 1 分，总分 3 分。达到“准确、清晰、有针对性”即可得满分。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整体服务 方案</w:t>
            </w:r>
          </w:p>
        </w:tc>
        <w:tc>
          <w:tcPr>
            <w:tcW w:type="dxa" w:w="2492"/>
          </w:tcPr>
          <w:p>
            <w:pPr>
              <w:pStyle w:val="null3"/>
            </w:pPr>
            <w:r>
              <w:rPr>
                <w:rFonts w:ascii="仿宋_GB2312" w:hAnsi="仿宋_GB2312" w:cs="仿宋_GB2312" w:eastAsia="仿宋_GB2312"/>
              </w:rPr>
              <w:t>1.前期准备；2、问题分析；3、服务方案；4.服务流程；5、成果产出（每小项 3 分，满分15 分）； ①整体服务方案内容完整全面、无漏项，专业性、可操作强得 3 分； ②整体服务方案内容不够周全，无缺漏项，专业性、可操作性可行性一般得 2 分； ③整体服务方案内容不全，有明显漏项，专业性、可操作可行性差得 1 分； ④未提供的得 0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重难点分析及解决措施</w:t>
            </w:r>
          </w:p>
        </w:tc>
        <w:tc>
          <w:tcPr>
            <w:tcW w:type="dxa" w:w="2492"/>
          </w:tcPr>
          <w:p>
            <w:pPr>
              <w:pStyle w:val="null3"/>
            </w:pPr>
            <w:r>
              <w:rPr>
                <w:rFonts w:ascii="仿宋_GB2312" w:hAnsi="仿宋_GB2312" w:cs="仿宋_GB2312" w:eastAsia="仿宋_GB2312"/>
              </w:rPr>
              <w:t>1、针对本项目的重难点分析；2、针对重难点分析后的预防及解决措施。（每小项 3 分，满分 6 分）； ①重难点分析及解决措施符合本项目实际情况及实施要求，内容详尽，合理性和可行性强的得 3 分； ②重难点分析及解决措施基本符合本项目实际情况及实施要求，基本合理、可行的得 2分； ③重难点分析及解决措施简单，针对性及可行性均较差的得 1 分； ④未提供的得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进度控制措施</w:t>
            </w:r>
          </w:p>
        </w:tc>
        <w:tc>
          <w:tcPr>
            <w:tcW w:type="dxa" w:w="2492"/>
          </w:tcPr>
          <w:p>
            <w:pPr>
              <w:pStyle w:val="null3"/>
            </w:pPr>
            <w:r>
              <w:rPr>
                <w:rFonts w:ascii="仿宋_GB2312" w:hAnsi="仿宋_GB2312" w:cs="仿宋_GB2312" w:eastAsia="仿宋_GB2312"/>
              </w:rPr>
              <w:t>1.进度保障措施；2.工作进度计划。（每小项 2 分，满分 4 分） ①服务进度保障体系完整，节点细节详细得 2 分； ②服务进度保障体系基本完整，节点细节一般得 1 分； ③服务进度保障体系较差，节点细节不清晰得 0.5 分； ④未提供的得 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1.质量保证措施；2.质量保障体系；3.内部管控流程。（每小项 2 分，满分 6 分） ①质量保障体系完整、措施切实可行得 2分； ②质量保障体系较完整、措施一般得 1 分； ③质量保障体系及措施较差得 0.5 分； ④未提供的得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1、项目负责人具备注册城乡规划师执业资格得 3 分； 2、提供 2023 年 8 月起至今类似项目业绩（以 2023 年 8 月以后签订的合同为准、合同需体现项目负责人姓名或项目负责人业绩承诺书，项目负责人业绩与企业业绩可重复记取）每提供一份得 3 分，满分 6 分。证明材料：相关证书、业绩合同复印件或扫描件，2026 年至今任意三个月在本单位的社保缴纳证明，不提供不得分。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拟派项目团队配备（满分 22.5 分） ①除项目负责人外，拟投入本项目各专业组长，中级职称及以上每人 3 分，满分 15 分（附身份证、劳动合同职称证书、毕业证书或学位证书） ②项目组其他成员，每人 1.5 分，满分 7.5分。（附身份证、相关专业资格证或岗位证、劳动合同、毕业证书或学位证书） ③人员配备证件不齐全或未提供的不得分，以上人员不得兼任或重复配备。</w:t>
            </w:r>
          </w:p>
        </w:tc>
        <w:tc>
          <w:tcPr>
            <w:tcW w:type="dxa" w:w="831"/>
          </w:tcPr>
          <w:p>
            <w:pPr>
              <w:pStyle w:val="null3"/>
              <w:jc w:val="right"/>
            </w:pPr>
            <w:r>
              <w:rPr>
                <w:rFonts w:ascii="仿宋_GB2312" w:hAnsi="仿宋_GB2312" w:cs="仿宋_GB2312" w:eastAsia="仿宋_GB2312"/>
              </w:rPr>
              <w:t>22.5000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提供针对本项目的服务保证效率承诺及条件修改调整方案承诺。 ①服务承诺内容详尽、描述清晰得 3 分； ②服务承诺内容完整、有基本描述得 1.5分； ③未提供的得 0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①针对本项目的合理化建议专业、全面、切实可行得 2.5 分； ②合理化建议基本满足本项目要求的得 1分； ③未提供的得 0 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2023 年 8 月起至今规划类类似项目业绩（以 2023 年 8 月以后签订的合同为准）每提供一份得 3 分，满分 9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满足招标文件要求且投标价格最低的投标报价为评标基准价，其价格分为满分。其他投标人的价格分统一按照下列公式计算：投标报价得分=(评标基准价/投标报价)×20%×100。 注：投标报价不完整的，不进入评标基准价的计算，本项得 0 分；评标委员会认为投标人的报价明显低于其他通过符合性审查投标人的报价，有可能影响产品质量或者不能诚信履约的，应当要求其在合理的时间内提供书面说明，必要时提交相关证明材料；投标人不能证明其报价合理性的，评标委员会应当将其作为无效投标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