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版本号：SXZCZB2026-ZCCS-062520260622002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SXZCZB2026-ZCCS-0625</w:t>
      </w:r>
      <w:r>
        <w:br/>
      </w:r>
      <w:r>
        <w:br/>
      </w:r>
      <w:r>
        <w:br/>
      </w:r>
    </w:p>
    <w:p>
      <w:pPr>
        <w:pStyle w:val="null3"/>
        <w:jc w:val="center"/>
        <w:outlineLvl w:val="2"/>
      </w:pPr>
      <w:r>
        <w:rPr>
          <w:rFonts w:ascii="仿宋_GB2312" w:hAnsi="仿宋_GB2312" w:cs="仿宋_GB2312" w:eastAsia="仿宋_GB2312"/>
          <w:sz w:val="28"/>
          <w:b/>
        </w:rPr>
        <w:t>蓝田县人民检察院[177]</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蓝田县人民检察院[177]</w:t>
      </w:r>
      <w:r>
        <w:rPr>
          <w:rFonts w:ascii="仿宋_GB2312" w:hAnsi="仿宋_GB2312" w:cs="仿宋_GB2312" w:eastAsia="仿宋_GB2312"/>
        </w:rPr>
        <w:t>委托，拟对</w:t>
      </w:r>
      <w:r>
        <w:rPr>
          <w:rFonts w:ascii="仿宋_GB2312" w:hAnsi="仿宋_GB2312" w:cs="仿宋_GB2312" w:eastAsia="仿宋_GB2312"/>
        </w:rPr>
        <w:t>食堂包厨项目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食堂包厨项目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采购包1（食堂包厨项目）：属于专门面向中小企业采购。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10、非联合体承诺：本项目不接受联合体磋商（需提供承诺书）；</w:t>
      </w:r>
    </w:p>
    <w:p>
      <w:pPr>
        <w:pStyle w:val="null3"/>
      </w:pPr>
      <w:r>
        <w:rPr>
          <w:rFonts w:ascii="仿宋_GB2312" w:hAnsi="仿宋_GB2312" w:cs="仿宋_GB2312" w:eastAsia="仿宋_GB2312"/>
        </w:rPr>
        <w:t>11、特定资格条件：供应商须具有有效的《食品经营许可证》；</w:t>
      </w:r>
    </w:p>
    <w:p>
      <w:pPr>
        <w:pStyle w:val="null3"/>
      </w:pPr>
      <w:r>
        <w:rPr>
          <w:rFonts w:ascii="仿宋_GB2312" w:hAnsi="仿宋_GB2312" w:cs="仿宋_GB2312" w:eastAsia="仿宋_GB2312"/>
        </w:rPr>
        <w:t>12、中小企业声明函：本项目专门面向中小企业采购，供应商须提供中小企业声明函。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蓝田县人民检察院[177]</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陕西省西安市蓝田县温泉路1号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82880533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倪沛、康乐、王欣玫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额为基数，依据国家计委颁发的《招标代理服务收费管理暂⾏办法》（计价格〔2002〕1980号）及国家发展和改⾰委员会办公厅颁发的《关于招标代理服务收费有关问题的通知》（发改办价格〔2003〕857号）的有关规定执⾏取，不足5000按5000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蓝田县人民检察院[177]</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蓝田县人民检察院[177]</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蓝田县人民检察院[177]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w:t>
      </w:r>
    </w:p>
    <w:p>
      <w:pPr>
        <w:pStyle w:val="null3"/>
      </w:pPr>
      <w:r>
        <w:rPr>
          <w:rFonts w:ascii="仿宋_GB2312" w:hAnsi="仿宋_GB2312" w:cs="仿宋_GB2312" w:eastAsia="仿宋_GB2312"/>
        </w:rPr>
        <w:t>联系电话：15902942119</w:t>
      </w:r>
    </w:p>
    <w:p>
      <w:pPr>
        <w:pStyle w:val="null3"/>
      </w:pPr>
      <w:r>
        <w:rPr>
          <w:rFonts w:ascii="仿宋_GB2312" w:hAnsi="仿宋_GB2312" w:cs="仿宋_GB2312" w:eastAsia="仿宋_GB2312"/>
        </w:rPr>
        <w:t>地址：陕西省西安市经济技术开发区未央路171-1号银池道拉斯财富中⼼21楼03室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食堂包厨项目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394,700.00</w:t>
      </w:r>
    </w:p>
    <w:p>
      <w:pPr>
        <w:pStyle w:val="null3"/>
      </w:pPr>
      <w:r>
        <w:rPr>
          <w:rFonts w:ascii="仿宋_GB2312" w:hAnsi="仿宋_GB2312" w:cs="仿宋_GB2312" w:eastAsia="仿宋_GB2312"/>
        </w:rPr>
        <w:t>采购包最高限价（元）: 394,700.00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食堂包厨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394,700.00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标的名称：食堂包厨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餐饮服务要求</w:t>
            </w:r>
          </w:p>
          <w:p>
            <w:pPr>
              <w:pStyle w:val="null3"/>
              <w:ind w:firstLine="560"/>
              <w:jc w:val="both"/>
            </w:pPr>
            <w:r>
              <w:rPr>
                <w:rFonts w:ascii="仿宋_GB2312" w:hAnsi="仿宋_GB2312" w:cs="仿宋_GB2312" w:eastAsia="仿宋_GB2312"/>
                <w:sz w:val="28"/>
              </w:rPr>
              <w:t>1、负责工作人员的用餐供应和接待。</w:t>
            </w:r>
          </w:p>
          <w:p>
            <w:pPr>
              <w:pStyle w:val="null3"/>
              <w:ind w:firstLine="560"/>
              <w:jc w:val="both"/>
            </w:pPr>
            <w:r>
              <w:rPr>
                <w:rFonts w:ascii="仿宋_GB2312" w:hAnsi="仿宋_GB2312" w:cs="仿宋_GB2312" w:eastAsia="仿宋_GB2312"/>
                <w:sz w:val="28"/>
              </w:rPr>
              <w:t>2、负责餐饮设备的安全操作及餐厅水、电、火、气的安全使用。</w:t>
            </w:r>
          </w:p>
          <w:p>
            <w:pPr>
              <w:pStyle w:val="null3"/>
              <w:ind w:firstLine="560"/>
              <w:jc w:val="both"/>
            </w:pPr>
            <w:r>
              <w:rPr>
                <w:rFonts w:ascii="仿宋_GB2312" w:hAnsi="仿宋_GB2312" w:cs="仿宋_GB2312" w:eastAsia="仿宋_GB2312"/>
                <w:sz w:val="28"/>
              </w:rPr>
              <w:t>3、负责餐厅卫生清洁与维护，符合餐饮卫生标准。</w:t>
            </w:r>
          </w:p>
          <w:p>
            <w:pPr>
              <w:pStyle w:val="null3"/>
              <w:ind w:firstLine="560"/>
              <w:jc w:val="both"/>
            </w:pPr>
            <w:r>
              <w:rPr>
                <w:rFonts w:ascii="仿宋_GB2312" w:hAnsi="仿宋_GB2312" w:cs="仿宋_GB2312" w:eastAsia="仿宋_GB2312"/>
                <w:sz w:val="28"/>
              </w:rPr>
              <w:t>4、确保饭菜质量达到要求，符合国家食品安全标准。</w:t>
            </w:r>
          </w:p>
          <w:p>
            <w:pPr>
              <w:pStyle w:val="null3"/>
              <w:ind w:firstLine="560"/>
              <w:jc w:val="both"/>
            </w:pPr>
            <w:r>
              <w:rPr>
                <w:rFonts w:ascii="仿宋_GB2312" w:hAnsi="仿宋_GB2312" w:cs="仿宋_GB2312" w:eastAsia="仿宋_GB2312"/>
                <w:sz w:val="28"/>
              </w:rPr>
              <w:t>5、确保餐饮服务人员素质符合甲方需求。</w:t>
            </w:r>
          </w:p>
          <w:p>
            <w:pPr>
              <w:pStyle w:val="null3"/>
              <w:ind w:firstLine="560"/>
              <w:jc w:val="both"/>
            </w:pPr>
            <w:r>
              <w:rPr>
                <w:rFonts w:ascii="仿宋_GB2312" w:hAnsi="仿宋_GB2312" w:cs="仿宋_GB2312" w:eastAsia="仿宋_GB2312"/>
                <w:sz w:val="28"/>
              </w:rPr>
              <w:t>6、根据甲方餐标标准，统筹安排，科学计划，合理采购食料，要确保原材料新鲜，无霉烂变质。</w:t>
            </w:r>
          </w:p>
          <w:p>
            <w:pPr>
              <w:pStyle w:val="null3"/>
              <w:ind w:firstLine="560"/>
              <w:jc w:val="both"/>
            </w:pPr>
            <w:r>
              <w:rPr>
                <w:rFonts w:ascii="仿宋_GB2312" w:hAnsi="仿宋_GB2312" w:cs="仿宋_GB2312" w:eastAsia="仿宋_GB2312"/>
                <w:sz w:val="28"/>
              </w:rPr>
              <w:t>（备注：本项目食材费用</w:t>
            </w:r>
            <w:r>
              <w:rPr>
                <w:rFonts w:ascii="仿宋_GB2312" w:hAnsi="仿宋_GB2312" w:cs="仿宋_GB2312" w:eastAsia="仿宋_GB2312"/>
                <w:sz w:val="28"/>
              </w:rPr>
              <w:t>：270000.00元，</w:t>
            </w:r>
            <w:r>
              <w:rPr>
                <w:rFonts w:ascii="仿宋_GB2312" w:hAnsi="仿宋_GB2312" w:cs="仿宋_GB2312" w:eastAsia="仿宋_GB2312"/>
                <w:sz w:val="28"/>
              </w:rPr>
              <w:t>为不可竞争费用）</w:t>
            </w:r>
          </w:p>
          <w:tbl>
            <w:tblPr>
              <w:tblInd w:type="dxa" w:w="105"/>
              <w:tblBorders>
                <w:top w:val="none" w:color="000000" w:sz="4"/>
                <w:left w:val="none" w:color="000000" w:sz="4"/>
                <w:bottom w:val="none" w:color="000000" w:sz="4"/>
                <w:right w:val="none" w:color="000000" w:sz="4"/>
                <w:insideH w:val="none"/>
                <w:insideV w:val="none"/>
              </w:tblBorders>
            </w:tblPr>
            <w:tblGrid>
              <w:gridCol w:w="285"/>
              <w:gridCol w:w="391"/>
              <w:gridCol w:w="1876"/>
            </w:tblGrid>
            <w:tr>
              <w:tc>
                <w:tcPr>
                  <w:tcW w:type="dxa" w:w="2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b/>
                    </w:rPr>
                    <w:t>序号</w:t>
                  </w:r>
                </w:p>
              </w:tc>
              <w:tc>
                <w:tcPr>
                  <w:tcW w:type="dxa" w:w="3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b/>
                    </w:rPr>
                    <w:t>服务内容</w:t>
                  </w:r>
                </w:p>
              </w:tc>
              <w:tc>
                <w:tcPr>
                  <w:tcW w:type="dxa" w:w="18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b/>
                    </w:rPr>
                    <w:t>服务要求</w:t>
                  </w:r>
                </w:p>
              </w:tc>
            </w:tr>
            <w:tr>
              <w:tc>
                <w:tcPr>
                  <w:tcW w:type="dxa" w:w="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一</w:t>
                  </w:r>
                </w:p>
              </w:tc>
              <w:tc>
                <w:tcPr>
                  <w:tcW w:type="dxa" w:w="3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日常供餐</w:t>
                  </w:r>
                </w:p>
              </w:tc>
              <w:tc>
                <w:tcPr>
                  <w:tcW w:type="dxa" w:w="18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按照食谱进行菜品加工，在规定时间内开餐，满足要求。</w:t>
                  </w:r>
                </w:p>
                <w:p>
                  <w:pPr>
                    <w:pStyle w:val="null3"/>
                    <w:jc w:val="left"/>
                  </w:pPr>
                  <w:r>
                    <w:rPr>
                      <w:rFonts w:ascii="仿宋_GB2312" w:hAnsi="仿宋_GB2312" w:cs="仿宋_GB2312" w:eastAsia="仿宋_GB2312"/>
                      <w:sz w:val="28"/>
                    </w:rPr>
                    <w:t>每周制定食谱，根据季节变化做好伙食调剂，食谱须提前报采购人审定方可执行。</w:t>
                  </w:r>
                </w:p>
                <w:p>
                  <w:pPr>
                    <w:pStyle w:val="null3"/>
                    <w:jc w:val="left"/>
                  </w:pPr>
                  <w:r>
                    <w:rPr>
                      <w:rFonts w:ascii="仿宋_GB2312" w:hAnsi="仿宋_GB2312" w:cs="仿宋_GB2312" w:eastAsia="仿宋_GB2312"/>
                      <w:sz w:val="28"/>
                    </w:rPr>
                    <w:t>供应馒头、包子、熟食等外卖品种，为工作人员提供便利。根据不同的节日，供应特色菜品。</w:t>
                  </w:r>
                </w:p>
                <w:p>
                  <w:pPr>
                    <w:pStyle w:val="null3"/>
                    <w:jc w:val="left"/>
                  </w:pPr>
                  <w:r>
                    <w:rPr>
                      <w:rFonts w:ascii="仿宋_GB2312" w:hAnsi="仿宋_GB2312" w:cs="仿宋_GB2312" w:eastAsia="仿宋_GB2312"/>
                      <w:sz w:val="28"/>
                    </w:rPr>
                    <w:t>饭菜质量严格按照餐饮行业要求制作。</w:t>
                  </w:r>
                </w:p>
                <w:p>
                  <w:pPr>
                    <w:pStyle w:val="null3"/>
                    <w:jc w:val="left"/>
                  </w:pPr>
                  <w:r>
                    <w:rPr>
                      <w:rFonts w:ascii="仿宋_GB2312" w:hAnsi="仿宋_GB2312" w:cs="仿宋_GB2312" w:eastAsia="仿宋_GB2312"/>
                      <w:sz w:val="28"/>
                    </w:rPr>
                    <w:t>每日三餐就餐人数约为</w:t>
                  </w:r>
                  <w:r>
                    <w:rPr>
                      <w:rFonts w:ascii="仿宋_GB2312" w:hAnsi="仿宋_GB2312" w:cs="仿宋_GB2312" w:eastAsia="仿宋_GB2312"/>
                      <w:sz w:val="28"/>
                    </w:rPr>
                    <w:t>90人左右，特殊时期（如遇临</w:t>
                  </w:r>
                  <w:r>
                    <w:rPr>
                      <w:rFonts w:ascii="仿宋_GB2312" w:hAnsi="仿宋_GB2312" w:cs="仿宋_GB2312" w:eastAsia="仿宋_GB2312"/>
                      <w:sz w:val="28"/>
                    </w:rPr>
                    <w:t>时培训、会议等）人数会有增加。</w:t>
                  </w:r>
                </w:p>
              </w:tc>
            </w:tr>
            <w:tr>
              <w:tc>
                <w:tcPr>
                  <w:tcW w:type="dxa" w:w="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二</w:t>
                  </w:r>
                </w:p>
              </w:tc>
              <w:tc>
                <w:tcPr>
                  <w:tcW w:type="dxa" w:w="3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用餐接待</w:t>
                  </w:r>
                </w:p>
              </w:tc>
              <w:tc>
                <w:tcPr>
                  <w:tcW w:type="dxa" w:w="18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服务人员仪表端庄、精神饱满、举止得体。主动服务、耐心、周到。</w:t>
                  </w:r>
                </w:p>
                <w:p>
                  <w:pPr>
                    <w:pStyle w:val="null3"/>
                    <w:jc w:val="left"/>
                  </w:pPr>
                  <w:r>
                    <w:rPr>
                      <w:rFonts w:ascii="仿宋_GB2312" w:hAnsi="仿宋_GB2312" w:cs="仿宋_GB2312" w:eastAsia="仿宋_GB2312"/>
                      <w:sz w:val="28"/>
                    </w:rPr>
                    <w:t>开餐前，服务人员擦拭桌椅，摆好饭菜。</w:t>
                  </w:r>
                </w:p>
                <w:p>
                  <w:pPr>
                    <w:pStyle w:val="null3"/>
                    <w:jc w:val="left"/>
                  </w:pPr>
                  <w:r>
                    <w:rPr>
                      <w:rFonts w:ascii="仿宋_GB2312" w:hAnsi="仿宋_GB2312" w:cs="仿宋_GB2312" w:eastAsia="仿宋_GB2312"/>
                      <w:sz w:val="28"/>
                    </w:rPr>
                    <w:t>开餐期间，服务人员为用餐人员打餐。</w:t>
                  </w:r>
                </w:p>
                <w:p>
                  <w:pPr>
                    <w:pStyle w:val="null3"/>
                    <w:jc w:val="left"/>
                  </w:pPr>
                  <w:r>
                    <w:rPr>
                      <w:rFonts w:ascii="仿宋_GB2312" w:hAnsi="仿宋_GB2312" w:cs="仿宋_GB2312" w:eastAsia="仿宋_GB2312"/>
                      <w:sz w:val="28"/>
                    </w:rPr>
                    <w:t>开餐结束，用餐人员全部离开餐厅后，将各种菜品回收到厨房，清理桌面，恢复桌面干净。</w:t>
                  </w:r>
                </w:p>
              </w:tc>
            </w:tr>
            <w:tr>
              <w:tc>
                <w:tcPr>
                  <w:tcW w:type="dxa" w:w="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三</w:t>
                  </w:r>
                </w:p>
              </w:tc>
              <w:tc>
                <w:tcPr>
                  <w:tcW w:type="dxa" w:w="3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操作安全</w:t>
                  </w:r>
                </w:p>
              </w:tc>
              <w:tc>
                <w:tcPr>
                  <w:tcW w:type="dxa" w:w="18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制订并严格执行安全管理制度，做好餐厅用电、用水、用火、用气的安全管理。</w:t>
                  </w:r>
                </w:p>
                <w:p>
                  <w:pPr>
                    <w:pStyle w:val="null3"/>
                    <w:jc w:val="left"/>
                  </w:pPr>
                  <w:r>
                    <w:rPr>
                      <w:rFonts w:ascii="仿宋_GB2312" w:hAnsi="仿宋_GB2312" w:cs="仿宋_GB2312" w:eastAsia="仿宋_GB2312"/>
                      <w:sz w:val="28"/>
                    </w:rPr>
                    <w:t>严格按照各类餐饮设备操作规程规范操作，定期进行维护保养。</w:t>
                  </w:r>
                </w:p>
                <w:p>
                  <w:pPr>
                    <w:pStyle w:val="null3"/>
                    <w:jc w:val="left"/>
                  </w:pPr>
                  <w:r>
                    <w:rPr>
                      <w:rFonts w:ascii="仿宋_GB2312" w:hAnsi="仿宋_GB2312" w:cs="仿宋_GB2312" w:eastAsia="仿宋_GB2312"/>
                      <w:sz w:val="28"/>
                    </w:rPr>
                    <w:t>下班后检查水、电、气是否关闭，在确保无异常情况后锁好门窗。</w:t>
                  </w:r>
                </w:p>
              </w:tc>
            </w:tr>
            <w:tr>
              <w:tc>
                <w:tcPr>
                  <w:tcW w:type="dxa" w:w="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四</w:t>
                  </w:r>
                </w:p>
              </w:tc>
              <w:tc>
                <w:tcPr>
                  <w:tcW w:type="dxa" w:w="3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卫生管理</w:t>
                  </w:r>
                </w:p>
              </w:tc>
              <w:tc>
                <w:tcPr>
                  <w:tcW w:type="dxa" w:w="18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厨房的天花板、墙壁光滑，无积尘、蜘蛛网，无霉斑、无油腻，排水沟干净通畅。</w:t>
                  </w:r>
                </w:p>
                <w:p>
                  <w:pPr>
                    <w:pStyle w:val="null3"/>
                    <w:jc w:val="left"/>
                  </w:pPr>
                  <w:r>
                    <w:rPr>
                      <w:rFonts w:ascii="仿宋_GB2312" w:hAnsi="仿宋_GB2312" w:cs="仿宋_GB2312" w:eastAsia="仿宋_GB2312"/>
                      <w:sz w:val="28"/>
                    </w:rPr>
                    <w:t>周围环境无污染源，垃圾桶密封且保证垃圾干湿分离，明暗沟下水排放通畅。</w:t>
                  </w:r>
                </w:p>
                <w:p>
                  <w:pPr>
                    <w:pStyle w:val="null3"/>
                    <w:jc w:val="left"/>
                  </w:pPr>
                  <w:r>
                    <w:rPr>
                      <w:rFonts w:ascii="仿宋_GB2312" w:hAnsi="仿宋_GB2312" w:cs="仿宋_GB2312" w:eastAsia="仿宋_GB2312"/>
                      <w:sz w:val="28"/>
                    </w:rPr>
                    <w:t>保持就餐区域的桌椅等卫生清洁，做到门窗清洁、地板光亮、地毯整洁，墙面天花板、出风口无积灰，墙角无蛛网。</w:t>
                  </w:r>
                </w:p>
                <w:p>
                  <w:pPr>
                    <w:pStyle w:val="null3"/>
                    <w:jc w:val="left"/>
                  </w:pPr>
                  <w:r>
                    <w:rPr>
                      <w:rFonts w:ascii="仿宋_GB2312" w:hAnsi="仿宋_GB2312" w:cs="仿宋_GB2312" w:eastAsia="仿宋_GB2312"/>
                      <w:sz w:val="28"/>
                    </w:rPr>
                    <w:t>保持餐厅走廊过道等公共场所的干净整洁、无浮灰，无脏迹。</w:t>
                  </w:r>
                </w:p>
                <w:p>
                  <w:pPr>
                    <w:pStyle w:val="null3"/>
                    <w:jc w:val="left"/>
                  </w:pPr>
                  <w:r>
                    <w:rPr>
                      <w:rFonts w:ascii="仿宋_GB2312" w:hAnsi="仿宋_GB2312" w:cs="仿宋_GB2312" w:eastAsia="仿宋_GB2312"/>
                      <w:sz w:val="28"/>
                    </w:rPr>
                    <w:t>灶台、厨具、厨柜、冰箱、燃气炉、蒸箱等设备保持无积垢、无残渣。</w:t>
                  </w:r>
                </w:p>
                <w:p>
                  <w:pPr>
                    <w:pStyle w:val="null3"/>
                    <w:jc w:val="left"/>
                  </w:pPr>
                  <w:r>
                    <w:rPr>
                      <w:rFonts w:ascii="仿宋_GB2312" w:hAnsi="仿宋_GB2312" w:cs="仿宋_GB2312" w:eastAsia="仿宋_GB2312"/>
                      <w:sz w:val="28"/>
                    </w:rPr>
                    <w:t>防尘、防蝇、排烟、通风设施完好，保持卫生干净整洁。</w:t>
                  </w:r>
                </w:p>
              </w:tc>
            </w:tr>
            <w:tr>
              <w:tc>
                <w:tcPr>
                  <w:tcW w:type="dxa" w:w="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五</w:t>
                  </w:r>
                </w:p>
              </w:tc>
              <w:tc>
                <w:tcPr>
                  <w:tcW w:type="dxa" w:w="3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食品安全</w:t>
                  </w:r>
                </w:p>
              </w:tc>
              <w:tc>
                <w:tcPr>
                  <w:tcW w:type="dxa" w:w="18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所有餐饮工作人员必须每年接受体检，持健康证上岗。服务人员保持良好个人卫生习惯，符合卫生要求。</w:t>
                  </w:r>
                </w:p>
                <w:p>
                  <w:pPr>
                    <w:pStyle w:val="null3"/>
                    <w:jc w:val="left"/>
                  </w:pPr>
                  <w:r>
                    <w:rPr>
                      <w:rFonts w:ascii="仿宋_GB2312" w:hAnsi="仿宋_GB2312" w:cs="仿宋_GB2312" w:eastAsia="仿宋_GB2312"/>
                      <w:sz w:val="28"/>
                    </w:rPr>
                    <w:t>严格按照库房管理制度对原材料仓库进行管理。</w:t>
                  </w:r>
                </w:p>
                <w:p>
                  <w:pPr>
                    <w:pStyle w:val="null3"/>
                    <w:jc w:val="left"/>
                  </w:pPr>
                  <w:r>
                    <w:rPr>
                      <w:rFonts w:ascii="仿宋_GB2312" w:hAnsi="仿宋_GB2312" w:cs="仿宋_GB2312" w:eastAsia="仿宋_GB2312"/>
                      <w:sz w:val="28"/>
                    </w:rPr>
                    <w:t>严格执行《食品卫生法》，切实把好食品原料质量关、操作卫生关和储藏物业关，确保食品安全。</w:t>
                  </w:r>
                </w:p>
                <w:p>
                  <w:pPr>
                    <w:pStyle w:val="null3"/>
                    <w:jc w:val="left"/>
                  </w:pPr>
                  <w:r>
                    <w:rPr>
                      <w:rFonts w:ascii="仿宋_GB2312" w:hAnsi="仿宋_GB2312" w:cs="仿宋_GB2312" w:eastAsia="仿宋_GB2312"/>
                      <w:sz w:val="28"/>
                    </w:rPr>
                    <w:t>严格执行食品留样制度，并做好相关记录。</w:t>
                  </w:r>
                </w:p>
                <w:p>
                  <w:pPr>
                    <w:pStyle w:val="null3"/>
                    <w:jc w:val="left"/>
                  </w:pPr>
                  <w:r>
                    <w:rPr>
                      <w:rFonts w:ascii="仿宋_GB2312" w:hAnsi="仿宋_GB2312" w:cs="仿宋_GB2312" w:eastAsia="仿宋_GB2312"/>
                      <w:sz w:val="28"/>
                    </w:rPr>
                    <w:t>经常检查食品质量，发现食品变质、发霉、生虫等情况应及时处理。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2026年7月1日到2027年6月30日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进度款，按季度支付，达到付款条件起10个工作日内，支付合同总金额的25.0%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进度款，按季度支付，达到付款条件起10个工作日内，支付合同总金额的25.0%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进度款，按季度支付，达到付款条件起10个工作日内，支付合同总金额的25.0%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详见采购文件及需求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供应商须具有有效的《食品经营许可证》；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6-分项报价表.docx 中小企业声明函 2陕西省政府采购供应商拒绝政府采购领域商业贿赂承诺书.docx 供应商应提交的相关资格证明材料 报价表 1特定资格证明文件.docx 响应文件封面 残疾人福利性单位声明函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响应文件格式、语言、计量单位、报价货币</w:t>
            </w:r>
          </w:p>
        </w:tc>
        <w:tc>
          <w:tcPr>
            <w:tcW w:type="dxa" w:w="1661"/>
          </w:tcPr>
          <w:p>
            <w:pPr>
              <w:pStyle w:val="null3"/>
            </w:pPr>
            <w:r>
              <w:rPr>
                <w:rFonts w:ascii="仿宋_GB2312" w:hAnsi="仿宋_GB2312" w:cs="仿宋_GB2312" w:eastAsia="仿宋_GB2312"/>
              </w:rPr>
              <w:t>6-分项报价表.docx 中小企业声明函 2陕西省政府采购供应商拒绝政府采购领域商业贿赂承诺书.docx 供应商应提交的相关资格证明材料 1特定资格证明文件.docx 响应文件封面 残疾人福利性单位声明函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6-分项报价表.docx 中小企业声明函 2陕西省政府采购供应商拒绝政府采购领域商业贿赂承诺书.docx 供应商应提交的相关资格证明材料 1特定资格证明文件.docx 响应文件封面 残疾人福利性单位声明函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w:t>
            </w:r>
          </w:p>
        </w:tc>
        <w:tc>
          <w:tcPr>
            <w:tcW w:type="dxa" w:w="1661"/>
          </w:tcPr>
          <w:p>
            <w:pPr>
              <w:pStyle w:val="null3"/>
            </w:pPr>
            <w:r>
              <w:rPr>
                <w:rFonts w:ascii="仿宋_GB2312" w:hAnsi="仿宋_GB2312" w:cs="仿宋_GB2312" w:eastAsia="仿宋_GB2312"/>
              </w:rPr>
              <w:t>6-分项报价表.docx 中小企业声明函 2陕西省政府采购供应商拒绝政府采购领域商业贿赂承诺书.docx 供应商应提交的相关资格证明材料 1特定资格证明文件.docx 响应文件封面 残疾人福利性单位声明函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6-分项报价表.docx 中小企业声明函 2陕西省政府采购供应商拒绝政府采购领域商业贿赂承诺书.docx 供应商应提交的相关资格证明材料 1特定资格证明文件.docx 响应文件封面 残疾人福利性单位声明函 4服务要求及商务要求偏离表.docx 标的清单 5其他.docx 响应函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整体餐饮服务实施方案</w:t>
            </w:r>
          </w:p>
        </w:tc>
        <w:tc>
          <w:tcPr>
            <w:tcW w:type="dxa" w:w="2492"/>
          </w:tcPr>
          <w:p>
            <w:pPr>
              <w:pStyle w:val="null3"/>
            </w:pPr>
            <w:r>
              <w:rPr>
                <w:rFonts w:ascii="仿宋_GB2312" w:hAnsi="仿宋_GB2312" w:cs="仿宋_GB2312" w:eastAsia="仿宋_GB2312"/>
              </w:rPr>
              <w:t>一、评审内容：供应商结合本项目实际，提供整体餐饮服务实施方案，至少包含：①日常三餐供餐组织方案；②每周食谱制定与季节调剂方案；③特色节日餐供应方案。 二、分项评审标准： 1. 供餐稳定性：明确早中晚三餐开餐时间、人员分工及出餐流程，保障90人按时就餐； 2. 调剂合理性：食谱体现季节变化、口味搭配、营养均衡，并明确报采购人审定流程； 3. 弹性保障能力：针对临时增员、紧急供餐有明确人员、食材、备用场地安排。 三、赋分标准（满分9分）： ①日常三餐供餐组织：每满足一个分项评审标准得1分，满分3分； ②每周食谱制定与季节调剂：每满足一个分项评审标准得1分，满分3分； ③特色节日餐供应方案：每满足一个分项评审标准得1分，满分3分； 注：未提供该项内容不得分。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食品安全与卫生管理方案</w:t>
            </w:r>
          </w:p>
        </w:tc>
        <w:tc>
          <w:tcPr>
            <w:tcW w:type="dxa" w:w="2492"/>
          </w:tcPr>
          <w:p>
            <w:pPr>
              <w:pStyle w:val="null3"/>
            </w:pPr>
            <w:r>
              <w:rPr>
                <w:rFonts w:ascii="仿宋_GB2312" w:hAnsi="仿宋_GB2312" w:cs="仿宋_GB2312" w:eastAsia="仿宋_GB2312"/>
              </w:rPr>
              <w:t>一、评审内容：供应商结合本项目实际，提供食品安全与卫生管理方案，至少包含： ①食品储存与出入库管理； ②食品加工过程卫生控制； ③食品留样及餐用具消毒措施。 二、分项评审标准： 1. 源头可控：大宗食材渠道合法、供货商建档，每批次有感官查验与票据留存； 2. 过程可追溯：库房分类存放、离地离墙、先进先出，无过期变质食品； 3. 风险可防范：留样重量、时间，消毒记录完整、频率明确。 三、赋分标准（满分9分）： ①食品储存与出入库管理：每满足一个分项评审标准得1分，满分3分； ②食品加工过程卫生控制：每满足一个分项评审标准得1分，满分3分； ③食品留样及餐用具消毒措施：每满足一个分项评审标准得1分，满分3分。 注：未提供该项内容不得分。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安全操作与环境巡查方案</w:t>
            </w:r>
          </w:p>
        </w:tc>
        <w:tc>
          <w:tcPr>
            <w:tcW w:type="dxa" w:w="2492"/>
          </w:tcPr>
          <w:p>
            <w:pPr>
              <w:pStyle w:val="null3"/>
            </w:pPr>
            <w:r>
              <w:rPr>
                <w:rFonts w:ascii="仿宋_GB2312" w:hAnsi="仿宋_GB2312" w:cs="仿宋_GB2312" w:eastAsia="仿宋_GB2312"/>
              </w:rPr>
              <w:t>一、评审内容：供应商结合本项目实际，提供安全操作与环境巡查方案，至少包含： ①水电气火安全管理制度； ②餐饮设备安全操作规程； ③每日安全巡查与记录机制； ④就餐区与操作间清洁维护方案。 二、分项评审标准： 1. 操作规范性：明确各类设备操作流程、人员防护要求及违规处置措施； 2. 检查常态化：每日班前、班后检查水电气及消防器材，有签字确认记录； 3. 环境达标率：操作间无积垢油污、就餐区桌椅地面清洁、垃圾干湿分离并日产日清。 三、赋分标准（满分12分）： ①水电气火安全管理：每满足一个分项评审标准得1分，满分3分； ②餐饮设备安全操作规程：每满足一个分项评审标准得1分，满分3分； ③每日安全巡查与记录机制：每满足一个分项评审标准得1分，满分3分； ④清洁维护方案：每满足一个分项评审标准得1分，满分3分。 注：未提供该项内容不得分。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突发事件应急与接待保障方案</w:t>
            </w:r>
          </w:p>
        </w:tc>
        <w:tc>
          <w:tcPr>
            <w:tcW w:type="dxa" w:w="2492"/>
          </w:tcPr>
          <w:p>
            <w:pPr>
              <w:pStyle w:val="null3"/>
            </w:pPr>
            <w:r>
              <w:rPr>
                <w:rFonts w:ascii="仿宋_GB2312" w:hAnsi="仿宋_GB2312" w:cs="仿宋_GB2312" w:eastAsia="仿宋_GB2312"/>
              </w:rPr>
              <w:t>一、评审内容：供应商结合本项目实际，提供突发事件应急与接待保障方案，至少包含： ①停水停电停气应急预案； ②食品安全事故应急处置； ③人员替补与应急供餐措施。 二、分项评审标准： 1. 响应时效性：突发事件10分钟内启动预案，30分钟内向采购人汇报； 2. 处置专业性：食物中毒、疑似食源性疾病有明确上报、封存、配合调查流程； 3. 接待周全性：接待前桌椅擦拭、餐具摆放到位，接待中专人巡台，结束后及时清理。 三、赋分标准（满分3分）： ①停水停电停气应急：每满足一个分项评审标准得1分，满分3分； ②食品安全事故应急：每满足一个分项评审标准得1分，满分3分； ③人员替补与应急供餐：每满足一个分项评审标准得1分，满分3分。 注：未提供该项内容不得分。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一、评审内容： 供应商须完整配备并证明以下核心服务岗位人员： ①中式烹调师（1人）； ②面点师（1人）。 二、赋分标准（满分5分）： 岗位配备完整性： 每提供1类完全符合要求的岗位人员得2.5分，满分5分。 证明材料：每类人员须提供有效期内的健康证。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履约保障与承诺</w:t>
            </w:r>
          </w:p>
        </w:tc>
        <w:tc>
          <w:tcPr>
            <w:tcW w:type="dxa" w:w="2492"/>
          </w:tcPr>
          <w:p>
            <w:pPr>
              <w:pStyle w:val="null3"/>
            </w:pPr>
            <w:r>
              <w:rPr>
                <w:rFonts w:ascii="仿宋_GB2312" w:hAnsi="仿宋_GB2312" w:cs="仿宋_GB2312" w:eastAsia="仿宋_GB2312"/>
              </w:rPr>
              <w:t>一、评审内容： 供应商须提供加盖公章的书面承诺书，逐项核查，承诺内容须具体、量化。未按要求承诺、内容不全、未加盖公章的，对应项不得分。 1.服务响应时效承诺（2 分）： 承诺日常问题即时响应、突发事项 30 分钟内到场处置得 2 分；承诺突发事项 1 小时内到场处置得 1 分；未作出有效承诺不得分。 2.日常值守承诺（2 分）： 承诺全体服务人员在岗值守、杜绝空岗脱岗得 2 分；承诺用餐等关键时段人员全员在岗得 1 分；未作出有效承诺不得分。 3.服务整改承诺（2 分）： 承诺收到采购人整改要求后当日完成整改得 2 分；承诺收到整改要求后 3 日内完成整改得 1 分；未作出有效承诺不得分。 4.合规运营承诺（2 分）： 承诺严格遵守食品安全、消防安全及安全生产相关规定得 2 分；承诺依法依规开展餐饮服务工作得 1 分；未作出有效承诺不得分。 5.配合保障承诺（2 分）： 承诺全力配合采购人开展各类检查、临时接待及保障工作得 2 分；承诺配合采购人开展常规检查工作得 1 分； 未作出有效承诺不得分。 6.废弃物规范处置承诺（3分）：承诺餐厨垃圾干湿分类、密闭容器存放，每日定点清运，不隔夜存放，建立清运台账得3分；承诺定点清运，不隔夜存放得1.5分；未作出有效承诺不得分。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劳保与工器具配置</w:t>
            </w:r>
          </w:p>
        </w:tc>
        <w:tc>
          <w:tcPr>
            <w:tcW w:type="dxa" w:w="2492"/>
          </w:tcPr>
          <w:p>
            <w:pPr>
              <w:pStyle w:val="null3"/>
            </w:pPr>
            <w:r>
              <w:rPr>
                <w:rFonts w:ascii="仿宋_GB2312" w:hAnsi="仿宋_GB2312" w:cs="仿宋_GB2312" w:eastAsia="仿宋_GB2312"/>
              </w:rPr>
              <w:t>一、评审内容：供应商提供拟派驻本项目的人员所需劳保用品及工器具清单。 二、赋分标准（满分8分）： 1. 个人防护用品（4分）：提供《劳保用品配置清单》（含工作服、帽、鞋、手套），每类1分。 2. 专项作业工器具（4分）：提供《工器具清单》（含留样盒、分类砧板、专用刀具、色标抹布），每类1分。 未提供该项内容不得分。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4服务要求及商务要求偏离表.docx</w:t>
            </w:r>
          </w:p>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合理化建议与增值服务</w:t>
            </w:r>
          </w:p>
        </w:tc>
        <w:tc>
          <w:tcPr>
            <w:tcW w:type="dxa" w:w="2492"/>
          </w:tcPr>
          <w:p>
            <w:pPr>
              <w:pStyle w:val="null3"/>
            </w:pPr>
            <w:r>
              <w:rPr>
                <w:rFonts w:ascii="仿宋_GB2312" w:hAnsi="仿宋_GB2312" w:cs="仿宋_GB2312" w:eastAsia="仿宋_GB2312"/>
              </w:rPr>
              <w:t>评审内容：供应商应结合本项目实际需求，在服务范围及合同总价基础上，提出有助于提升餐饮服务质量、管理水平或就餐满意度的合理化建议。 评分标准： 1. 运营优化建议（3分）：提出菜单结构优化、季节性菜品调整、营养搭配改进等具体内容，每项0.5分，最高1.5分；提出水、电、气能耗控制或厨余垃圾减量管理措施，每项0.5分，最高1.5分。 2. 食品安全与风险管控建议（3分）：提出食材溯源、批次管理、留样监测等方面的优化建议，每项0.5分，最高1.5分；提出针对集中供餐、重大活动、突发情况的专项保障建议，每项0.5分，最高1.5分。 3. 管理创新与持续改进机制（2分）：提出意见反馈闭环、月度改进计划等机制，每项1分，最高2分。 4. 服务体验提升建议（2分）：提出就餐秩序管理、窗口服务优化、服务质量评价、特殊人群就餐便利等措施，每项0.5分，最高2分。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p>
            <w:pPr>
              <w:pStyle w:val="null3"/>
            </w:pPr>
            <w:r>
              <w:rPr>
                <w:rFonts w:ascii="仿宋_GB2312" w:hAnsi="仿宋_GB2312" w:cs="仿宋_GB2312" w:eastAsia="仿宋_GB2312"/>
              </w:rPr>
              <w:t>4服务要求及商务要求偏离表.docx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提供2023年06月01日至今类似项目业绩，每提供1份得2.5分，满分10分。评审依据：须提供合同复印件，业绩时间以合同签订时间为准。未提供或材料不全的不得分。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4服务要求及商务要求偏离表.docx</w:t>
            </w:r>
          </w:p>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采用低价优先法计算，满足招标文件要求且投标价格最低的投标报价为评标基准价，其价格分为满分15分。其他投标人的价格分统一按照下列公式计算： 投标报价得分=（评标基准价/投标报价）×15 注：投标报价超过采购预算的按无效投标处理。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