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F1194A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3.2.2服务要求</w:t>
      </w:r>
    </w:p>
    <w:p w14:paraId="4ACDFDA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8FBB1EC">
      <w:pPr>
        <w:pStyle w:val="4"/>
      </w:pPr>
      <w:r>
        <w:rPr>
          <w:rFonts w:ascii="仿宋_GB2312" w:hAnsi="仿宋_GB2312" w:eastAsia="仿宋_GB2312" w:cs="仿宋_GB2312"/>
        </w:rPr>
        <w:t>标的名称：应急物资库租赁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71858B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A6CAA8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022F75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4F86AB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1A7C9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31949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43456A39"/>
        </w:tc>
        <w:tc>
          <w:tcPr>
            <w:tcW w:w="2769" w:type="dxa"/>
          </w:tcPr>
          <w:p w14:paraId="56005827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</w:rPr>
              <w:t>1、仓库为1层平库，★面积≥3200㎡。</w:t>
            </w:r>
          </w:p>
          <w:p w14:paraId="66925C20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</w:rPr>
              <w:t>2、应急物资库遵循储存安全、调运方便的原则，并满足地势较高，工程地质和水文地质条件较好；市政条件较好；远离火源、易燃易爆厂房和库房等；交通运输便利；地势较为平坦，视野相对开阔。</w:t>
            </w:r>
          </w:p>
        </w:tc>
      </w:tr>
    </w:tbl>
    <w:p w14:paraId="4108AEA1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706D1742">
      <w:pPr>
        <w:pStyle w:val="4"/>
      </w:pPr>
      <w:r>
        <w:rPr>
          <w:rFonts w:ascii="仿宋_GB2312" w:hAnsi="仿宋_GB2312" w:eastAsia="仿宋_GB2312" w:cs="仿宋_GB2312"/>
        </w:rPr>
        <w:t>标的名称：应急物资库运营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3E5804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343EA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4CADDC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08E136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9DFAF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90654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4DF99F41"/>
        </w:tc>
        <w:tc>
          <w:tcPr>
            <w:tcW w:w="2769" w:type="dxa"/>
          </w:tcPr>
          <w:p w14:paraId="26C763FA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</w:rPr>
              <w:t>1、采购专业运营管理服务，服务单位须具备物业经营管理经验，责任心强，确保物资安全完好。建立健全应急物资库管理制度及全过程台账，涵盖出入库、盘点、维保、巡查、晾晒、充电、演练等环节记录。</w:t>
            </w:r>
          </w:p>
          <w:p w14:paraId="5D09D6F5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</w:rPr>
              <w:t>2、配备6名专职仓管人员，实行24小时值班值守，常备应急运输车辆。遇险情接到调令后，快速组织人员完成物资装车发运，做到第一时间响应，保障仓库安全有序运行。</w:t>
            </w:r>
          </w:p>
          <w:p w14:paraId="26F04BB3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</w:rPr>
              <w:t>3、负责物资出入库清点核对、分类分区存放、出库拣选装车，按月盘点确保账实相符。定期检查物资状态，对临期、受潮、霉变等问题预警报告；组织纺织类物资晾晒养护，对含电池（电瓶）装备定期充电检测维护，确保随时可用。</w:t>
            </w:r>
          </w:p>
          <w:p w14:paraId="272786D5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</w:rPr>
              <w:t>4、每日开展安全检查，严控易燃物资与火源电源安全距离，规范用电管理，限期整改并建立隐患台账。按期对强制检测设备送检，具备电路及机械故障维修能力，协助应急局开展物资报废处置。</w:t>
            </w:r>
          </w:p>
          <w:p w14:paraId="79284919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</w:rPr>
              <w:t>5、每年组织开展不少于2次应急演练，持续提升实战能力，确保应急响应高效可靠。</w:t>
            </w:r>
          </w:p>
        </w:tc>
      </w:tr>
    </w:tbl>
    <w:p w14:paraId="6C2369B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C43F9F"/>
    <w:rsid w:val="3FC4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2026-09-10T13:52:00Z</dcterms:created>
  <dc:creator>QQQQ</dc:creator>
  <cp:lastModifiedBy>QQQQ</cp:lastModifiedBy>
  <dcterms:modified xsi:type="dcterms:W3CDTF">2026-09-10T13:52:33Z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E5003EB85C8C4798AE5E2E1157C8BCAE_11</vt:lpwstr>
  </property>
  <property fmtid="{D5CDD505-2E9C-101B-9397-08002B2CF9AE}" pid="4" name="KSOTemplateDocerSaveRecord">
    <vt:lpwstr>eyJoZGlkIjoiNmZlMDQwN2NiMDE0ZGM3OGQyMjI2MGI5NGMzYzk3YjEiLCJ1c2VySWQiOiIzODkzMjE1NzcifQ==</vt:lpwstr>
  </property>
</Properties>
</file>