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CAFCE">
      <w:pPr>
        <w:spacing w:line="360" w:lineRule="auto"/>
        <w:ind w:firstLine="120" w:firstLineChars="50"/>
        <w:rPr>
          <w:rFonts w:ascii="宋体" w:hAnsi="宋体" w:cs="宋体"/>
          <w:b/>
          <w:color w:val="auto"/>
          <w:sz w:val="24"/>
        </w:rPr>
      </w:pPr>
      <w:r>
        <w:rPr>
          <w:rFonts w:hint="eastAsia" w:ascii="宋体" w:hAnsi="宋体" w:cs="宋体"/>
          <w:b/>
          <w:color w:val="auto"/>
          <w:sz w:val="24"/>
        </w:rPr>
        <w:t>一．项目概述</w:t>
      </w:r>
    </w:p>
    <w:p w14:paraId="0EEE2B1B">
      <w:pPr>
        <w:spacing w:line="360" w:lineRule="auto"/>
        <w:ind w:firstLine="480" w:firstLineChars="200"/>
        <w:rPr>
          <w:rFonts w:ascii="宋体" w:hAnsi="宋体" w:cs="宋体"/>
          <w:color w:val="auto"/>
          <w:sz w:val="24"/>
        </w:rPr>
      </w:pPr>
      <w:r>
        <w:rPr>
          <w:rFonts w:hint="eastAsia" w:ascii="宋体" w:hAnsi="宋体" w:cs="宋体"/>
          <w:color w:val="auto"/>
          <w:sz w:val="24"/>
        </w:rPr>
        <w:t>1、项目名称：陕西省科学技术情报研究院网络安全系统升级</w:t>
      </w:r>
    </w:p>
    <w:p w14:paraId="1861466A">
      <w:pPr>
        <w:spacing w:line="360" w:lineRule="auto"/>
        <w:ind w:firstLine="480" w:firstLineChars="200"/>
        <w:rPr>
          <w:rFonts w:ascii="宋体" w:hAnsi="宋体" w:cs="宋体"/>
          <w:color w:val="auto"/>
          <w:sz w:val="24"/>
        </w:rPr>
      </w:pPr>
      <w:r>
        <w:rPr>
          <w:rFonts w:hint="eastAsia" w:ascii="宋体" w:hAnsi="宋体" w:cs="宋体"/>
          <w:color w:val="auto"/>
          <w:sz w:val="24"/>
        </w:rPr>
        <w:t>2、交货期：合同签订之日起20日历日内完成供货及安装，并交付甲方验收合格。</w:t>
      </w:r>
    </w:p>
    <w:p w14:paraId="4F20B14E">
      <w:pPr>
        <w:spacing w:line="360" w:lineRule="auto"/>
        <w:ind w:firstLine="480" w:firstLineChars="200"/>
        <w:rPr>
          <w:rFonts w:ascii="宋体" w:hAnsi="宋体" w:cs="宋体"/>
          <w:color w:val="auto"/>
          <w:sz w:val="24"/>
        </w:rPr>
      </w:pPr>
      <w:r>
        <w:rPr>
          <w:rFonts w:hint="eastAsia" w:ascii="宋体" w:hAnsi="宋体" w:cs="宋体"/>
          <w:color w:val="auto"/>
          <w:sz w:val="24"/>
        </w:rPr>
        <w:t>3、质保期：</w:t>
      </w:r>
      <w:r>
        <w:rPr>
          <w:rFonts w:hint="eastAsia" w:ascii="宋体" w:hAnsi="宋体" w:cs="宋体"/>
          <w:color w:val="auto"/>
          <w:sz w:val="24"/>
          <w:lang w:val="en-US" w:eastAsia="zh-CN"/>
        </w:rPr>
        <w:t>3</w:t>
      </w:r>
      <w:r>
        <w:rPr>
          <w:rFonts w:hint="eastAsia" w:ascii="宋体" w:hAnsi="宋体" w:cs="宋体"/>
          <w:color w:val="auto"/>
          <w:sz w:val="24"/>
        </w:rPr>
        <w:t>年</w:t>
      </w:r>
    </w:p>
    <w:p w14:paraId="5E5CE6BB">
      <w:pPr>
        <w:spacing w:line="360" w:lineRule="auto"/>
        <w:ind w:right="-168" w:rightChars="-80"/>
        <w:rPr>
          <w:rFonts w:ascii="宋体" w:hAnsi="宋体" w:cs="宋体"/>
          <w:b/>
          <w:color w:val="auto"/>
          <w:sz w:val="24"/>
        </w:rPr>
      </w:pPr>
      <w:r>
        <w:rPr>
          <w:rFonts w:hint="eastAsia" w:ascii="宋体" w:hAnsi="宋体" w:cs="宋体"/>
          <w:b/>
          <w:color w:val="auto"/>
          <w:sz w:val="24"/>
        </w:rPr>
        <w:t>二．技术要求</w:t>
      </w:r>
    </w:p>
    <w:tbl>
      <w:tblPr>
        <w:tblStyle w:val="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744"/>
        <w:gridCol w:w="796"/>
        <w:gridCol w:w="7195"/>
      </w:tblGrid>
      <w:tr w14:paraId="0067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40" w:type="dxa"/>
            <w:tcBorders>
              <w:top w:val="single" w:color="auto" w:sz="4" w:space="0"/>
              <w:left w:val="single" w:color="auto" w:sz="4" w:space="0"/>
              <w:bottom w:val="single" w:color="auto" w:sz="4" w:space="0"/>
              <w:right w:val="single" w:color="auto" w:sz="4" w:space="0"/>
            </w:tcBorders>
            <w:vAlign w:val="center"/>
          </w:tcPr>
          <w:p w14:paraId="4C99BA5F">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序号</w:t>
            </w:r>
          </w:p>
        </w:tc>
        <w:tc>
          <w:tcPr>
            <w:tcW w:w="744" w:type="dxa"/>
            <w:tcBorders>
              <w:top w:val="single" w:color="auto" w:sz="4" w:space="0"/>
              <w:left w:val="single" w:color="auto" w:sz="4" w:space="0"/>
              <w:bottom w:val="single" w:color="auto" w:sz="4" w:space="0"/>
              <w:right w:val="single" w:color="auto" w:sz="4" w:space="0"/>
            </w:tcBorders>
            <w:vAlign w:val="center"/>
          </w:tcPr>
          <w:p w14:paraId="6096BF15">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名称</w:t>
            </w:r>
          </w:p>
        </w:tc>
        <w:tc>
          <w:tcPr>
            <w:tcW w:w="796" w:type="dxa"/>
            <w:tcBorders>
              <w:top w:val="single" w:color="auto" w:sz="4" w:space="0"/>
              <w:left w:val="single" w:color="auto" w:sz="4" w:space="0"/>
              <w:bottom w:val="single" w:color="auto" w:sz="4" w:space="0"/>
              <w:right w:val="single" w:color="auto" w:sz="4" w:space="0"/>
            </w:tcBorders>
            <w:vAlign w:val="center"/>
          </w:tcPr>
          <w:p w14:paraId="327E027E">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数量</w:t>
            </w:r>
          </w:p>
          <w:p w14:paraId="5F160F64">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（台/套）</w:t>
            </w:r>
          </w:p>
        </w:tc>
        <w:tc>
          <w:tcPr>
            <w:tcW w:w="7195" w:type="dxa"/>
            <w:tcBorders>
              <w:top w:val="single" w:color="auto" w:sz="4" w:space="0"/>
              <w:left w:val="single" w:color="auto" w:sz="4" w:space="0"/>
              <w:bottom w:val="single" w:color="auto" w:sz="4" w:space="0"/>
              <w:right w:val="single" w:color="auto" w:sz="4" w:space="0"/>
            </w:tcBorders>
            <w:vAlign w:val="center"/>
          </w:tcPr>
          <w:p w14:paraId="0C400EB4">
            <w:pPr>
              <w:autoSpaceDE w:val="0"/>
              <w:spacing w:line="360" w:lineRule="auto"/>
              <w:jc w:val="center"/>
              <w:rPr>
                <w:rFonts w:ascii="宋体" w:hAnsi="宋体" w:cs="宋体"/>
                <w:color w:val="auto"/>
                <w:kern w:val="0"/>
                <w:sz w:val="24"/>
              </w:rPr>
            </w:pPr>
            <w:r>
              <w:rPr>
                <w:rFonts w:hint="eastAsia" w:ascii="宋体" w:hAnsi="宋体" w:cs="宋体"/>
                <w:color w:val="auto"/>
                <w:sz w:val="24"/>
              </w:rPr>
              <w:t>技术参数及要求</w:t>
            </w:r>
          </w:p>
        </w:tc>
      </w:tr>
      <w:tr w14:paraId="4C11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40" w:type="dxa"/>
            <w:tcBorders>
              <w:top w:val="single" w:color="auto" w:sz="4" w:space="0"/>
              <w:left w:val="single" w:color="auto" w:sz="4" w:space="0"/>
              <w:bottom w:val="single" w:color="auto" w:sz="4" w:space="0"/>
              <w:right w:val="single" w:color="auto" w:sz="4" w:space="0"/>
            </w:tcBorders>
            <w:vAlign w:val="center"/>
          </w:tcPr>
          <w:p w14:paraId="3117ED62">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1</w:t>
            </w:r>
          </w:p>
        </w:tc>
        <w:tc>
          <w:tcPr>
            <w:tcW w:w="744" w:type="dxa"/>
            <w:tcBorders>
              <w:top w:val="single" w:color="auto" w:sz="4" w:space="0"/>
              <w:left w:val="single" w:color="auto" w:sz="4" w:space="0"/>
              <w:bottom w:val="single" w:color="auto" w:sz="4" w:space="0"/>
              <w:right w:val="single" w:color="auto" w:sz="4" w:space="0"/>
            </w:tcBorders>
            <w:vAlign w:val="center"/>
          </w:tcPr>
          <w:p w14:paraId="70CED128">
            <w:pPr>
              <w:autoSpaceDE w:val="0"/>
              <w:spacing w:line="360" w:lineRule="auto"/>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全网行为管理服务系统（</w:t>
            </w:r>
            <w:r>
              <w:rPr>
                <w:rFonts w:hint="eastAsia" w:ascii="宋体" w:hAnsi="宋体" w:cs="宋体"/>
                <w:color w:val="auto"/>
                <w:kern w:val="0"/>
                <w:sz w:val="24"/>
                <w:lang w:val="en-US" w:eastAsia="zh-CN"/>
              </w:rPr>
              <w:t>核心产品</w:t>
            </w:r>
            <w:r>
              <w:rPr>
                <w:rFonts w:hint="eastAsia" w:ascii="宋体" w:hAnsi="宋体" w:cs="宋体"/>
                <w:color w:val="auto"/>
                <w:kern w:val="0"/>
                <w:sz w:val="24"/>
                <w:lang w:eastAsia="zh-CN"/>
              </w:rPr>
              <w:t>）</w:t>
            </w:r>
          </w:p>
        </w:tc>
        <w:tc>
          <w:tcPr>
            <w:tcW w:w="796" w:type="dxa"/>
            <w:tcBorders>
              <w:top w:val="single" w:color="auto" w:sz="4" w:space="0"/>
              <w:left w:val="single" w:color="auto" w:sz="4" w:space="0"/>
              <w:bottom w:val="single" w:color="auto" w:sz="4" w:space="0"/>
              <w:right w:val="single" w:color="auto" w:sz="4" w:space="0"/>
            </w:tcBorders>
            <w:vAlign w:val="center"/>
          </w:tcPr>
          <w:p w14:paraId="180AF5AA">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1台</w:t>
            </w:r>
          </w:p>
        </w:tc>
        <w:tc>
          <w:tcPr>
            <w:tcW w:w="7195" w:type="dxa"/>
            <w:tcBorders>
              <w:top w:val="single" w:color="auto" w:sz="4" w:space="0"/>
              <w:left w:val="single" w:color="auto" w:sz="4" w:space="0"/>
              <w:bottom w:val="single" w:color="auto" w:sz="4" w:space="0"/>
              <w:right w:val="single" w:color="auto" w:sz="4" w:space="0"/>
            </w:tcBorders>
            <w:vAlign w:val="center"/>
          </w:tcPr>
          <w:p w14:paraId="61E6E1F3">
            <w:pPr>
              <w:autoSpaceDE w:val="0"/>
              <w:spacing w:line="360" w:lineRule="auto"/>
              <w:jc w:val="left"/>
              <w:rPr>
                <w:rFonts w:ascii="宋体" w:hAnsi="宋体" w:cs="宋体"/>
                <w:color w:val="auto"/>
                <w:sz w:val="24"/>
              </w:rPr>
            </w:pPr>
            <w:r>
              <w:rPr>
                <w:rFonts w:hint="eastAsia" w:ascii="宋体" w:hAnsi="宋体" w:cs="宋体"/>
                <w:color w:val="auto"/>
                <w:sz w:val="24"/>
                <w:lang w:val="en-US" w:eastAsia="zh-CN"/>
              </w:rPr>
              <w:t>性能参数</w:t>
            </w:r>
            <w:r>
              <w:rPr>
                <w:rFonts w:hint="eastAsia" w:ascii="宋体" w:hAnsi="宋体" w:cs="宋体"/>
                <w:color w:val="auto"/>
                <w:sz w:val="24"/>
              </w:rPr>
              <w:t>：网络层吞吐量≥10Gb，带宽性能≥1Gb，支持用户数≥6000，包转发率≥132Kpps，每秒新建连接数≥14000，最大并发连接数≥600000。规格：2U，电源：冗余电源，接口数量≥6千兆电口+4千兆光口。</w:t>
            </w:r>
          </w:p>
          <w:p w14:paraId="44E0BBBE">
            <w:pPr>
              <w:autoSpaceDE w:val="0"/>
              <w:spacing w:line="360" w:lineRule="auto"/>
              <w:jc w:val="left"/>
              <w:rPr>
                <w:rFonts w:ascii="宋体" w:hAnsi="宋体" w:cs="宋体"/>
                <w:color w:val="auto"/>
                <w:sz w:val="24"/>
              </w:rPr>
            </w:pPr>
            <w:r>
              <w:rPr>
                <w:rFonts w:hint="eastAsia" w:ascii="宋体" w:hAnsi="宋体" w:cs="宋体"/>
                <w:color w:val="auto"/>
                <w:sz w:val="24"/>
              </w:rPr>
              <w:t>功能参数：</w:t>
            </w:r>
          </w:p>
          <w:p w14:paraId="2898D7A7">
            <w:pPr>
              <w:autoSpaceDE w:val="0"/>
              <w:spacing w:line="360" w:lineRule="auto"/>
              <w:jc w:val="left"/>
              <w:rPr>
                <w:rFonts w:ascii="宋体" w:hAnsi="宋体" w:cs="宋体"/>
                <w:color w:val="auto"/>
                <w:sz w:val="24"/>
              </w:rPr>
            </w:pPr>
            <w:r>
              <w:rPr>
                <w:rFonts w:hint="eastAsia" w:ascii="宋体" w:hAnsi="宋体" w:cs="宋体"/>
                <w:color w:val="auto"/>
                <w:sz w:val="24"/>
              </w:rPr>
              <w:t>1.为保障业务连续性，设备需支持对接我单位原先行为管理设备，支持数据迁移，搭配使用协同办公使用，服务支持与我单位OA办公业务进行对接，实现大模型业务上网资料查询的行为审计。</w:t>
            </w:r>
          </w:p>
          <w:p w14:paraId="557B9BD8">
            <w:pPr>
              <w:autoSpaceDE w:val="0"/>
              <w:spacing w:line="360" w:lineRule="auto"/>
              <w:jc w:val="left"/>
              <w:rPr>
                <w:rFonts w:ascii="宋体" w:hAnsi="宋体" w:cs="宋体"/>
                <w:color w:val="auto"/>
                <w:sz w:val="24"/>
              </w:rPr>
            </w:pPr>
            <w:r>
              <w:rPr>
                <w:rFonts w:hint="eastAsia" w:ascii="宋体" w:hAnsi="宋体" w:cs="宋体"/>
                <w:color w:val="auto"/>
                <w:sz w:val="24"/>
              </w:rPr>
              <w:t>2.支持首页不同维度显示实时的管理用户人数情况、终端类型；带宽质量分析情况、实时流量排名情况；录入资产类型分布情况、新设备发现趋势、终端违规检查项排行情况、终端违规用户排行情况等，提供相关证明材料包括但不限于包括厂商截图证明材料等。</w:t>
            </w:r>
          </w:p>
          <w:p w14:paraId="3C1AC739">
            <w:pPr>
              <w:autoSpaceDE w:val="0"/>
              <w:spacing w:line="360" w:lineRule="auto"/>
              <w:jc w:val="left"/>
              <w:rPr>
                <w:rFonts w:ascii="宋体" w:hAnsi="宋体" w:cs="宋体"/>
                <w:color w:val="auto"/>
                <w:sz w:val="24"/>
              </w:rPr>
            </w:pPr>
            <w:r>
              <w:rPr>
                <w:rFonts w:hint="eastAsia" w:ascii="宋体" w:hAnsi="宋体" w:cs="宋体"/>
                <w:color w:val="auto"/>
                <w:sz w:val="24"/>
              </w:rPr>
              <w:t>3.支持对Web请求访问情况进行检测，可对内网用户使用web请求访问网络流畅情况进行检测，通过质量评级对整体网络进行展示，提供相关证明材料包括但不限于包括厂商截图证明材料等。</w:t>
            </w:r>
          </w:p>
          <w:p w14:paraId="53B7D392">
            <w:pPr>
              <w:autoSpaceDE w:val="0"/>
              <w:spacing w:line="360" w:lineRule="auto"/>
              <w:jc w:val="left"/>
              <w:rPr>
                <w:rFonts w:ascii="宋体" w:hAnsi="宋体" w:cs="宋体"/>
                <w:color w:val="auto"/>
                <w:sz w:val="24"/>
              </w:rPr>
            </w:pPr>
            <w:r>
              <w:rPr>
                <w:rFonts w:hint="eastAsia" w:ascii="宋体" w:hAnsi="宋体" w:cs="宋体"/>
                <w:color w:val="auto"/>
                <w:sz w:val="24"/>
              </w:rPr>
              <w:t>4.可针对于不同的认证场景提供不同的认证界面，不同上网人员所对应的认证页面支持自定义，可根据需要针对文字、颜色风格、图片等进行编辑，且图片支持轮播，提供相关证明材料包括但不限于包括厂商截图证明材料等。</w:t>
            </w:r>
          </w:p>
          <w:p w14:paraId="5196C337">
            <w:pPr>
              <w:autoSpaceDE w:val="0"/>
              <w:spacing w:line="360" w:lineRule="auto"/>
              <w:jc w:val="left"/>
              <w:rPr>
                <w:rFonts w:ascii="宋体" w:hAnsi="宋体" w:cs="宋体"/>
                <w:color w:val="auto"/>
                <w:sz w:val="24"/>
              </w:rPr>
            </w:pPr>
            <w:r>
              <w:rPr>
                <w:rFonts w:hint="eastAsia" w:ascii="宋体" w:hAnsi="宋体" w:cs="宋体"/>
                <w:color w:val="auto"/>
                <w:sz w:val="24"/>
              </w:rPr>
              <w:t>5.支持802.1x认证，支持和AD域用户源的对接，支持在旁路模式部署下准入生效；支持基于802.1x的外部CA证书认证，同时支持在线CA证书状态查询；</w:t>
            </w:r>
          </w:p>
          <w:p w14:paraId="7E5E8F5B">
            <w:pPr>
              <w:autoSpaceDE w:val="0"/>
              <w:spacing w:line="360" w:lineRule="auto"/>
              <w:jc w:val="left"/>
              <w:rPr>
                <w:rFonts w:ascii="宋体" w:hAnsi="宋体" w:cs="宋体"/>
                <w:color w:val="auto"/>
                <w:sz w:val="24"/>
              </w:rPr>
            </w:pPr>
            <w:r>
              <w:rPr>
                <w:rFonts w:hint="eastAsia" w:ascii="宋体" w:hAnsi="宋体" w:cs="宋体"/>
                <w:color w:val="auto"/>
                <w:sz w:val="24"/>
              </w:rPr>
              <w:t>6.支持终端用户账号绑定手机号码和微信号，绑定后可以通过手机验证码和微信扫码实现上网快捷登录认证，提供相关证明材料包括但不限于包括厂商截图证明材料等。</w:t>
            </w:r>
          </w:p>
          <w:p w14:paraId="6FF9A5DE">
            <w:pPr>
              <w:autoSpaceDE w:val="0"/>
              <w:spacing w:line="360" w:lineRule="auto"/>
              <w:jc w:val="left"/>
              <w:rPr>
                <w:rFonts w:ascii="宋体" w:hAnsi="宋体" w:cs="宋体"/>
                <w:color w:val="auto"/>
                <w:sz w:val="24"/>
              </w:rPr>
            </w:pPr>
            <w:r>
              <w:rPr>
                <w:rFonts w:hint="eastAsia" w:ascii="宋体" w:hAnsi="宋体" w:cs="宋体"/>
                <w:color w:val="auto"/>
                <w:sz w:val="24"/>
              </w:rPr>
              <w:t>7.支持设备利用终端的MAC地址作为认证检验值,支持在终端管理列表批量绑定设备IP/MAC快捷放通入网。</w:t>
            </w:r>
          </w:p>
          <w:p w14:paraId="7ABA4D53">
            <w:pPr>
              <w:autoSpaceDE w:val="0"/>
              <w:spacing w:line="360" w:lineRule="auto"/>
              <w:jc w:val="left"/>
              <w:rPr>
                <w:rFonts w:ascii="宋体" w:hAnsi="宋体" w:cs="宋体"/>
                <w:color w:val="auto"/>
                <w:sz w:val="24"/>
              </w:rPr>
            </w:pPr>
            <w:r>
              <w:rPr>
                <w:rFonts w:hint="eastAsia" w:ascii="宋体" w:hAnsi="宋体" w:cs="宋体"/>
                <w:color w:val="auto"/>
                <w:sz w:val="24"/>
              </w:rPr>
              <w:t>8.能够识别和分类各种URL类型，同时所有URL类型都支持区分“网站浏览”、“文件上传”、“其他上传”、“HTTPS”等细分行为并分别做权限控制，提供相关证明材料包括但不限于包括厂商截图证明材料等。</w:t>
            </w:r>
          </w:p>
          <w:p w14:paraId="4D7CC405">
            <w:pPr>
              <w:autoSpaceDE w:val="0"/>
              <w:spacing w:line="360" w:lineRule="auto"/>
              <w:jc w:val="left"/>
              <w:rPr>
                <w:rFonts w:ascii="宋体" w:hAnsi="宋体" w:cs="宋体"/>
                <w:color w:val="auto"/>
                <w:sz w:val="24"/>
              </w:rPr>
            </w:pPr>
            <w:r>
              <w:rPr>
                <w:rFonts w:hint="eastAsia" w:ascii="宋体" w:hAnsi="宋体" w:cs="宋体"/>
                <w:color w:val="auto"/>
                <w:sz w:val="24"/>
              </w:rPr>
              <w:t>9.支持设备健康状况检查并支持下1载健康报告，支持web管理操作界面进行设备重启操作，支持设备自带的抓包工具进行抓包分析，提供相关证明材料包括但不限于包括厂商截图证明材料等。</w:t>
            </w:r>
          </w:p>
          <w:p w14:paraId="7038108B">
            <w:pPr>
              <w:autoSpaceDE w:val="0"/>
              <w:spacing w:line="360" w:lineRule="auto"/>
              <w:jc w:val="left"/>
              <w:rPr>
                <w:rFonts w:ascii="宋体" w:hAnsi="宋体" w:cs="宋体"/>
                <w:color w:val="auto"/>
                <w:sz w:val="24"/>
              </w:rPr>
            </w:pPr>
            <w:r>
              <w:rPr>
                <w:rFonts w:hint="eastAsia" w:ascii="宋体" w:hAnsi="宋体" w:cs="宋体"/>
                <w:color w:val="auto"/>
                <w:sz w:val="24"/>
              </w:rPr>
              <w:t>10.支持网关模式、路由模式、网桥模式、网桥模式（多路桥接模式）和旁路模式等多种模式的网络部署方式，支持电口bypass。</w:t>
            </w:r>
          </w:p>
          <w:p w14:paraId="0B27B038">
            <w:pPr>
              <w:autoSpaceDE w:val="0"/>
              <w:spacing w:line="360" w:lineRule="auto"/>
              <w:jc w:val="left"/>
              <w:rPr>
                <w:rFonts w:ascii="宋体" w:hAnsi="宋体" w:cs="宋体"/>
                <w:color w:val="auto"/>
                <w:sz w:val="24"/>
              </w:rPr>
            </w:pPr>
            <w:r>
              <w:rPr>
                <w:rFonts w:hint="eastAsia" w:ascii="宋体" w:hAnsi="宋体" w:cs="宋体"/>
                <w:color w:val="auto"/>
                <w:sz w:val="24"/>
              </w:rPr>
              <w:t>11.服务支持额外配置未知威胁防护功能，支持SAVE杀毒、僵尸主机检测、恶意链接检测、云上安全支撑服务。</w:t>
            </w:r>
          </w:p>
        </w:tc>
      </w:tr>
      <w:tr w14:paraId="1B870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40" w:type="dxa"/>
            <w:tcBorders>
              <w:top w:val="single" w:color="auto" w:sz="4" w:space="0"/>
              <w:left w:val="single" w:color="auto" w:sz="4" w:space="0"/>
              <w:bottom w:val="single" w:color="auto" w:sz="4" w:space="0"/>
              <w:right w:val="single" w:color="auto" w:sz="4" w:space="0"/>
            </w:tcBorders>
            <w:vAlign w:val="center"/>
          </w:tcPr>
          <w:p w14:paraId="192AC163">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2</w:t>
            </w:r>
          </w:p>
        </w:tc>
        <w:tc>
          <w:tcPr>
            <w:tcW w:w="744" w:type="dxa"/>
            <w:tcBorders>
              <w:top w:val="single" w:color="auto" w:sz="4" w:space="0"/>
              <w:left w:val="single" w:color="auto" w:sz="4" w:space="0"/>
              <w:bottom w:val="single" w:color="auto" w:sz="4" w:space="0"/>
              <w:right w:val="single" w:color="auto" w:sz="4" w:space="0"/>
            </w:tcBorders>
            <w:vAlign w:val="center"/>
          </w:tcPr>
          <w:p w14:paraId="5AA2DD7C">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零信任及安全防护沙箱服务系统</w:t>
            </w:r>
          </w:p>
        </w:tc>
        <w:tc>
          <w:tcPr>
            <w:tcW w:w="796" w:type="dxa"/>
            <w:tcBorders>
              <w:top w:val="single" w:color="auto" w:sz="4" w:space="0"/>
              <w:left w:val="single" w:color="auto" w:sz="4" w:space="0"/>
              <w:bottom w:val="single" w:color="auto" w:sz="4" w:space="0"/>
              <w:right w:val="single" w:color="auto" w:sz="4" w:space="0"/>
            </w:tcBorders>
            <w:vAlign w:val="center"/>
          </w:tcPr>
          <w:p w14:paraId="2BB104CD">
            <w:pPr>
              <w:autoSpaceDE w:val="0"/>
              <w:spacing w:line="360" w:lineRule="auto"/>
              <w:jc w:val="center"/>
              <w:rPr>
                <w:rFonts w:ascii="宋体" w:hAnsi="宋体" w:cs="宋体"/>
                <w:color w:val="auto"/>
                <w:kern w:val="0"/>
                <w:sz w:val="24"/>
              </w:rPr>
            </w:pPr>
            <w:r>
              <w:rPr>
                <w:rFonts w:hint="eastAsia" w:ascii="宋体" w:hAnsi="宋体" w:cs="宋体"/>
                <w:color w:val="auto"/>
                <w:kern w:val="0"/>
                <w:sz w:val="24"/>
              </w:rPr>
              <w:t>1台</w:t>
            </w:r>
          </w:p>
        </w:tc>
        <w:tc>
          <w:tcPr>
            <w:tcW w:w="7195" w:type="dxa"/>
            <w:tcBorders>
              <w:top w:val="single" w:color="auto" w:sz="4" w:space="0"/>
              <w:left w:val="single" w:color="auto" w:sz="4" w:space="0"/>
              <w:bottom w:val="single" w:color="auto" w:sz="4" w:space="0"/>
              <w:right w:val="single" w:color="auto" w:sz="4" w:space="0"/>
            </w:tcBorders>
            <w:vAlign w:val="center"/>
          </w:tcPr>
          <w:p w14:paraId="1062F4F3">
            <w:pPr>
              <w:autoSpaceDE w:val="0"/>
              <w:spacing w:line="360" w:lineRule="auto"/>
              <w:jc w:val="left"/>
              <w:rPr>
                <w:rFonts w:ascii="宋体" w:hAnsi="宋体" w:cs="宋体"/>
                <w:color w:val="auto"/>
                <w:sz w:val="24"/>
              </w:rPr>
            </w:pPr>
            <w:r>
              <w:rPr>
                <w:rFonts w:hint="eastAsia" w:ascii="宋体" w:hAnsi="宋体" w:cs="宋体"/>
                <w:color w:val="auto"/>
                <w:sz w:val="24"/>
                <w:lang w:val="en-US" w:eastAsia="zh-CN"/>
              </w:rPr>
              <w:t>性能参数</w:t>
            </w:r>
            <w:r>
              <w:rPr>
                <w:rFonts w:hint="eastAsia" w:ascii="宋体" w:hAnsi="宋体" w:cs="宋体"/>
                <w:color w:val="auto"/>
                <w:sz w:val="24"/>
              </w:rPr>
              <w:t>：加密最大流量（Mbps）≥100，理论并发隧道数（Tunnel）≥1000；SSL性能参数：最大理论加密流量（Mbps）≥300Mbps，最大理论建议并发用户数≥600。接入授权≥150，沙箱接入授权≥150。规格：1U，接口数量≥6千兆电口+4千兆光口。</w:t>
            </w:r>
          </w:p>
          <w:p w14:paraId="5958B8BA">
            <w:pPr>
              <w:autoSpaceDE w:val="0"/>
              <w:spacing w:line="360" w:lineRule="auto"/>
              <w:jc w:val="left"/>
              <w:rPr>
                <w:rFonts w:ascii="宋体" w:hAnsi="宋体" w:cs="宋体"/>
                <w:color w:val="auto"/>
                <w:sz w:val="24"/>
              </w:rPr>
            </w:pPr>
            <w:r>
              <w:rPr>
                <w:rFonts w:hint="eastAsia" w:ascii="宋体" w:hAnsi="宋体" w:cs="宋体"/>
                <w:color w:val="auto"/>
                <w:sz w:val="24"/>
                <w:lang w:val="en-US" w:eastAsia="zh-CN"/>
              </w:rPr>
              <w:t>系统功能</w:t>
            </w:r>
            <w:r>
              <w:rPr>
                <w:rFonts w:hint="eastAsia" w:ascii="宋体" w:hAnsi="宋体" w:cs="宋体"/>
                <w:color w:val="auto"/>
                <w:sz w:val="24"/>
              </w:rPr>
              <w:t>指标：</w:t>
            </w:r>
          </w:p>
          <w:p w14:paraId="5C5B1FBF">
            <w:pPr>
              <w:autoSpaceDE w:val="0"/>
              <w:spacing w:line="360" w:lineRule="auto"/>
              <w:jc w:val="left"/>
              <w:rPr>
                <w:rFonts w:ascii="宋体" w:hAnsi="宋体" w:cs="宋体"/>
                <w:color w:val="auto"/>
                <w:sz w:val="24"/>
              </w:rPr>
            </w:pPr>
            <w:r>
              <w:rPr>
                <w:rFonts w:hint="eastAsia" w:ascii="宋体" w:hAnsi="宋体" w:cs="宋体"/>
                <w:color w:val="auto"/>
                <w:sz w:val="24"/>
              </w:rPr>
              <w:t>1.采用零信任体系规划建设全院网络安全系统，构建内外网安全隔离机制，支持院外用户通过 VPN 建立加密隧道，经身份核验后安全访问指定内网业务服务，实现访问权限精细化管控，防范远程接入带来的安全风险。支持与我单位OA办公业务进行对接，实现业务的加密访问，支持与我单位大模型业务的对接，实现数据的加密上传；升级更新关联设备系统。</w:t>
            </w:r>
          </w:p>
          <w:p w14:paraId="2295D3EF">
            <w:pPr>
              <w:autoSpaceDE w:val="0"/>
              <w:spacing w:line="360" w:lineRule="auto"/>
              <w:jc w:val="left"/>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系统</w:t>
            </w:r>
            <w:r>
              <w:rPr>
                <w:rFonts w:hint="eastAsia" w:ascii="宋体" w:hAnsi="宋体" w:cs="宋体"/>
                <w:color w:val="auto"/>
                <w:sz w:val="24"/>
              </w:rPr>
              <w:t>支持与现有行为管理及本次采购全网行为管理及未知威胁防护的系统实现认证联动，可以转发用户认证信息到行为管理，实现单点登录。</w:t>
            </w:r>
          </w:p>
          <w:p w14:paraId="434BF233">
            <w:pPr>
              <w:autoSpaceDE w:val="0"/>
              <w:spacing w:line="360" w:lineRule="auto"/>
              <w:jc w:val="left"/>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系统</w:t>
            </w:r>
            <w:r>
              <w:rPr>
                <w:rFonts w:hint="eastAsia" w:ascii="宋体" w:hAnsi="宋体" w:cs="宋体"/>
                <w:color w:val="auto"/>
                <w:sz w:val="24"/>
              </w:rPr>
              <w:t>支持防护沙箱功能，可在终端创建具备安全链路、落地文件加密、网络隔离、剪切板隔离、进程保护、屏幕水印等数据保护能力的安全工作空间。</w:t>
            </w:r>
          </w:p>
          <w:p w14:paraId="5177E55A">
            <w:pPr>
              <w:autoSpaceDE w:val="0"/>
              <w:spacing w:line="360" w:lineRule="auto"/>
              <w:jc w:val="left"/>
              <w:rPr>
                <w:rFonts w:ascii="宋体" w:hAnsi="宋体" w:cs="宋体"/>
                <w:color w:val="auto"/>
                <w:sz w:val="24"/>
              </w:rPr>
            </w:pPr>
            <w:r>
              <w:rPr>
                <w:rFonts w:hint="eastAsia" w:ascii="宋体" w:hAnsi="宋体" w:cs="宋体"/>
                <w:color w:val="auto"/>
                <w:sz w:val="24"/>
              </w:rPr>
              <w:t>4.</w:t>
            </w:r>
            <w:r>
              <w:rPr>
                <w:rFonts w:hint="eastAsia" w:ascii="宋体" w:hAnsi="宋体" w:cs="宋体"/>
                <w:color w:val="auto"/>
                <w:sz w:val="24"/>
                <w:lang w:val="en-US" w:eastAsia="zh-CN"/>
              </w:rPr>
              <w:t>系统</w:t>
            </w:r>
            <w:r>
              <w:rPr>
                <w:rFonts w:hint="eastAsia" w:ascii="宋体" w:hAnsi="宋体" w:cs="宋体"/>
                <w:color w:val="auto"/>
                <w:sz w:val="24"/>
              </w:rPr>
              <w:t>支持点击工作台的业务应用可直接拉起CS程序进行访问，包括但不限于浏览器、远程桌面或其他指定程序，支持Windows、macOS、统信UOS、麒麟kylin、Ubuntu等主流操作系统；针对Windows系统，还支持拉起CS应用时携带启动参数，自动访问管理员设定的地址。</w:t>
            </w:r>
          </w:p>
          <w:p w14:paraId="6B7A0B2E">
            <w:pPr>
              <w:autoSpaceDE w:val="0"/>
              <w:spacing w:line="360" w:lineRule="auto"/>
              <w:jc w:val="left"/>
              <w:rPr>
                <w:rFonts w:ascii="宋体" w:hAnsi="宋体" w:cs="宋体"/>
                <w:color w:val="auto"/>
                <w:sz w:val="24"/>
              </w:rPr>
            </w:pPr>
            <w:r>
              <w:rPr>
                <w:rFonts w:hint="eastAsia" w:ascii="宋体" w:hAnsi="宋体" w:cs="宋体"/>
                <w:color w:val="auto"/>
                <w:sz w:val="24"/>
              </w:rPr>
              <w:t>5.为满足员工对终端自主管理的诉求，零信任设备应支持用户自助查看在线或离线终端列表，并注销其他终端，避免账号盗用；并支持查看同账号登录过的终端信息，包括但不限于设备名称、设备系统类型、接入地址、最后登录时间等；提供产品功能截图并加盖厂商公章。</w:t>
            </w:r>
          </w:p>
          <w:p w14:paraId="56AB1BAF">
            <w:pPr>
              <w:autoSpaceDE w:val="0"/>
              <w:spacing w:line="360" w:lineRule="auto"/>
              <w:jc w:val="left"/>
              <w:rPr>
                <w:rFonts w:ascii="宋体" w:hAnsi="宋体" w:cs="宋体"/>
                <w:color w:val="auto"/>
                <w:sz w:val="24"/>
              </w:rPr>
            </w:pPr>
            <w:r>
              <w:rPr>
                <w:rFonts w:hint="eastAsia" w:ascii="宋体" w:hAnsi="宋体" w:cs="宋体"/>
                <w:color w:val="auto"/>
                <w:sz w:val="24"/>
              </w:rPr>
              <w:t>6.支持为接入系统的终端设置标签或者管理员自定义新增标签，支持通过终端标签来配置特殊的上线准入策略及应用访问策略；支持用户在PC端和手机端的登录页面均可通过点击忘记密码来重置密码；提供产品功能截图并加盖厂商公章。</w:t>
            </w:r>
          </w:p>
          <w:p w14:paraId="1AD1C118">
            <w:pPr>
              <w:autoSpaceDE w:val="0"/>
              <w:spacing w:line="360" w:lineRule="auto"/>
              <w:jc w:val="left"/>
              <w:rPr>
                <w:rFonts w:ascii="宋体" w:hAnsi="宋体" w:cs="宋体"/>
                <w:color w:val="auto"/>
                <w:sz w:val="24"/>
              </w:rPr>
            </w:pPr>
            <w:r>
              <w:rPr>
                <w:rFonts w:hint="eastAsia" w:ascii="宋体" w:hAnsi="宋体" w:cs="宋体"/>
                <w:color w:val="auto"/>
                <w:sz w:val="24"/>
              </w:rPr>
              <w:t>7.为强化系统认证安全性，支持配置在触发异常环境的条件时，需完成增强认证才可登录。可配置的异常环境包括但不限于：帐号首次登录、帐号在该终端首次登录、账号在该地点首次登录、账号在新地点登录、账号在非常用地点登录、闲置帐号登录、弱密码登录、异常时间登录等。提供产品功能截图及第三方检测机构出具的带检测报告证明并加盖厂商公章。</w:t>
            </w:r>
          </w:p>
          <w:p w14:paraId="08693B25">
            <w:pPr>
              <w:autoSpaceDE w:val="0"/>
              <w:spacing w:line="360" w:lineRule="auto"/>
              <w:jc w:val="left"/>
              <w:rPr>
                <w:rFonts w:ascii="宋体" w:hAnsi="宋体" w:cs="宋体"/>
                <w:color w:val="auto"/>
                <w:sz w:val="24"/>
              </w:rPr>
            </w:pPr>
            <w:r>
              <w:rPr>
                <w:rFonts w:hint="eastAsia" w:ascii="宋体" w:hAnsi="宋体" w:cs="宋体"/>
                <w:color w:val="auto"/>
                <w:sz w:val="24"/>
              </w:rPr>
              <w:t>8.需提供开放的API，供第三方安全设备或单位自有安全分析平台对接，便于形成统一的安全体系。提供产品功能截图并加盖厂商公章。</w:t>
            </w:r>
          </w:p>
          <w:p w14:paraId="67FC0839">
            <w:pPr>
              <w:autoSpaceDE w:val="0"/>
              <w:spacing w:line="360" w:lineRule="auto"/>
              <w:jc w:val="left"/>
              <w:rPr>
                <w:rFonts w:ascii="宋体" w:hAnsi="宋体" w:cs="宋体"/>
                <w:color w:val="auto"/>
                <w:sz w:val="24"/>
              </w:rPr>
            </w:pPr>
            <w:r>
              <w:rPr>
                <w:rFonts w:hint="eastAsia" w:ascii="宋体" w:hAnsi="宋体" w:cs="宋体"/>
                <w:color w:val="auto"/>
                <w:sz w:val="24"/>
              </w:rPr>
              <w:t>9.支持通过威胁诱捕实现主动防御功能，管理员可以创建多种不同协议特征的蜜罐用于欺骗攻击者，且不响应攻击者交互命令。提供产品功能截图并加盖厂商公章。</w:t>
            </w:r>
          </w:p>
          <w:p w14:paraId="547E98D8">
            <w:pPr>
              <w:autoSpaceDE w:val="0"/>
              <w:spacing w:line="360" w:lineRule="auto"/>
              <w:jc w:val="left"/>
              <w:rPr>
                <w:rFonts w:ascii="宋体" w:hAnsi="宋体" w:cs="宋体"/>
                <w:color w:val="auto"/>
                <w:sz w:val="24"/>
              </w:rPr>
            </w:pPr>
            <w:r>
              <w:rPr>
                <w:rFonts w:hint="eastAsia" w:ascii="宋体" w:hAnsi="宋体" w:cs="宋体"/>
                <w:color w:val="auto"/>
                <w:sz w:val="24"/>
              </w:rPr>
              <w:t>10.支持防线可视功能，基于零信任的设备、账号、终端三道防线进行分析，实现零信任SDP设备/账号/终端三道防线安全能力和效果的可视化及量化。提供产品功能截图并加盖厂商公章。</w:t>
            </w:r>
          </w:p>
          <w:p w14:paraId="1A70C1AE">
            <w:pPr>
              <w:autoSpaceDE w:val="0"/>
              <w:spacing w:line="360" w:lineRule="auto"/>
              <w:jc w:val="left"/>
              <w:rPr>
                <w:rFonts w:ascii="宋体" w:hAnsi="宋体" w:cs="宋体"/>
                <w:color w:val="auto"/>
                <w:sz w:val="24"/>
              </w:rPr>
            </w:pPr>
            <w:r>
              <w:rPr>
                <w:rFonts w:hint="eastAsia" w:ascii="宋体" w:hAnsi="宋体" w:cs="宋体"/>
                <w:color w:val="auto"/>
                <w:sz w:val="24"/>
              </w:rPr>
              <w:t>11.为有效防止木马入侵系统后攻击服务器，零信任系统需内置常见攻击工具进程黑名单，管理员可基于内置的名单进行增减，匹配上此名单的进程访问零信任系统时会被打上标签，以方便快速定位排查问题终端。提供产品功能截图并加盖厂商公章。</w:t>
            </w:r>
          </w:p>
          <w:p w14:paraId="536CDE69">
            <w:pPr>
              <w:autoSpaceDE w:val="0"/>
              <w:spacing w:line="360" w:lineRule="auto"/>
              <w:jc w:val="left"/>
              <w:rPr>
                <w:rFonts w:ascii="宋体" w:hAnsi="宋体" w:cs="宋体"/>
                <w:color w:val="auto"/>
                <w:sz w:val="24"/>
              </w:rPr>
            </w:pPr>
            <w:r>
              <w:rPr>
                <w:rFonts w:hint="eastAsia" w:ascii="宋体" w:hAnsi="宋体" w:cs="宋体"/>
                <w:color w:val="auto"/>
                <w:sz w:val="24"/>
              </w:rPr>
              <w:t>12.支持防机器人输入，提供强安全性的点击图像校验码机制，图形校验码支持中文和英文。提供产品功能截图并加盖厂商公章。</w:t>
            </w:r>
          </w:p>
          <w:p w14:paraId="7EC7A42D">
            <w:pPr>
              <w:autoSpaceDE w:val="0"/>
              <w:spacing w:line="360" w:lineRule="auto"/>
              <w:jc w:val="left"/>
              <w:rPr>
                <w:rFonts w:ascii="宋体" w:hAnsi="宋体" w:cs="宋体"/>
                <w:color w:val="auto"/>
                <w:sz w:val="24"/>
              </w:rPr>
            </w:pPr>
            <w:r>
              <w:rPr>
                <w:rFonts w:hint="eastAsia" w:ascii="宋体" w:hAnsi="宋体" w:cs="宋体"/>
                <w:color w:val="auto"/>
                <w:sz w:val="24"/>
              </w:rPr>
              <w:t>13.支持通过网络隐身、动态业务准入等实现可信访问，一旦发现变化，可动态回收访问授权、阻断访问，有效保护核心业务。</w:t>
            </w:r>
          </w:p>
          <w:p w14:paraId="7902C965">
            <w:pPr>
              <w:autoSpaceDE w:val="0"/>
              <w:spacing w:line="360" w:lineRule="auto"/>
              <w:jc w:val="left"/>
              <w:rPr>
                <w:rFonts w:ascii="宋体" w:hAnsi="宋体" w:cs="宋体"/>
                <w:color w:val="auto"/>
                <w:sz w:val="24"/>
              </w:rPr>
            </w:pPr>
            <w:r>
              <w:rPr>
                <w:rFonts w:hint="eastAsia" w:ascii="宋体" w:hAnsi="宋体" w:cs="宋体"/>
                <w:color w:val="auto"/>
                <w:sz w:val="24"/>
              </w:rPr>
              <w:t>14.支持终端环境诊断排查，提供终端诊断工具，支持对当前终端的基本环境进行扫描和一键修复；为了方便快速运维排障，支持管理员在控制台远程获取在线终端的日志。提供产品功能截图并加盖厂商公章。</w:t>
            </w:r>
          </w:p>
          <w:p w14:paraId="0B72FA58">
            <w:pPr>
              <w:autoSpaceDE w:val="0"/>
              <w:spacing w:line="360" w:lineRule="auto"/>
              <w:jc w:val="left"/>
              <w:rPr>
                <w:rFonts w:ascii="宋体" w:hAnsi="宋体" w:cs="宋体"/>
                <w:color w:val="auto"/>
                <w:sz w:val="24"/>
              </w:rPr>
            </w:pPr>
            <w:r>
              <w:rPr>
                <w:rFonts w:hint="eastAsia" w:ascii="宋体" w:hAnsi="宋体" w:cs="宋体"/>
                <w:color w:val="auto"/>
                <w:sz w:val="24"/>
              </w:rPr>
              <w:t>15.为提升业务应用的数据安全性，零信任系统应支持针对发布的WEB应用开启WEB水印，水印内容至少包括：用户名+当前年月日，起到威慑与溯源作用，有效预防数据泄露。</w:t>
            </w:r>
          </w:p>
        </w:tc>
      </w:tr>
    </w:tbl>
    <w:p w14:paraId="05FA2433">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4E02C6"/>
    <w:rsid w:val="1B4E0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color w:val="993300"/>
      <w:sz w:val="24"/>
    </w:rPr>
  </w:style>
  <w:style w:type="table" w:styleId="4">
    <w:name w:val="Table Grid"/>
    <w:basedOn w:val="3"/>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2026-10-26T07:52:00Z</dcterms:created>
  <dc:creator>默.</dc:creator>
  <cp:lastModifiedBy>默.</cp:lastModifiedBy>
  <dcterms:modified xsi:type="dcterms:W3CDTF">2026-10-26T07:53:04Z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3E0437A36BF04D578B4C681C168AB66F_11</vt:lpwstr>
  </property>
  <property fmtid="{D5CDD505-2E9C-101B-9397-08002B2CF9AE}" pid="4" name="KSOTemplateDocerSaveRecord">
    <vt:lpwstr>eyJoZGlkIjoiMTRhNWUyN2YwMzc0Zjc4YWMxYTU1ZGQ3NjM0NjM1ZjgiLCJ1c2VySWQiOiI0MjU4NjcyNzgifQ==</vt:lpwstr>
  </property>
</Properties>
</file>