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版本号：ZJHZ-ZC2603620260826001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西乡县牧马河东渡大桥人行道改造工程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ZJHZ-ZC26036</w:t>
      </w:r>
      <w:r>
        <w:br/>
      </w:r>
      <w:r>
        <w:br/>
      </w:r>
      <w:r>
        <w:br/>
      </w:r>
    </w:p>
    <w:p>
      <w:pPr>
        <w:pStyle w:val="null3"/>
        <w:jc w:val="center"/>
        <w:outlineLvl w:val="2"/>
      </w:pPr>
      <w:r>
        <w:rPr>
          <w:rFonts w:ascii="仿宋_GB2312" w:hAnsi="仿宋_GB2312" w:cs="仿宋_GB2312" w:eastAsia="仿宋_GB2312"/>
          <w:sz w:val="28"/>
          <w:b/>
        </w:rPr>
        <w:t>西乡县交通运输局</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西乡县交通运输局</w:t>
      </w:r>
      <w:r>
        <w:rPr>
          <w:rFonts w:ascii="仿宋_GB2312" w:hAnsi="仿宋_GB2312" w:cs="仿宋_GB2312" w:eastAsia="仿宋_GB2312"/>
        </w:rPr>
        <w:t>委托，拟对</w:t>
      </w:r>
      <w:r>
        <w:rPr>
          <w:rFonts w:ascii="仿宋_GB2312" w:hAnsi="仿宋_GB2312" w:cs="仿宋_GB2312" w:eastAsia="仿宋_GB2312"/>
        </w:rPr>
        <w:t>西乡县牧马河东渡大桥人行道改造工程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ZJHZ-ZC26036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西乡县牧马河东渡大桥人行道改造工程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西乡县牧马河东渡大桥人行道改造工程项目,建设地点：西乡县牧马河东渡大桥，主要内容：在原有桥梁基础上增加非机动车道，左侧人行道2.5m宽，右侧人行道1.5m宽，桥梁跨径总长 266.35m，人行道结构采用钢格栅梁结构，固定在旧桥面上，人行道高出旧桥面22cm。将原外侧护栏采用钢结构加高 22cm。原护栏顶部钢管横梁内置照明设施予以利用，道路标线施工等。（具体内容详见工程量清单及图纸）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采购包1（西乡县牧马河东渡大桥人行道改造工程）：属于专门面向中小企业采购。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1、供应商身份证明：供应商具有独立承担民事责任能力的法人、其他组织，并出具合法有效的营业执照或事业单位法人证书等国家规定的相关证明。（材料应清晰可辨并进行电子签章）</w:t>
      </w:r>
    </w:p>
    <w:p>
      <w:pPr>
        <w:pStyle w:val="null3"/>
      </w:pPr>
      <w:r>
        <w:rPr>
          <w:rFonts w:ascii="仿宋_GB2312" w:hAnsi="仿宋_GB2312" w:cs="仿宋_GB2312" w:eastAsia="仿宋_GB2312"/>
        </w:rPr>
        <w:t>2、法定代表人授权书：供应商应授权合法的人员参加磋商全过程，其中法定代表人直接参加磋商的，须提供《法定代表人（单位负责人）身份证明》及身份证复印件；法定代表人授权他人参加磋商，须提供《法定代表人授权委托书》及法定代表人和委托代理人身份证复印件。（材料应清晰可辨并进行电子签章）</w:t>
      </w:r>
    </w:p>
    <w:p>
      <w:pPr>
        <w:pStyle w:val="null3"/>
      </w:pPr>
      <w:r>
        <w:rPr>
          <w:rFonts w:ascii="仿宋_GB2312" w:hAnsi="仿宋_GB2312" w:cs="仿宋_GB2312" w:eastAsia="仿宋_GB2312"/>
        </w:rPr>
        <w:t>3、供应商资质：供应商须具备建设行政主管部门核发的公路工程施工总承包三级（含三级）及以上资质，并具有有效的安全生产许可证。（材料应清晰可辨并进行电子签章）</w:t>
      </w:r>
    </w:p>
    <w:p>
      <w:pPr>
        <w:pStyle w:val="null3"/>
      </w:pPr>
      <w:r>
        <w:rPr>
          <w:rFonts w:ascii="仿宋_GB2312" w:hAnsi="仿宋_GB2312" w:cs="仿宋_GB2312" w:eastAsia="仿宋_GB2312"/>
        </w:rPr>
        <w:t>4、拟派项目负责人资格：拟派项目负责人须具备公路工程专业注册建造师二级（含二级）及以上执业资格，具有安全生产考核合格B证，在本单位注册且无在建工程。（材料应清晰可辨并进行电子签章）</w:t>
      </w:r>
    </w:p>
    <w:p>
      <w:pPr>
        <w:pStyle w:val="null3"/>
      </w:pPr>
      <w:r>
        <w:rPr>
          <w:rFonts w:ascii="仿宋_GB2312" w:hAnsi="仿宋_GB2312" w:cs="仿宋_GB2312" w:eastAsia="仿宋_GB2312"/>
        </w:rPr>
        <w:t>5、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须提供《汉中市政府采购供应商资格承诺函》）。（材料应清晰可辨并进行电子签章）</w:t>
      </w:r>
    </w:p>
    <w:p>
      <w:pPr>
        <w:pStyle w:val="null3"/>
      </w:pPr>
      <w:r>
        <w:rPr>
          <w:rFonts w:ascii="仿宋_GB2312" w:hAnsi="仿宋_GB2312" w:cs="仿宋_GB2312" w:eastAsia="仿宋_GB2312"/>
        </w:rPr>
        <w:t>6、中小企业声明函：本项目专门面向中小企业采购，供应商应为中型、小型、微型企业、残疾人福利性单位或监狱企业；中小微企业须提供《中小企业声明函》，残疾人福利性单位须提供《残疾人福利性单位声明函》，监狱企业须提供监狱企业证明材料。（残疾人福利性单位、监狱企业视同小型、微型企业）（材料应清晰可辨并进行电子签章）</w:t>
      </w:r>
    </w:p>
    <w:p>
      <w:pPr>
        <w:pStyle w:val="null3"/>
      </w:pPr>
      <w:r>
        <w:rPr>
          <w:rFonts w:ascii="仿宋_GB2312" w:hAnsi="仿宋_GB2312" w:cs="仿宋_GB2312" w:eastAsia="仿宋_GB2312"/>
        </w:rPr>
        <w:t>7、非联合体声明：本项目不接受联合体磋商（提供非联合体声明）。（材料应清晰可辨并进行电子签章）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汉中市西乡县汉白路215号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西乡县交通运输局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0916-6221800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汉中市汉台区北团结街与莲湖路十字华建新城1号电梯2楼左侧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0916-8822133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采购包1：958,982.00元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开户名称：致君项目管理有限公司汉中分公司</w:t>
            </w:r>
          </w:p>
          <w:p>
            <w:pPr>
              <w:pStyle w:val="null3"/>
            </w:pPr>
            <w:r>
              <w:rPr>
                <w:rFonts w:ascii="仿宋_GB2312" w:hAnsi="仿宋_GB2312" w:cs="仿宋_GB2312" w:eastAsia="仿宋_GB2312"/>
              </w:rPr>
              <w:t>开户银行：工行汉中北团结街支行</w:t>
            </w:r>
          </w:p>
          <w:p>
            <w:pPr>
              <w:pStyle w:val="null3"/>
            </w:pPr>
            <w:r>
              <w:rPr>
                <w:rFonts w:ascii="仿宋_GB2312" w:hAnsi="仿宋_GB2312" w:cs="仿宋_GB2312" w:eastAsia="仿宋_GB2312"/>
              </w:rPr>
              <w:t>银行账号：2606050319200280123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说明：合同签订后3日内按合同约定缴纳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西乡县交通运输局</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西乡县交通运输局</w:t>
      </w:r>
      <w:r>
        <w:rPr>
          <w:rFonts w:ascii="仿宋_GB2312" w:hAnsi="仿宋_GB2312" w:cs="仿宋_GB2312" w:eastAsia="仿宋_GB2312"/>
        </w:rPr>
        <w:t>负责解释。除上述磋商文件内容，其他内容由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致君项目管理有限公司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本项⽬全部施⼯资料、技术资料、图纸资料、⽅案⽂件、竣⼯资料、验收资料、过程成果及项⽬全部衍⽣知识成果、著作权、知识产权，均归采购⼈永久独家所有。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符合国家现行工程建设标准及项目需求清单。</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w:t>
      </w:r>
    </w:p>
    <w:p>
      <w:pPr>
        <w:pStyle w:val="null3"/>
      </w:pPr>
      <w:r>
        <w:rPr>
          <w:rFonts w:ascii="仿宋_GB2312" w:hAnsi="仿宋_GB2312" w:cs="仿宋_GB2312" w:eastAsia="仿宋_GB2312"/>
        </w:rPr>
        <w:t>联系电话：0916-8822133</w:t>
      </w:r>
    </w:p>
    <w:p>
      <w:pPr>
        <w:pStyle w:val="null3"/>
      </w:pPr>
      <w:r>
        <w:rPr>
          <w:rFonts w:ascii="仿宋_GB2312" w:hAnsi="仿宋_GB2312" w:cs="仿宋_GB2312" w:eastAsia="仿宋_GB2312"/>
        </w:rPr>
        <w:t>地址：汉中市汉台区北团结街与莲湖路⼗字华建新城1号电梯2楼左侧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958,982.00</w:t>
      </w:r>
    </w:p>
    <w:p>
      <w:pPr>
        <w:pStyle w:val="null3"/>
      </w:pPr>
      <w:r>
        <w:rPr>
          <w:rFonts w:ascii="仿宋_GB2312" w:hAnsi="仿宋_GB2312" w:cs="仿宋_GB2312" w:eastAsia="仿宋_GB2312"/>
        </w:rPr>
        <w:t>采购包最高限价（元）: 958,982.00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西乡县牧马河东渡大桥人行道改造工程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958,982.00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标的名称：西乡县牧马河东渡大桥人行道改造工程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w:t>
            </w:r>
            <w:r>
              <w:rPr>
                <w:rFonts w:ascii="仿宋_GB2312" w:hAnsi="仿宋_GB2312" w:cs="仿宋_GB2312" w:eastAsia="仿宋_GB2312"/>
                <w:sz w:val="21"/>
              </w:rPr>
              <w:t>1）施工范围：工程量清单内所含的全部内容</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2）工期：45日历天</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3）质量要求：工程交工验收的质量等级评定：合格；竣工验收的质量等级评定：合格</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4）安全目标：无安全责任事故，实现“零死亡”安全管理目标</w:t>
            </w:r>
            <w:r>
              <w:br/>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5）本工程计价采用公路造价软件</w:t>
            </w:r>
            <w:r>
              <w:rPr>
                <w:rFonts w:ascii="仿宋_GB2312" w:hAnsi="仿宋_GB2312" w:cs="仿宋_GB2312" w:eastAsia="仿宋_GB2312"/>
                <w:sz w:val="21"/>
              </w:rPr>
              <w:t>：同望 WECOST V11.1</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工程施工须执行公路工程国家及行业现行技术规范标准，工程质量达到合格标准；2.工程竣工验收应提交完整工程技术经济资料、签署工程保修书，满足国家规定竣工条件，竣工验收合格后方可交付使用，未经验收或验收不合格不得交付使用；3.验收结果合格的，采购⼈出具验收报告，成交供应商凭验收报告办理相关⼿续；4.验收结果不合格的，履约保证⾦将不予退还，给采购⼈造成的损失超过履约保证⾦数额的，还应当对超过部分予以赔偿；没有提交履约保证⾦的，应当对采购⼈的损失承担赔偿责任。</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1.⼯期：45⽇历天； 2.项⽬建设地点：项⽬实施地；3.缺陷责任期：按合同约定执行，且不得超过现行相关法律法规规定的上限；4.投标报价要求：（1）供应商应充分考虑磋商⽂件的各项条款、项⽬现场实际情况、供应商所掌握的市场情况及现⾏有关政策法规的要求，根据企业⾃⾝情况及上述要求⾃主填报投标总价及全费⽤单价报价；（2）供应商投标报价中的价格均包括完成该⼯程的⼈⼯费、材料费、机械使⽤费、企业管理费、利润、分部分项⼯程费、措施费、其他项⽬费、规费、税⾦以及合同中明⽰或暗⽰的所有⻛险、责任和义务等全部费⽤。（3）投标报价须依据本项目文件说明、工程做法、施工验收规范、现场条件、工程特点进行编制；5.合同⽀付约定：付款条件说明：合同签订后 ，施工队进场，达到付款条件起10日内，支付合同总金额的 30%；付款条件说明：合同签订后 45 日内，工程全部完工且竣工验收合格后，达到付款条件起 10 日内，支付合同总金额的50%；付款条件说明：工程竣工结算审计结论出具且双方确认后，达到付款条件起 10 日内，支付合同总金额的 20%。</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贰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供应商具有独立承担民事责任能力的法人、其他组织，并出具合法有效的营业执照或事业单位法人证书等国家规定的相关证明。（材料应清晰可辨并进行电子签章）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提供《法定代表人（单位负责人）身份证明》及身份证复印件；法定代表人授权他人参加磋商，须提供《法定代表人授权委托书》及法定代表人和委托代理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供应商须具备建设行政主管部门核发的公路工程施工总承包三级（含三级）及以上资质，并具有有效的安全生产许可证。（材料应清晰可辨并进行电子签章）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拟派项目负责人资格</w:t>
            </w:r>
          </w:p>
        </w:tc>
        <w:tc>
          <w:tcPr>
            <w:tcW w:type="dxa" w:w="3322"/>
          </w:tcPr>
          <w:p>
            <w:pPr>
              <w:pStyle w:val="null3"/>
            </w:pPr>
            <w:r>
              <w:rPr>
                <w:rFonts w:ascii="仿宋_GB2312" w:hAnsi="仿宋_GB2312" w:cs="仿宋_GB2312" w:eastAsia="仿宋_GB2312"/>
              </w:rPr>
              <w:t>拟派项目负责人须具备公路工程专业注册建造师二级（含二级）及以上执业资格，具有安全生产考核合格B证，在本单位注册且无在建工程。（材料应清晰可辨并进行电子签章）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须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应为中型、小型、微型企业、残疾人福利性单位或监狱企业；中小微企业须提供《中小企业声明函》，残疾人福利性单位须提供《残疾人福利性单位声明函》，监狱企业须提供监狱企业证明材料。（残疾人福利性单位、监狱企业视同小型、微型企业）（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本项目不接受联合体磋商（提供非联合体声明）。（材料应清晰可辨并进行电子签章）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强制优先采购产品承诺函 响应文件封面 项目管理机构组成表 主要人员简历表.docx 供应商类似项目业绩一览表.pdf 残疾人福利性单位声明函 报价函 供应商应提交的相关资格证明材料.pdf 标的清单 磋商保证金.pdf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符合磋商文件“响应文件格式”的规定。</w:t>
            </w:r>
          </w:p>
        </w:tc>
        <w:tc>
          <w:tcPr>
            <w:tcW w:type="dxa" w:w="1661"/>
          </w:tcPr>
          <w:p>
            <w:pPr>
              <w:pStyle w:val="null3"/>
            </w:pPr>
            <w:r>
              <w:rPr>
                <w:rFonts w:ascii="仿宋_GB2312" w:hAnsi="仿宋_GB2312" w:cs="仿宋_GB2312" w:eastAsia="仿宋_GB2312"/>
              </w:rPr>
              <w:t>已标价工程量清单 磋商响应方案.docx 中小企业声明函 技术服务合同条款及其他商务要求应答表 强制优先采购产品承诺函 响应文件封面 项目管理机构组成表 主要人员简历表.docx 供应商类似项目业绩一览表.pdf 残疾人福利性单位声明函 报价函 供应商应提交的相关资格证明材料.pdf 标的清单 磋商保证金.pdf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磋商保证金.pdf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完全响应竞争性磋商文件要求的各项技术（服务）条款、商务实质性条款。</w:t>
            </w:r>
          </w:p>
        </w:tc>
        <w:tc>
          <w:tcPr>
            <w:tcW w:type="dxa" w:w="1661"/>
          </w:tcPr>
          <w:p>
            <w:pPr>
              <w:pStyle w:val="null3"/>
            </w:pPr>
            <w:r>
              <w:rPr>
                <w:rFonts w:ascii="仿宋_GB2312" w:hAnsi="仿宋_GB2312" w:cs="仿宋_GB2312" w:eastAsia="仿宋_GB2312"/>
              </w:rPr>
              <w:t>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内容完整性和编制水平</w:t>
            </w:r>
          </w:p>
        </w:tc>
        <w:tc>
          <w:tcPr>
            <w:tcW w:type="dxa" w:w="2492"/>
          </w:tcPr>
          <w:p>
            <w:pPr>
              <w:pStyle w:val="null3"/>
            </w:pPr>
            <w:r>
              <w:rPr>
                <w:rFonts w:ascii="仿宋_GB2312" w:hAnsi="仿宋_GB2312" w:cs="仿宋_GB2312" w:eastAsia="仿宋_GB2312"/>
              </w:rPr>
              <w:t>一、评审内容 投标人需针对本项目提供完整的技术实施方案，应包括：①方案编制依据（含相关规范、项目现场勘察资料）；②方案整体框架（涵盖人行道及非机动车道增设、钢格栅人行道安装、原护栏加高、交通标线施划等对应的施工、质量、安全、环保、进度、资源等全环节内容）。 二、评审标准 ①完整性：方案覆盖评审内容及牧马河东渡大桥人行道改造工程核心环节，无重大内容缺失，附件及支撑资料齐全； ②可实施性：方案结构清晰、逻辑严谨，文字表述规范，施工、质量、安全、进度、资源等各项措施科学合理，具备落地操作性，符合本工程技术方案编制要求； ③针对性：能结合本桥临水、既有通行干扰等现场条件，贴合大桥桥面附属改造施工特点，方案与本项目实际需求相匹配。 三、赋分标准（满分5分） 评审内容共二项，方案内容全面详细、逻辑严谨、表述规范，全部满足采购要求得5分。每缺失一项内容扣2.5分，每项内容存在1处缺陷扣0.5分，扣完即止。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施工方法与技术措施</w:t>
            </w:r>
          </w:p>
        </w:tc>
        <w:tc>
          <w:tcPr>
            <w:tcW w:type="dxa" w:w="2492"/>
          </w:tcPr>
          <w:p>
            <w:pPr>
              <w:pStyle w:val="null3"/>
            </w:pPr>
            <w:r>
              <w:rPr>
                <w:rFonts w:ascii="仿宋_GB2312" w:hAnsi="仿宋_GB2312" w:cs="仿宋_GB2312" w:eastAsia="仿宋_GB2312"/>
              </w:rPr>
              <w:t>一、评审内容 投标人需针对本项目提供施工方法与技术措施，应包括：①桥面人行道及非机动车道增设、钢格栅人行道安装、原护栏加高、交通标线施划等核心工程施工方法；②针对桥上占道施工、高空作业等关键环节的技术保障措施关键技术保障措施。 二、评审标准 ①完整性：施工方法覆盖核心工程，技术措施对应关键施工环节，内容详细； ②可实施性：施工方法科学合规，技术措施具体可行，操作流程清晰，适配大桥桥面附属改造施工特点； ③针对性：能结合本桥临水、既有通行干扰等现场条件，解决桥上施工安全、交通疏导、原有设施保护等难点。 三、赋分标准（满分10分） 评审内容共二项，方案内容全面详细、逻辑严谨、表述规范，全部满足采购要求得10分。每缺失一项内容扣5分，每项内容存在1处缺陷扣1分，扣完即止。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一、评审内容 投标人需针对本项目提供质量管理体系与措施，应包括：①质量管理组织架构（含岗位职责、人员配置）；②质量控制措施（含原材料检测、施工工序验收、关键部位质量管控）。 二、评审标准 ①完整性：体系架构完整，控制措施覆盖大桥人行道改造工程质量全流程，无核心环节遗漏； ②可实施性：质量标准明确，检测验收流程规范，管控措施具备可操作性； ③针对性：能结合大桥人行道改造工程质量要点（如钢格栅安装、护栏焊接、桥面标线、原有设施保护等）制定措施。 三、赋分标准（满分5分） 评审内容共二项，方案内容全面详细、逻辑严谨、表述规范，全部满足采购要求得5分。每缺失一项内容扣2.5分，每项内容存在1处缺陷扣0.5分，扣完即止。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一、评审内容 投标人需针对本项目提供安全管理体系与措施，应包括：①安全管理体系（含安全组织架构、责任分工、培训制度）；②专项安全措施。 二、评审标准 ①完整性：体系覆盖安全管理全要素，措施涵盖大桥人行道改造工程主要安全风险点； ②可实施性：安全制度健全，防护措施具体，应急处置流程清晰； ③针对性：能结合大桥人行道改造施工风险（如桥上高空作业、桥面交通导改、临水作业、既有设施保护等）制定专项措施。 三、赋分标准（满分5分） 评审内容共二项，方案内容全面详细、逻辑严谨、表述规范，全部满足采购要求得5分。每缺失一项内容扣2.5分，每项内容存在1处缺陷扣0.5分，扣完即止。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一、评审内容 投标人需针对本项目提供环境保护管理体系与措施，应包括：①环保管理体系（含组织架构、管理制度）；②专项环保措施。 二、评审标准 ①完整性：体系架构完整，措施覆盖大桥人行道改造工程施工全周期环保要求； ②可实施性：环保措施科学合规，操作流程明确，符合桥梁施工及河道保护相关环保法规； ③针对性：能结合项目周边牧马河水体、沿岸生态环境特点，针对桥上作业扬尘、施工垃圾、桥面废水排放等制定专项保护措施。 三、赋分标准（满分5分） 评审内容共二项，方案内容全面详细、逻辑严谨、表述规范，全部满足采购要求得5分。每缺失一项内容扣2.5分，每项内容存在1处缺陷扣0.5分，扣完即止。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一、评审内容 投标人需针对本项目提供工程进度计划与措施，应包括：①施工总进度计划（含关键节点、工期目标分解）；②进度保障措施。 二、评审标准 ①完整性：进度计划涵盖各分项工程，保障措施对应进度管控全环节； ②可实施性：进度计划逻辑合理，关键节点明确，保障措施具备可操作性； ③针对性：能结合大桥人行道改造施工特点（如桥面作业、交通导改、季节性降雨影响等）制定计划与措施。 三、赋分标准（满分5分） 评审内容共二项，方案内容全面详细、逻辑严谨、表述规范，全部满足采购要求得5分。每缺失一项内容扣2.5分，每项内容存在1处缺陷扣0.5分，扣完即止。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一、评审内容 投标人需针对本项目提供资源配备计划，应包括：①人力资源配置（含管理人员、技术人员、作业人员数量及资质）；②机械设备与物资配置（含施工机械、检测设备、原材料供应计划）。 二、评审标准 ①完整性：配置计划覆盖大桥人行道改造工程施工全阶段人力、设备、物资需求； ②合理性：人员资质符合要求，设备型号/数量适配施工需求，物资供应计划衔接进度； ③针对性：能结合大桥人行道改造施工强度、桥面作业及交通导改等技术要求配置资源。 三、赋分标准（满分5分） 评审内容共二项，方案内容全面详细、逻辑严谨、表述规范，全部满足采购要求得5分。每缺失一项内容扣2.5分，每项内容存在1处缺陷扣0.5分，扣完即止。 四、未提供者不得分。 备注：缺陷是指该项方案已有内容，但内容过于简单、不完善、前后表述不一致、套用其他项目方案或与项目需求不匹配、凭空编造、出现常识性错误及其他不利于项目实施等任意一种情形。无对应分项内容按整项缺失扣分，不按缺陷扣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针对突发事件应急保证措施</w:t>
            </w:r>
          </w:p>
        </w:tc>
        <w:tc>
          <w:tcPr>
            <w:tcW w:type="dxa" w:w="2492"/>
          </w:tcPr>
          <w:p>
            <w:pPr>
              <w:pStyle w:val="null3"/>
            </w:pPr>
            <w:r>
              <w:rPr>
                <w:rFonts w:ascii="仿宋_GB2312" w:hAnsi="仿宋_GB2312" w:cs="仿宋_GB2312" w:eastAsia="仿宋_GB2312"/>
              </w:rPr>
              <w:t>一、评审内容：针对本牧马河东渡大桥人行道改造工程施工期间恶劣天气、山洪、地质灾害、桥面交通突发事件等突发状况，评审供应商应急方案的针对性、可操作性与快速响应能力，保障钢格栅人行道安装、护栏加高、交通标线施划、桥上占道施工等作业平稳有序实施。 二、评审标准： 1.未提供任何应急保障方案及处置措施，本项不得分。 2.仅简单说明会制定应急预案，未分类梳理突发事件，无具体处置流程、无应急物资配置说明，得1分。 3.区分恶劣天气、供货运输风险、设备故障三类突发事件编制对应处置内容，明确处置措施、响应流程及现场责任人，但缺少完整备用设备、应急备品配件清单，得 2 分。 4.分三类事件编制完整专项应急方案，细化各类突发情况处置手段、分级响应流程，附全套备用设备、应急备品配件清单，清晰落实各岗位责任人，得 3 分。 5.达到 3 分全部要求，同时明确 24 小时应急联络值守机制、完善突发事件逐级上报流程，配套供货延误补救、设备故障抢修更换、现场人员防护细则，方案贴合桥梁改造设备采购供货安装场景，内容详实落地性强，得 4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施工机具、扬尘环保、现场安全履约保障</w:t>
            </w:r>
          </w:p>
        </w:tc>
        <w:tc>
          <w:tcPr>
            <w:tcW w:type="dxa" w:w="2492"/>
          </w:tcPr>
          <w:p>
            <w:pPr>
              <w:pStyle w:val="null3"/>
            </w:pPr>
            <w:r>
              <w:rPr>
                <w:rFonts w:ascii="仿宋_GB2312" w:hAnsi="仿宋_GB2312" w:cs="仿宋_GB2312" w:eastAsia="仿宋_GB2312"/>
              </w:rPr>
              <w:t>1.施工机具防尘降噪保障（2 分） 供应商完整承诺：配备全套施工机具 + 备用设备，配套桥面及河道周边防尘降噪措施，避免施工扰动牧马河水体及沿岸环境，全部内容齐全得 2 分； 仅简单提及机具，缺少防尘降噪、水体保护配套措施得 0.5 分； 未提供相关机具及环保保障承诺不得分。 2.扬尘及建筑垃圾处置保障（2 分） 供应商完整承诺：设备安装全过程落实防尘抑尘、建筑垃圾日产日清、分类堆放、合规清运，建筑垃圾严禁随意丢弃排入牧马河河道，明确扬尘及废弃物管控责任人，全部内容齐全得 2 分； 仅简单提及垃圾清理，缺少防尘、清运、防河道污染细则得 0.5 分； 未提供扬尘垃圾处置方案承诺不得分。 3.施工现场安全履约保障（2 分） 供应商完整承诺：施工现场围挡封闭、临时用电规范、动火消防防护、作业人员凭证进场、近 3 年无一般及以上安全事故承诺，落实桥面高空作业、临水作业安全防护，全部内容齐全得 2 分； 仅简单说明现场安全，缺少消防、用电、桥面高空作业人员管控细则得 0.5 分； 未提供现场安全保障承诺不得分。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⼀、评审内容 供应商针对本项目编制完善的项目经理部组织机构，拟派人员配备相关专业人员（应包括①项目经理、②项目总工、③安全管理人员、④质量管理人员、⑤测量工程师） 二、评审标准 提供项目成员配置清单及架构；项目经理须提供职称证及建造师注册证，项目总工须提供职称证，专职安全员持 C 类安全考核证，质量管理人员、测量工程师持相对应职称证；全部拟派人员须提供身份证明。所有证书、身份证明复印件 / 扫描件均须加盖供应商公章，资料不全不予得分。 三、赋分标准 ①项目经理（3分）：具备公路工程相关专业中级及以上职称得2分；具有3年以上项目经理执业经历得1分（执业经历以建造师首次注册时间为准），不满足不得分； ②项目总工（3分）：具备公路⼯程相关专业中级及以上职称得2分；具有3年以上相关岗位任职资格得1分（任职资格以职称证发证时间为准），不满⾜不得分； ③安全管理⼈员（专职安全⽣产管理⼈员）（2分）：岗位明确、持交安C证上岗得2分，⽆证不得分； ④质量管理⼈员（2分）：岗位明确、持相关专业职称证得2分，⽆证不得分； ⑤测量工程师（2分）：岗位明确、持相关专业职称证得2分，⽆证不得分。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主要人员简历表.docx</w:t>
            </w:r>
          </w:p>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供应商针对本牧马河东渡大桥人行道改造项目编制完善的服务承诺，内容包含： ①实质性服务承诺：施工期间制定桥面作业交通疏导及行人通行保障方案（明确施工区域与人行通行区域隔离防护措施、临时通行保障、优化作业施工时段，最大限度降低对过往行人通行的影响），满足要求得 1.5 分； ②质保服务承诺：质保期不少于 2 年，配套落实季度巡检、24 小时到场响应、质量问题整改等专项保障措施，满足要求得 1.5 分。 本项总分 3 分。 注：对应承诺内容不符合要求或未提供的，该项不得分。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供应商提供2023年8月起至今的类似业绩证明材料，时间以合同签订日期为准，（文件中附合同和中标通知书复印件），每提供一项上述业绩的得2.5分，最高得5分。不提供或缺项不得分。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满足磋商文件全部要求且最终磋商报价最低的供应商报价为磋商基准价，得价格满分；其余供应商价格分计算公式：磋商报价得分＝（磋商基准价÷供应商最终磋商报价）×价格总分值。 注：本项目为专门面向中小企业项目，评审不再执行价格扣除扶持政策。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详见附件：磋商响应方案.docx</w:t>
      </w:r>
    </w:p>
    <w:p>
      <w:pPr>
        <w:pStyle w:val="null3"/>
        <w:ind w:firstLine="960"/>
      </w:pPr>
      <w:r>
        <w:rPr>
          <w:rFonts w:ascii="仿宋_GB2312" w:hAnsi="仿宋_GB2312" w:cs="仿宋_GB2312" w:eastAsia="仿宋_GB2312"/>
        </w:rPr>
        <w:t>详见附件：磋商保证金.pdf</w:t>
      </w:r>
    </w:p>
    <w:p>
      <w:pPr>
        <w:pStyle w:val="null3"/>
        <w:ind w:firstLine="960"/>
      </w:pPr>
      <w:r>
        <w:rPr>
          <w:rFonts w:ascii="仿宋_GB2312" w:hAnsi="仿宋_GB2312" w:cs="仿宋_GB2312" w:eastAsia="仿宋_GB2312"/>
        </w:rPr>
        <w:t>详见附件：供应商类似项目业绩一览表.pdf</w:t>
      </w:r>
    </w:p>
    <w:p>
      <w:pPr>
        <w:pStyle w:val="null3"/>
        <w:ind w:firstLine="960"/>
      </w:pPr>
      <w:r>
        <w:rPr>
          <w:rFonts w:ascii="仿宋_GB2312" w:hAnsi="仿宋_GB2312" w:cs="仿宋_GB2312" w:eastAsia="仿宋_GB2312"/>
        </w:rPr>
        <w:t>详见附件：供应商应提交的相关资格证明材料.pdf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详见附件：合同协议书.docx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