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4AE8FD">
      <w:pPr>
        <w:adjustRightInd w:val="0"/>
        <w:snapToGrid w:val="0"/>
        <w:spacing w:line="340" w:lineRule="exact"/>
        <w:jc w:val="right"/>
        <w:rPr>
          <w:rFonts w:ascii="宋体" w:hAnsi="Calibri" w:eastAsia="宋体"/>
          <w:b/>
          <w:bCs/>
          <w:color w:val="auto"/>
          <w:sz w:val="30"/>
          <w:szCs w:val="30"/>
          <w:highlight w:val="none"/>
        </w:rPr>
      </w:pPr>
      <w:r>
        <w:rPr>
          <w:rFonts w:hint="eastAsia" w:cs="宋体" w:asciiTheme="minorEastAsia" w:hAnsiTheme="minorEastAsia" w:eastAsiaTheme="minorEastAsia"/>
          <w:bCs/>
          <w:color w:val="auto"/>
          <w:sz w:val="36"/>
          <w:szCs w:val="36"/>
          <w:highlight w:val="none"/>
          <w:lang w:val="en-US" w:eastAsia="zh-CN"/>
        </w:rPr>
        <w:t xml:space="preserve"> </w:t>
      </w:r>
      <w:r>
        <w:rPr>
          <w:rFonts w:cs="宋体" w:asciiTheme="minorEastAsia" w:hAnsiTheme="minorEastAsia" w:eastAsiaTheme="minorEastAsia"/>
          <w:bCs/>
          <w:color w:val="auto"/>
          <w:sz w:val="36"/>
          <w:szCs w:val="36"/>
          <w:highlight w:val="none"/>
        </w:rPr>
        <w:t xml:space="preserve"> </w:t>
      </w:r>
      <w:r>
        <w:rPr>
          <w:rFonts w:hint="eastAsia" w:cs="宋体" w:asciiTheme="minorEastAsia" w:hAnsiTheme="minorEastAsia" w:eastAsiaTheme="minorEastAsia"/>
          <w:bCs/>
          <w:color w:val="auto"/>
          <w:sz w:val="36"/>
          <w:szCs w:val="36"/>
          <w:highlight w:val="none"/>
        </w:rPr>
        <w:t xml:space="preserve">   </w:t>
      </w:r>
      <w:r>
        <w:rPr>
          <w:rFonts w:hint="eastAsia" w:ascii="宋体" w:hAnsi="宋体" w:eastAsia="宋体" w:cs="宋体"/>
          <w:b/>
          <w:bCs/>
          <w:color w:val="auto"/>
          <w:sz w:val="30"/>
          <w:szCs w:val="30"/>
          <w:highlight w:val="none"/>
        </w:rPr>
        <w:t>政府采购项目</w:t>
      </w:r>
    </w:p>
    <w:p w14:paraId="6327B49E">
      <w:pPr>
        <w:spacing w:line="440" w:lineRule="exact"/>
        <w:rPr>
          <w:rFonts w:hint="eastAsia" w:cs="宋体" w:asciiTheme="minorEastAsia" w:hAnsiTheme="minorEastAsia" w:eastAsiaTheme="minorEastAsia"/>
          <w:b/>
          <w:bCs/>
          <w:color w:val="auto"/>
          <w:sz w:val="32"/>
          <w:szCs w:val="36"/>
          <w:highlight w:val="none"/>
          <w:lang w:val="en-US" w:eastAsia="zh-CN"/>
        </w:rPr>
      </w:pPr>
      <w:r>
        <w:rPr>
          <w:rFonts w:hint="eastAsia" w:cs="宋体" w:asciiTheme="minorEastAsia" w:hAnsiTheme="minorEastAsia" w:eastAsiaTheme="minorEastAsia"/>
          <w:b/>
          <w:bCs/>
          <w:color w:val="auto"/>
          <w:sz w:val="30"/>
          <w:szCs w:val="30"/>
          <w:highlight w:val="none"/>
          <w:lang w:val="en-US" w:eastAsia="zh-CN"/>
        </w:rPr>
        <w:t>项目</w:t>
      </w:r>
      <w:r>
        <w:rPr>
          <w:rFonts w:hint="eastAsia" w:cs="宋体" w:asciiTheme="minorEastAsia" w:hAnsiTheme="minorEastAsia" w:eastAsiaTheme="minorEastAsia"/>
          <w:b/>
          <w:bCs/>
          <w:color w:val="auto"/>
          <w:sz w:val="30"/>
          <w:szCs w:val="30"/>
          <w:highlight w:val="none"/>
        </w:rPr>
        <w:t>编号:</w:t>
      </w:r>
      <w:r>
        <w:rPr>
          <w:rFonts w:hint="eastAsia" w:cs="宋体" w:asciiTheme="minorEastAsia" w:hAnsiTheme="minorEastAsia" w:eastAsiaTheme="minorEastAsia"/>
          <w:b/>
          <w:bCs/>
          <w:color w:val="auto"/>
          <w:sz w:val="30"/>
          <w:szCs w:val="30"/>
          <w:highlight w:val="none"/>
          <w:lang w:eastAsia="zh-CN"/>
        </w:rPr>
        <w:t xml:space="preserve"> AKSH2026--ZTP-099 </w:t>
      </w:r>
      <w:r>
        <w:rPr>
          <w:rFonts w:hint="eastAsia" w:cs="宋体" w:asciiTheme="minorEastAsia" w:hAnsiTheme="minorEastAsia" w:eastAsiaTheme="minorEastAsia"/>
          <w:b/>
          <w:bCs/>
          <w:color w:val="auto"/>
          <w:sz w:val="32"/>
          <w:szCs w:val="36"/>
          <w:highlight w:val="none"/>
          <w:lang w:eastAsia="zh-CN"/>
        </w:rPr>
        <w:t xml:space="preserve"> </w:t>
      </w:r>
    </w:p>
    <w:p w14:paraId="71EBEFE7">
      <w:pPr>
        <w:spacing w:line="440" w:lineRule="exact"/>
        <w:jc w:val="center"/>
        <w:rPr>
          <w:rFonts w:hint="default" w:cs="宋体" w:asciiTheme="minorEastAsia" w:hAnsiTheme="minorEastAsia" w:eastAsiaTheme="minorEastAsia"/>
          <w:b/>
          <w:bCs/>
          <w:color w:val="auto"/>
          <w:sz w:val="32"/>
          <w:szCs w:val="36"/>
          <w:highlight w:val="none"/>
          <w:lang w:val="en-US" w:eastAsia="zh-CN"/>
        </w:rPr>
      </w:pPr>
    </w:p>
    <w:p w14:paraId="16447CFC">
      <w:pPr>
        <w:pStyle w:val="53"/>
        <w:jc w:val="center"/>
        <w:rPr>
          <w:color w:val="auto"/>
          <w:sz w:val="22"/>
          <w:szCs w:val="22"/>
          <w:highlight w:val="none"/>
        </w:rPr>
      </w:pPr>
    </w:p>
    <w:p w14:paraId="1F8ED1CB"/>
    <w:p w14:paraId="06596396">
      <w:pPr>
        <w:spacing w:before="190" w:beforeLines="50" w:line="800" w:lineRule="exact"/>
        <w:jc w:val="center"/>
        <w:rPr>
          <w:rFonts w:hint="eastAsia" w:ascii="宋体" w:hAnsi="宋体" w:eastAsia="宋体" w:cs="宋体"/>
          <w:b/>
          <w:color w:val="auto"/>
          <w:spacing w:val="20"/>
          <w:kern w:val="0"/>
          <w:sz w:val="52"/>
          <w:szCs w:val="52"/>
          <w:highlight w:val="none"/>
        </w:rPr>
      </w:pPr>
      <w:r>
        <w:rPr>
          <w:rFonts w:hint="eastAsia" w:ascii="宋体" w:hAnsi="宋体" w:eastAsia="宋体" w:cs="宋体"/>
          <w:b/>
          <w:color w:val="auto"/>
          <w:spacing w:val="20"/>
          <w:kern w:val="0"/>
          <w:sz w:val="52"/>
          <w:szCs w:val="52"/>
          <w:highlight w:val="none"/>
        </w:rPr>
        <w:t>安康市中心血站献血服务食品</w:t>
      </w:r>
    </w:p>
    <w:p w14:paraId="044328F6">
      <w:pPr>
        <w:spacing w:before="190" w:beforeLines="50" w:line="800" w:lineRule="exact"/>
        <w:jc w:val="center"/>
        <w:rPr>
          <w:rFonts w:hint="eastAsia" w:asciiTheme="minorEastAsia" w:hAnsiTheme="minorEastAsia" w:eastAsiaTheme="minorEastAsia" w:cstheme="majorEastAsia"/>
          <w:b/>
          <w:color w:val="auto"/>
          <w:spacing w:val="20"/>
          <w:kern w:val="0"/>
          <w:sz w:val="46"/>
          <w:szCs w:val="46"/>
          <w:highlight w:val="none"/>
        </w:rPr>
      </w:pPr>
      <w:r>
        <w:rPr>
          <w:rFonts w:hint="eastAsia" w:ascii="宋体" w:hAnsi="宋体" w:eastAsia="宋体" w:cs="宋体"/>
          <w:b/>
          <w:color w:val="auto"/>
          <w:spacing w:val="20"/>
          <w:kern w:val="0"/>
          <w:sz w:val="52"/>
          <w:szCs w:val="52"/>
          <w:highlight w:val="none"/>
        </w:rPr>
        <w:t>采购项目</w:t>
      </w:r>
    </w:p>
    <w:p w14:paraId="64190AFF">
      <w:pPr>
        <w:spacing w:before="190" w:beforeLines="50" w:line="800" w:lineRule="exact"/>
        <w:jc w:val="center"/>
        <w:rPr>
          <w:rFonts w:asciiTheme="minorEastAsia" w:hAnsiTheme="minorEastAsia" w:eastAsiaTheme="minorEastAsia" w:cstheme="majorEastAsia"/>
          <w:b/>
          <w:color w:val="auto"/>
          <w:spacing w:val="20"/>
          <w:kern w:val="0"/>
          <w:sz w:val="56"/>
          <w:szCs w:val="56"/>
          <w:highlight w:val="none"/>
        </w:rPr>
      </w:pPr>
      <w:r>
        <w:rPr>
          <w:rFonts w:hint="eastAsia"/>
          <w:color w:val="auto"/>
          <w:highlight w:val="none"/>
        </w:rPr>
        <w:drawing>
          <wp:anchor distT="0" distB="0" distL="114300" distR="114300" simplePos="0" relativeHeight="251660288" behindDoc="0" locked="0" layoutInCell="1" allowOverlap="1">
            <wp:simplePos x="0" y="0"/>
            <wp:positionH relativeFrom="column">
              <wp:posOffset>2004695</wp:posOffset>
            </wp:positionH>
            <wp:positionV relativeFrom="paragraph">
              <wp:posOffset>127635</wp:posOffset>
            </wp:positionV>
            <wp:extent cx="1876425" cy="14287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1"/>
                    <a:stretch>
                      <a:fillRect/>
                    </a:stretch>
                  </pic:blipFill>
                  <pic:spPr>
                    <a:xfrm>
                      <a:off x="0" y="0"/>
                      <a:ext cx="1876425" cy="1428750"/>
                    </a:xfrm>
                    <a:prstGeom prst="rect">
                      <a:avLst/>
                    </a:prstGeom>
                  </pic:spPr>
                </pic:pic>
              </a:graphicData>
            </a:graphic>
          </wp:anchor>
        </w:drawing>
      </w:r>
    </w:p>
    <w:p w14:paraId="7C464DA3">
      <w:pPr>
        <w:pStyle w:val="53"/>
        <w:rPr>
          <w:rFonts w:hint="eastAsia"/>
          <w:color w:val="auto"/>
          <w:sz w:val="16"/>
          <w:szCs w:val="16"/>
          <w:highlight w:val="none"/>
        </w:rPr>
      </w:pPr>
    </w:p>
    <w:p w14:paraId="6EB84131">
      <w:pPr>
        <w:rPr>
          <w:rFonts w:hint="eastAsia"/>
          <w:color w:val="auto"/>
          <w:highlight w:val="none"/>
        </w:rPr>
      </w:pPr>
    </w:p>
    <w:p w14:paraId="050D76ED">
      <w:pPr>
        <w:spacing w:before="190" w:beforeLines="50" w:line="800" w:lineRule="exact"/>
        <w:jc w:val="center"/>
        <w:rPr>
          <w:rFonts w:hint="eastAsia" w:asciiTheme="minorEastAsia" w:hAnsiTheme="minorEastAsia" w:eastAsiaTheme="minorEastAsia" w:cstheme="majorEastAsia"/>
          <w:b/>
          <w:color w:val="auto"/>
          <w:spacing w:val="20"/>
          <w:kern w:val="0"/>
          <w:sz w:val="46"/>
          <w:szCs w:val="46"/>
          <w:highlight w:val="none"/>
        </w:rPr>
      </w:pPr>
    </w:p>
    <w:p w14:paraId="41CA97A0">
      <w:pPr>
        <w:spacing w:before="190" w:beforeLines="50" w:line="800" w:lineRule="exact"/>
        <w:jc w:val="center"/>
        <w:rPr>
          <w:rFonts w:asciiTheme="minorEastAsia" w:hAnsiTheme="minorEastAsia" w:eastAsiaTheme="minorEastAsia" w:cstheme="majorEastAsia"/>
          <w:b/>
          <w:color w:val="auto"/>
          <w:sz w:val="56"/>
          <w:szCs w:val="56"/>
          <w:highlight w:val="none"/>
        </w:rPr>
      </w:pPr>
      <w:r>
        <w:rPr>
          <w:rFonts w:hint="eastAsia" w:asciiTheme="minorEastAsia" w:hAnsiTheme="minorEastAsia" w:eastAsiaTheme="minorEastAsia" w:cstheme="majorEastAsia"/>
          <w:b/>
          <w:color w:val="auto"/>
          <w:spacing w:val="20"/>
          <w:kern w:val="0"/>
          <w:sz w:val="46"/>
          <w:szCs w:val="46"/>
          <w:highlight w:val="none"/>
        </w:rPr>
        <w:t>竞争性谈判文件</w:t>
      </w:r>
    </w:p>
    <w:p w14:paraId="102111AD">
      <w:pPr>
        <w:rPr>
          <w:rFonts w:cs="宋体" w:asciiTheme="minorEastAsia" w:hAnsiTheme="minorEastAsia" w:eastAsiaTheme="minorEastAsia"/>
          <w:bCs/>
          <w:color w:val="auto"/>
          <w:sz w:val="72"/>
          <w:szCs w:val="72"/>
          <w:highlight w:val="none"/>
        </w:rPr>
      </w:pPr>
    </w:p>
    <w:p w14:paraId="430D2A83">
      <w:pPr>
        <w:rPr>
          <w:color w:val="auto"/>
          <w:highlight w:val="none"/>
        </w:rPr>
      </w:pPr>
    </w:p>
    <w:p w14:paraId="14E58B5B">
      <w:pPr>
        <w:rPr>
          <w:color w:val="auto"/>
          <w:highlight w:val="none"/>
        </w:rPr>
      </w:pPr>
    </w:p>
    <w:p w14:paraId="40B977E5">
      <w:pPr>
        <w:rPr>
          <w:rFonts w:cs="宋体" w:asciiTheme="minorEastAsia" w:hAnsiTheme="minorEastAsia" w:eastAsiaTheme="minorEastAsia"/>
          <w:bCs/>
          <w:color w:val="auto"/>
          <w:sz w:val="18"/>
          <w:szCs w:val="18"/>
          <w:highlight w:val="none"/>
        </w:rPr>
      </w:pPr>
    </w:p>
    <w:p w14:paraId="4D1D769F">
      <w:pPr>
        <w:keepNext w:val="0"/>
        <w:keepLines w:val="0"/>
        <w:pageBreakBefore w:val="0"/>
        <w:widowControl/>
        <w:tabs>
          <w:tab w:val="left" w:pos="7846"/>
        </w:tabs>
        <w:kinsoku/>
        <w:wordWrap/>
        <w:overflowPunct/>
        <w:topLinePunct w:val="0"/>
        <w:autoSpaceDE/>
        <w:autoSpaceDN/>
        <w:bidi w:val="0"/>
        <w:adjustRightInd/>
        <w:snapToGrid/>
        <w:spacing w:line="480" w:lineRule="auto"/>
        <w:ind w:firstLine="2108" w:firstLineChars="700"/>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采</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人：</w:t>
      </w:r>
      <w:r>
        <w:rPr>
          <w:rFonts w:hint="eastAsia" w:ascii="宋体" w:hAnsi="宋体" w:eastAsia="宋体" w:cs="宋体"/>
          <w:b/>
          <w:bCs/>
          <w:color w:val="auto"/>
          <w:sz w:val="30"/>
          <w:szCs w:val="30"/>
          <w:highlight w:val="none"/>
          <w:lang w:val="en-US" w:eastAsia="zh-CN"/>
        </w:rPr>
        <w:t>安康市中心血站</w:t>
      </w:r>
    </w:p>
    <w:p w14:paraId="6B2BB1FF">
      <w:pPr>
        <w:keepNext w:val="0"/>
        <w:keepLines w:val="0"/>
        <w:pageBreakBefore w:val="0"/>
        <w:widowControl/>
        <w:tabs>
          <w:tab w:val="left" w:pos="7846"/>
        </w:tabs>
        <w:kinsoku/>
        <w:wordWrap/>
        <w:overflowPunct/>
        <w:topLinePunct w:val="0"/>
        <w:autoSpaceDE/>
        <w:autoSpaceDN/>
        <w:bidi w:val="0"/>
        <w:adjustRightInd/>
        <w:snapToGrid/>
        <w:spacing w:line="480" w:lineRule="auto"/>
        <w:ind w:firstLine="301" w:firstLineChars="100"/>
        <w:textAlignment w:val="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代理机构：安康尚昊招标代理有限公司</w:t>
      </w:r>
    </w:p>
    <w:p w14:paraId="6613F99D">
      <w:pPr>
        <w:pStyle w:val="5"/>
        <w:keepNext w:val="0"/>
        <w:keepLines w:val="0"/>
        <w:pageBreakBefore w:val="0"/>
        <w:widowControl/>
        <w:kinsoku/>
        <w:wordWrap/>
        <w:overflowPunct/>
        <w:topLinePunct w:val="0"/>
        <w:autoSpaceDE/>
        <w:autoSpaceDN/>
        <w:bidi w:val="0"/>
        <w:adjustRightInd/>
        <w:snapToGrid/>
        <w:spacing w:line="480" w:lineRule="auto"/>
        <w:ind w:firstLine="1205" w:firstLineChars="400"/>
        <w:textAlignment w:val="auto"/>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日    期：二〇二六年八月</w:t>
      </w:r>
    </w:p>
    <w:p w14:paraId="628FA88E">
      <w:pPr>
        <w:pStyle w:val="5"/>
        <w:keepNext w:val="0"/>
        <w:keepLines w:val="0"/>
        <w:pageBreakBefore w:val="0"/>
        <w:widowControl/>
        <w:kinsoku/>
        <w:wordWrap/>
        <w:overflowPunct/>
        <w:topLinePunct w:val="0"/>
        <w:autoSpaceDE/>
        <w:autoSpaceDN/>
        <w:bidi w:val="0"/>
        <w:adjustRightInd/>
        <w:snapToGrid/>
        <w:spacing w:line="360" w:lineRule="auto"/>
        <w:ind w:left="726" w:firstLine="2108" w:firstLineChars="700"/>
        <w:textAlignment w:val="auto"/>
        <w:rPr>
          <w:rFonts w:hint="eastAsia" w:ascii="宋体" w:hAnsi="宋体" w:eastAsia="宋体" w:cs="宋体"/>
          <w:b/>
          <w:bCs/>
          <w:color w:val="auto"/>
          <w:kern w:val="2"/>
          <w:sz w:val="30"/>
          <w:szCs w:val="30"/>
          <w:highlight w:val="none"/>
          <w:lang w:val="en-US" w:eastAsia="zh-CN" w:bidi="ar-SA"/>
        </w:rPr>
        <w:sectPr>
          <w:headerReference r:id="rId7" w:type="default"/>
          <w:footerReference r:id="rId8" w:type="default"/>
          <w:pgSz w:w="11905" w:h="16838"/>
          <w:pgMar w:top="1304" w:right="1304" w:bottom="1304" w:left="1304" w:header="964" w:footer="1020" w:gutter="0"/>
          <w:pgBorders>
            <w:top w:val="none" w:sz="0" w:space="0"/>
            <w:left w:val="none" w:sz="0" w:space="0"/>
            <w:bottom w:val="none" w:sz="0" w:space="0"/>
            <w:right w:val="none" w:sz="0" w:space="0"/>
          </w:pgBorders>
          <w:pgNumType w:fmt="decimal" w:start="0"/>
          <w:cols w:space="0" w:num="1"/>
          <w:rtlGutter w:val="0"/>
          <w:docGrid w:type="lines" w:linePitch="395" w:charSpace="0"/>
        </w:sectPr>
      </w:pPr>
    </w:p>
    <w:p w14:paraId="0788B1F1">
      <w:pPr>
        <w:pStyle w:val="5"/>
        <w:keepNext w:val="0"/>
        <w:keepLines w:val="0"/>
        <w:pageBreakBefore w:val="0"/>
        <w:widowControl/>
        <w:kinsoku/>
        <w:wordWrap/>
        <w:overflowPunct/>
        <w:topLinePunct w:val="0"/>
        <w:autoSpaceDE/>
        <w:autoSpaceDN/>
        <w:bidi w:val="0"/>
        <w:adjustRightInd/>
        <w:snapToGrid/>
        <w:spacing w:line="360" w:lineRule="auto"/>
        <w:ind w:left="726" w:firstLine="3092" w:firstLineChars="700"/>
        <w:jc w:val="center"/>
        <w:textAlignment w:val="auto"/>
        <w:rPr>
          <w:rFonts w:hint="eastAsia" w:ascii="宋体" w:hAnsi="宋体" w:eastAsia="宋体" w:cs="宋体"/>
          <w:color w:val="auto"/>
          <w:sz w:val="44"/>
          <w:szCs w:val="32"/>
          <w:highlight w:val="none"/>
          <w:lang w:val="en-US" w:eastAsia="zh-CN" w:bidi="ar-SA"/>
        </w:rPr>
      </w:pPr>
    </w:p>
    <w:p w14:paraId="470AE722">
      <w:pPr>
        <w:pStyle w:val="5"/>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60"/>
          <w:szCs w:val="48"/>
          <w:highlight w:val="none"/>
          <w:lang w:val="en-US" w:eastAsia="zh-CN" w:bidi="ar-SA"/>
        </w:rPr>
      </w:pPr>
      <w:r>
        <w:rPr>
          <w:rFonts w:hint="eastAsia" w:ascii="宋体" w:hAnsi="宋体" w:eastAsia="宋体" w:cs="宋体"/>
          <w:color w:val="auto"/>
          <w:sz w:val="60"/>
          <w:szCs w:val="48"/>
          <w:highlight w:val="none"/>
          <w:lang w:val="en-US" w:eastAsia="zh-CN" w:bidi="ar-SA"/>
        </w:rPr>
        <w:t>目   录</w:t>
      </w:r>
    </w:p>
    <w:p w14:paraId="09069DC9">
      <w:pPr>
        <w:rPr>
          <w:rFonts w:hint="eastAsia"/>
          <w:sz w:val="44"/>
          <w:szCs w:val="44"/>
          <w:lang w:val="en-US" w:eastAsia="zh-CN"/>
        </w:rPr>
      </w:pPr>
    </w:p>
    <w:p w14:paraId="5B7E625B">
      <w:pPr>
        <w:pStyle w:val="25"/>
        <w:keepNext w:val="0"/>
        <w:keepLines w:val="0"/>
        <w:pageBreakBefore w:val="0"/>
        <w:widowControl/>
        <w:tabs>
          <w:tab w:val="right" w:leader="dot" w:pos="9297"/>
        </w:tabs>
        <w:kinsoku/>
        <w:wordWrap/>
        <w:overflowPunct/>
        <w:topLinePunct w:val="0"/>
        <w:autoSpaceDE/>
        <w:autoSpaceDN/>
        <w:bidi w:val="0"/>
        <w:adjustRightInd/>
        <w:snapToGrid/>
        <w:spacing w:line="700" w:lineRule="exact"/>
        <w:textAlignment w:val="auto"/>
        <w:rPr>
          <w:b w:val="0"/>
          <w:bCs w:val="0"/>
          <w:sz w:val="28"/>
          <w:szCs w:val="28"/>
        </w:rPr>
      </w:pPr>
      <w:r>
        <w:rPr>
          <w:rFonts w:asciiTheme="minorEastAsia" w:hAnsiTheme="minorEastAsia" w:eastAsiaTheme="minorEastAsia"/>
          <w:color w:val="auto"/>
          <w:sz w:val="96"/>
          <w:szCs w:val="112"/>
          <w:highlight w:val="none"/>
        </w:rPr>
        <w:fldChar w:fldCharType="begin"/>
      </w:r>
      <w:r>
        <w:rPr>
          <w:rFonts w:asciiTheme="minorEastAsia" w:hAnsiTheme="minorEastAsia" w:eastAsiaTheme="minorEastAsia"/>
          <w:color w:val="auto"/>
          <w:sz w:val="96"/>
          <w:szCs w:val="112"/>
          <w:highlight w:val="none"/>
        </w:rPr>
        <w:instrText xml:space="preserve"> TOC \o "1-2" \h \z \u </w:instrText>
      </w:r>
      <w:r>
        <w:rPr>
          <w:rFonts w:asciiTheme="minorEastAsia" w:hAnsiTheme="minorEastAsia" w:eastAsiaTheme="minorEastAsia"/>
          <w:color w:val="auto"/>
          <w:sz w:val="96"/>
          <w:szCs w:val="112"/>
          <w:highlight w:val="none"/>
        </w:rPr>
        <w:fldChar w:fldCharType="separate"/>
      </w:r>
      <w:r>
        <w:rPr>
          <w:rFonts w:asciiTheme="minorEastAsia" w:hAnsiTheme="minorEastAsia" w:eastAsiaTheme="minorEastAsia"/>
          <w:b w:val="0"/>
          <w:bCs w:val="0"/>
          <w:color w:val="auto"/>
          <w:sz w:val="28"/>
          <w:szCs w:val="112"/>
          <w:highlight w:val="none"/>
        </w:rPr>
        <w:fldChar w:fldCharType="begin"/>
      </w:r>
      <w:r>
        <w:rPr>
          <w:rFonts w:asciiTheme="minorEastAsia" w:hAnsiTheme="minorEastAsia" w:eastAsiaTheme="minorEastAsia"/>
          <w:b w:val="0"/>
          <w:bCs w:val="0"/>
          <w:sz w:val="28"/>
          <w:szCs w:val="112"/>
          <w:highlight w:val="none"/>
        </w:rPr>
        <w:instrText xml:space="preserve"> HYPERLINK \l _Toc7099 </w:instrText>
      </w:r>
      <w:r>
        <w:rPr>
          <w:rFonts w:asciiTheme="minorEastAsia" w:hAnsiTheme="minorEastAsia" w:eastAsiaTheme="minorEastAsia"/>
          <w:b w:val="0"/>
          <w:bCs w:val="0"/>
          <w:sz w:val="28"/>
          <w:szCs w:val="112"/>
          <w:highlight w:val="none"/>
        </w:rPr>
        <w:fldChar w:fldCharType="separate"/>
      </w:r>
      <w:r>
        <w:rPr>
          <w:rFonts w:hint="eastAsia" w:ascii="宋体" w:hAnsi="宋体" w:eastAsia="宋体" w:cs="宋体"/>
          <w:b w:val="0"/>
          <w:bCs w:val="0"/>
          <w:sz w:val="28"/>
          <w:szCs w:val="28"/>
          <w:highlight w:val="none"/>
        </w:rPr>
        <w:t xml:space="preserve">第一章  </w:t>
      </w:r>
      <w:r>
        <w:rPr>
          <w:rFonts w:hint="eastAsia" w:ascii="宋体" w:hAnsi="宋体" w:eastAsia="宋体" w:cs="宋体"/>
          <w:b w:val="0"/>
          <w:bCs w:val="0"/>
          <w:sz w:val="28"/>
          <w:szCs w:val="28"/>
          <w:highlight w:val="none"/>
          <w:lang w:val="en-US" w:eastAsia="zh-CN"/>
        </w:rPr>
        <w:t>竞争性</w:t>
      </w:r>
      <w:r>
        <w:rPr>
          <w:rFonts w:hint="eastAsia" w:ascii="宋体" w:hAnsi="宋体" w:eastAsia="宋体" w:cs="宋体"/>
          <w:b w:val="0"/>
          <w:bCs w:val="0"/>
          <w:sz w:val="28"/>
          <w:szCs w:val="28"/>
          <w:highlight w:val="none"/>
        </w:rPr>
        <w:t>谈判</w:t>
      </w:r>
      <w:r>
        <w:rPr>
          <w:rFonts w:hint="eastAsia" w:ascii="宋体" w:hAnsi="宋体" w:eastAsia="宋体" w:cs="宋体"/>
          <w:b w:val="0"/>
          <w:bCs w:val="0"/>
          <w:sz w:val="28"/>
          <w:szCs w:val="28"/>
          <w:highlight w:val="none"/>
          <w:lang w:val="en-US" w:eastAsia="zh-CN"/>
        </w:rPr>
        <w:t>公告</w:t>
      </w:r>
      <w:r>
        <w:rPr>
          <w:b w:val="0"/>
          <w:bCs w:val="0"/>
          <w:sz w:val="28"/>
          <w:szCs w:val="28"/>
        </w:rPr>
        <w:tab/>
      </w:r>
      <w:r>
        <w:rPr>
          <w:b w:val="0"/>
          <w:bCs w:val="0"/>
          <w:sz w:val="28"/>
          <w:szCs w:val="28"/>
        </w:rPr>
        <w:fldChar w:fldCharType="begin"/>
      </w:r>
      <w:r>
        <w:rPr>
          <w:b w:val="0"/>
          <w:bCs w:val="0"/>
          <w:sz w:val="28"/>
          <w:szCs w:val="28"/>
        </w:rPr>
        <w:instrText xml:space="preserve"> PAGEREF _Toc7099 \h </w:instrText>
      </w:r>
      <w:r>
        <w:rPr>
          <w:b w:val="0"/>
          <w:bCs w:val="0"/>
          <w:sz w:val="28"/>
          <w:szCs w:val="28"/>
        </w:rPr>
        <w:fldChar w:fldCharType="separate"/>
      </w:r>
      <w:r>
        <w:rPr>
          <w:b w:val="0"/>
          <w:bCs w:val="0"/>
          <w:sz w:val="28"/>
          <w:szCs w:val="28"/>
        </w:rPr>
        <w:t>1</w:t>
      </w:r>
      <w:r>
        <w:rPr>
          <w:b w:val="0"/>
          <w:bCs w:val="0"/>
          <w:sz w:val="28"/>
          <w:szCs w:val="28"/>
        </w:rPr>
        <w:fldChar w:fldCharType="end"/>
      </w:r>
      <w:r>
        <w:rPr>
          <w:rFonts w:asciiTheme="minorEastAsia" w:hAnsiTheme="minorEastAsia" w:eastAsiaTheme="minorEastAsia"/>
          <w:b w:val="0"/>
          <w:bCs w:val="0"/>
          <w:color w:val="auto"/>
          <w:sz w:val="28"/>
          <w:szCs w:val="112"/>
          <w:highlight w:val="none"/>
        </w:rPr>
        <w:fldChar w:fldCharType="end"/>
      </w:r>
    </w:p>
    <w:p w14:paraId="52C9E729">
      <w:pPr>
        <w:pStyle w:val="25"/>
        <w:keepNext w:val="0"/>
        <w:keepLines w:val="0"/>
        <w:pageBreakBefore w:val="0"/>
        <w:widowControl/>
        <w:tabs>
          <w:tab w:val="right" w:leader="dot" w:pos="9297"/>
        </w:tabs>
        <w:kinsoku/>
        <w:wordWrap/>
        <w:overflowPunct/>
        <w:topLinePunct w:val="0"/>
        <w:autoSpaceDE/>
        <w:autoSpaceDN/>
        <w:bidi w:val="0"/>
        <w:adjustRightInd/>
        <w:snapToGrid/>
        <w:spacing w:line="700" w:lineRule="exact"/>
        <w:textAlignment w:val="auto"/>
        <w:rPr>
          <w:b w:val="0"/>
          <w:bCs w:val="0"/>
          <w:sz w:val="28"/>
          <w:szCs w:val="28"/>
        </w:rPr>
      </w:pPr>
      <w:r>
        <w:rPr>
          <w:rFonts w:cs="Times New Roman" w:asciiTheme="minorEastAsia" w:hAnsiTheme="minorEastAsia" w:eastAsiaTheme="minorEastAsia"/>
          <w:b w:val="0"/>
          <w:bCs w:val="0"/>
          <w:color w:val="auto"/>
          <w:sz w:val="28"/>
          <w:szCs w:val="112"/>
          <w:highlight w:val="none"/>
          <w:lang w:val="en-US" w:eastAsia="zh-CN" w:bidi="ar-SA"/>
        </w:rPr>
        <w:fldChar w:fldCharType="begin"/>
      </w:r>
      <w:r>
        <w:rPr>
          <w:rFonts w:cs="Times New Roman" w:asciiTheme="minorEastAsia" w:hAnsiTheme="minorEastAsia" w:eastAsiaTheme="minorEastAsia"/>
          <w:b w:val="0"/>
          <w:bCs w:val="0"/>
          <w:sz w:val="28"/>
          <w:szCs w:val="112"/>
          <w:highlight w:val="none"/>
          <w:lang w:val="en-US" w:eastAsia="zh-CN" w:bidi="ar-SA"/>
        </w:rPr>
        <w:instrText xml:space="preserve"> HYPERLINK \l _Toc7113 </w:instrText>
      </w:r>
      <w:r>
        <w:rPr>
          <w:rFonts w:cs="Times New Roman" w:asciiTheme="minorEastAsia" w:hAnsiTheme="minorEastAsia" w:eastAsiaTheme="minorEastAsia"/>
          <w:b w:val="0"/>
          <w:bCs w:val="0"/>
          <w:sz w:val="28"/>
          <w:szCs w:val="112"/>
          <w:highlight w:val="none"/>
          <w:lang w:val="en-US" w:eastAsia="zh-CN" w:bidi="ar-SA"/>
        </w:rPr>
        <w:fldChar w:fldCharType="separate"/>
      </w:r>
      <w:r>
        <w:rPr>
          <w:rFonts w:hint="eastAsia" w:ascii="宋体" w:hAnsi="宋体" w:eastAsia="宋体" w:cs="宋体"/>
          <w:b w:val="0"/>
          <w:bCs w:val="0"/>
          <w:sz w:val="28"/>
          <w:szCs w:val="28"/>
          <w:highlight w:val="none"/>
        </w:rPr>
        <w:t>第二章  供应商须知</w:t>
      </w:r>
      <w:r>
        <w:rPr>
          <w:b w:val="0"/>
          <w:bCs w:val="0"/>
          <w:sz w:val="28"/>
          <w:szCs w:val="28"/>
        </w:rPr>
        <w:tab/>
      </w:r>
      <w:r>
        <w:rPr>
          <w:b w:val="0"/>
          <w:bCs w:val="0"/>
          <w:sz w:val="28"/>
          <w:szCs w:val="28"/>
        </w:rPr>
        <w:fldChar w:fldCharType="begin"/>
      </w:r>
      <w:r>
        <w:rPr>
          <w:b w:val="0"/>
          <w:bCs w:val="0"/>
          <w:sz w:val="28"/>
          <w:szCs w:val="28"/>
        </w:rPr>
        <w:instrText xml:space="preserve"> PAGEREF _Toc7113 \h </w:instrText>
      </w:r>
      <w:r>
        <w:rPr>
          <w:b w:val="0"/>
          <w:bCs w:val="0"/>
          <w:sz w:val="28"/>
          <w:szCs w:val="28"/>
        </w:rPr>
        <w:fldChar w:fldCharType="separate"/>
      </w:r>
      <w:r>
        <w:rPr>
          <w:b w:val="0"/>
          <w:bCs w:val="0"/>
          <w:sz w:val="28"/>
          <w:szCs w:val="28"/>
        </w:rPr>
        <w:t>5</w:t>
      </w:r>
      <w:r>
        <w:rPr>
          <w:b w:val="0"/>
          <w:bCs w:val="0"/>
          <w:sz w:val="28"/>
          <w:szCs w:val="28"/>
        </w:rPr>
        <w:fldChar w:fldCharType="end"/>
      </w:r>
      <w:r>
        <w:rPr>
          <w:rFonts w:cs="Times New Roman" w:asciiTheme="minorEastAsia" w:hAnsiTheme="minorEastAsia" w:eastAsiaTheme="minorEastAsia"/>
          <w:b w:val="0"/>
          <w:bCs w:val="0"/>
          <w:color w:val="auto"/>
          <w:sz w:val="28"/>
          <w:szCs w:val="112"/>
          <w:highlight w:val="none"/>
          <w:lang w:val="en-US" w:eastAsia="zh-CN" w:bidi="ar-SA"/>
        </w:rPr>
        <w:fldChar w:fldCharType="end"/>
      </w:r>
    </w:p>
    <w:p w14:paraId="04BBE05D">
      <w:pPr>
        <w:pStyle w:val="25"/>
        <w:keepNext w:val="0"/>
        <w:keepLines w:val="0"/>
        <w:pageBreakBefore w:val="0"/>
        <w:widowControl/>
        <w:tabs>
          <w:tab w:val="right" w:leader="dot" w:pos="9297"/>
        </w:tabs>
        <w:kinsoku/>
        <w:wordWrap/>
        <w:overflowPunct/>
        <w:topLinePunct w:val="0"/>
        <w:autoSpaceDE/>
        <w:autoSpaceDN/>
        <w:bidi w:val="0"/>
        <w:adjustRightInd/>
        <w:snapToGrid/>
        <w:spacing w:line="700" w:lineRule="exact"/>
        <w:textAlignment w:val="auto"/>
        <w:rPr>
          <w:b w:val="0"/>
          <w:bCs w:val="0"/>
          <w:sz w:val="28"/>
          <w:szCs w:val="28"/>
        </w:rPr>
      </w:pPr>
      <w:r>
        <w:rPr>
          <w:rFonts w:cs="Times New Roman" w:asciiTheme="minorEastAsia" w:hAnsiTheme="minorEastAsia" w:eastAsiaTheme="minorEastAsia"/>
          <w:b w:val="0"/>
          <w:bCs w:val="0"/>
          <w:color w:val="auto"/>
          <w:sz w:val="28"/>
          <w:szCs w:val="112"/>
          <w:highlight w:val="none"/>
          <w:lang w:val="en-US" w:eastAsia="zh-CN" w:bidi="ar-SA"/>
        </w:rPr>
        <w:fldChar w:fldCharType="begin"/>
      </w:r>
      <w:r>
        <w:rPr>
          <w:rFonts w:cs="Times New Roman" w:asciiTheme="minorEastAsia" w:hAnsiTheme="minorEastAsia" w:eastAsiaTheme="minorEastAsia"/>
          <w:b w:val="0"/>
          <w:bCs w:val="0"/>
          <w:sz w:val="28"/>
          <w:szCs w:val="112"/>
          <w:highlight w:val="none"/>
          <w:lang w:val="en-US" w:eastAsia="zh-CN" w:bidi="ar-SA"/>
        </w:rPr>
        <w:instrText xml:space="preserve"> HYPERLINK \l _Toc27549 </w:instrText>
      </w:r>
      <w:r>
        <w:rPr>
          <w:rFonts w:cs="Times New Roman" w:asciiTheme="minorEastAsia" w:hAnsiTheme="minorEastAsia" w:eastAsiaTheme="minorEastAsia"/>
          <w:b w:val="0"/>
          <w:bCs w:val="0"/>
          <w:sz w:val="28"/>
          <w:szCs w:val="112"/>
          <w:highlight w:val="none"/>
          <w:lang w:val="en-US" w:eastAsia="zh-CN" w:bidi="ar-SA"/>
        </w:rPr>
        <w:fldChar w:fldCharType="separate"/>
      </w:r>
      <w:r>
        <w:rPr>
          <w:rFonts w:hint="eastAsia" w:ascii="宋体" w:hAnsi="宋体" w:eastAsia="宋体"/>
          <w:b w:val="0"/>
          <w:bCs w:val="0"/>
          <w:sz w:val="28"/>
          <w:szCs w:val="52"/>
        </w:rPr>
        <w:t xml:space="preserve">第三章 </w:t>
      </w:r>
      <w:r>
        <w:rPr>
          <w:rFonts w:hint="eastAsia" w:ascii="宋体" w:hAnsi="宋体" w:eastAsia="宋体"/>
          <w:b w:val="0"/>
          <w:bCs w:val="0"/>
          <w:sz w:val="28"/>
          <w:szCs w:val="52"/>
          <w:lang w:val="en-US" w:eastAsia="zh-CN"/>
        </w:rPr>
        <w:t xml:space="preserve"> </w:t>
      </w:r>
      <w:r>
        <w:rPr>
          <w:rFonts w:hint="eastAsia" w:ascii="宋体" w:hAnsi="宋体" w:eastAsia="宋体"/>
          <w:b w:val="0"/>
          <w:bCs w:val="0"/>
          <w:sz w:val="28"/>
          <w:szCs w:val="52"/>
          <w:highlight w:val="none"/>
        </w:rPr>
        <w:t>谈判内容及要求</w:t>
      </w:r>
      <w:r>
        <w:rPr>
          <w:b w:val="0"/>
          <w:bCs w:val="0"/>
          <w:sz w:val="28"/>
          <w:szCs w:val="28"/>
        </w:rPr>
        <w:tab/>
      </w:r>
      <w:r>
        <w:rPr>
          <w:b w:val="0"/>
          <w:bCs w:val="0"/>
          <w:sz w:val="28"/>
          <w:szCs w:val="28"/>
        </w:rPr>
        <w:fldChar w:fldCharType="begin"/>
      </w:r>
      <w:r>
        <w:rPr>
          <w:b w:val="0"/>
          <w:bCs w:val="0"/>
          <w:sz w:val="28"/>
          <w:szCs w:val="28"/>
        </w:rPr>
        <w:instrText xml:space="preserve"> PAGEREF _Toc27549 \h </w:instrText>
      </w:r>
      <w:r>
        <w:rPr>
          <w:b w:val="0"/>
          <w:bCs w:val="0"/>
          <w:sz w:val="28"/>
          <w:szCs w:val="28"/>
        </w:rPr>
        <w:fldChar w:fldCharType="separate"/>
      </w:r>
      <w:r>
        <w:rPr>
          <w:b w:val="0"/>
          <w:bCs w:val="0"/>
          <w:sz w:val="28"/>
          <w:szCs w:val="28"/>
        </w:rPr>
        <w:t>28</w:t>
      </w:r>
      <w:r>
        <w:rPr>
          <w:b w:val="0"/>
          <w:bCs w:val="0"/>
          <w:sz w:val="28"/>
          <w:szCs w:val="28"/>
        </w:rPr>
        <w:fldChar w:fldCharType="end"/>
      </w:r>
      <w:r>
        <w:rPr>
          <w:rFonts w:cs="Times New Roman" w:asciiTheme="minorEastAsia" w:hAnsiTheme="minorEastAsia" w:eastAsiaTheme="minorEastAsia"/>
          <w:b w:val="0"/>
          <w:bCs w:val="0"/>
          <w:color w:val="auto"/>
          <w:sz w:val="28"/>
          <w:szCs w:val="112"/>
          <w:highlight w:val="none"/>
          <w:lang w:val="en-US" w:eastAsia="zh-CN" w:bidi="ar-SA"/>
        </w:rPr>
        <w:fldChar w:fldCharType="end"/>
      </w:r>
    </w:p>
    <w:p w14:paraId="7B9CB99A">
      <w:pPr>
        <w:pStyle w:val="25"/>
        <w:keepNext w:val="0"/>
        <w:keepLines w:val="0"/>
        <w:pageBreakBefore w:val="0"/>
        <w:widowControl/>
        <w:tabs>
          <w:tab w:val="right" w:leader="dot" w:pos="9297"/>
        </w:tabs>
        <w:kinsoku/>
        <w:wordWrap/>
        <w:overflowPunct/>
        <w:topLinePunct w:val="0"/>
        <w:autoSpaceDE/>
        <w:autoSpaceDN/>
        <w:bidi w:val="0"/>
        <w:adjustRightInd/>
        <w:snapToGrid/>
        <w:spacing w:line="700" w:lineRule="exact"/>
        <w:textAlignment w:val="auto"/>
        <w:rPr>
          <w:b w:val="0"/>
          <w:bCs w:val="0"/>
          <w:sz w:val="28"/>
          <w:szCs w:val="28"/>
        </w:rPr>
      </w:pPr>
      <w:r>
        <w:rPr>
          <w:rFonts w:cs="Times New Roman" w:asciiTheme="minorEastAsia" w:hAnsiTheme="minorEastAsia" w:eastAsiaTheme="minorEastAsia"/>
          <w:b w:val="0"/>
          <w:bCs w:val="0"/>
          <w:color w:val="auto"/>
          <w:sz w:val="28"/>
          <w:szCs w:val="112"/>
          <w:highlight w:val="none"/>
          <w:lang w:val="en-US" w:eastAsia="zh-CN" w:bidi="ar-SA"/>
        </w:rPr>
        <w:fldChar w:fldCharType="begin"/>
      </w:r>
      <w:r>
        <w:rPr>
          <w:rFonts w:cs="Times New Roman" w:asciiTheme="minorEastAsia" w:hAnsiTheme="minorEastAsia" w:eastAsiaTheme="minorEastAsia"/>
          <w:b w:val="0"/>
          <w:bCs w:val="0"/>
          <w:sz w:val="28"/>
          <w:szCs w:val="112"/>
          <w:highlight w:val="none"/>
          <w:lang w:val="en-US" w:eastAsia="zh-CN" w:bidi="ar-SA"/>
        </w:rPr>
        <w:instrText xml:space="preserve"> HYPERLINK \l _Toc17113 </w:instrText>
      </w:r>
      <w:r>
        <w:rPr>
          <w:rFonts w:cs="Times New Roman" w:asciiTheme="minorEastAsia" w:hAnsiTheme="minorEastAsia" w:eastAsiaTheme="minorEastAsia"/>
          <w:b w:val="0"/>
          <w:bCs w:val="0"/>
          <w:sz w:val="28"/>
          <w:szCs w:val="112"/>
          <w:highlight w:val="none"/>
          <w:lang w:val="en-US" w:eastAsia="zh-CN" w:bidi="ar-SA"/>
        </w:rPr>
        <w:fldChar w:fldCharType="separate"/>
      </w:r>
      <w:r>
        <w:rPr>
          <w:rFonts w:hint="eastAsia" w:ascii="宋体" w:hAnsi="宋体" w:eastAsia="宋体" w:cs="Times New Roman"/>
          <w:b w:val="0"/>
          <w:bCs w:val="0"/>
          <w:sz w:val="28"/>
          <w:szCs w:val="28"/>
        </w:rPr>
        <w:t xml:space="preserve">第四章 </w:t>
      </w:r>
      <w:r>
        <w:rPr>
          <w:rFonts w:hint="eastAsia" w:ascii="宋体" w:hAnsi="宋体" w:eastAsia="宋体" w:cs="Times New Roman"/>
          <w:b w:val="0"/>
          <w:bCs w:val="0"/>
          <w:sz w:val="28"/>
          <w:szCs w:val="28"/>
          <w:lang w:val="en-US" w:eastAsia="zh-CN"/>
        </w:rPr>
        <w:t xml:space="preserve"> </w:t>
      </w:r>
      <w:r>
        <w:rPr>
          <w:rFonts w:hint="eastAsia" w:ascii="宋体" w:hAnsi="宋体" w:eastAsia="宋体" w:cs="Times New Roman"/>
          <w:b w:val="0"/>
          <w:bCs w:val="0"/>
          <w:sz w:val="28"/>
          <w:szCs w:val="28"/>
          <w:highlight w:val="none"/>
        </w:rPr>
        <w:t>合同主要条款</w:t>
      </w:r>
      <w:r>
        <w:rPr>
          <w:b w:val="0"/>
          <w:bCs w:val="0"/>
          <w:sz w:val="28"/>
          <w:szCs w:val="28"/>
        </w:rPr>
        <w:tab/>
      </w:r>
      <w:r>
        <w:rPr>
          <w:b w:val="0"/>
          <w:bCs w:val="0"/>
          <w:sz w:val="28"/>
          <w:szCs w:val="28"/>
        </w:rPr>
        <w:fldChar w:fldCharType="begin"/>
      </w:r>
      <w:r>
        <w:rPr>
          <w:b w:val="0"/>
          <w:bCs w:val="0"/>
          <w:sz w:val="28"/>
          <w:szCs w:val="28"/>
        </w:rPr>
        <w:instrText xml:space="preserve"> PAGEREF _Toc17113 \h </w:instrText>
      </w:r>
      <w:r>
        <w:rPr>
          <w:b w:val="0"/>
          <w:bCs w:val="0"/>
          <w:sz w:val="28"/>
          <w:szCs w:val="28"/>
        </w:rPr>
        <w:fldChar w:fldCharType="separate"/>
      </w:r>
      <w:r>
        <w:rPr>
          <w:b w:val="0"/>
          <w:bCs w:val="0"/>
          <w:sz w:val="28"/>
          <w:szCs w:val="28"/>
        </w:rPr>
        <w:t>32</w:t>
      </w:r>
      <w:r>
        <w:rPr>
          <w:b w:val="0"/>
          <w:bCs w:val="0"/>
          <w:sz w:val="28"/>
          <w:szCs w:val="28"/>
        </w:rPr>
        <w:fldChar w:fldCharType="end"/>
      </w:r>
      <w:r>
        <w:rPr>
          <w:rFonts w:cs="Times New Roman" w:asciiTheme="minorEastAsia" w:hAnsiTheme="minorEastAsia" w:eastAsiaTheme="minorEastAsia"/>
          <w:b w:val="0"/>
          <w:bCs w:val="0"/>
          <w:color w:val="auto"/>
          <w:sz w:val="28"/>
          <w:szCs w:val="112"/>
          <w:highlight w:val="none"/>
          <w:lang w:val="en-US" w:eastAsia="zh-CN" w:bidi="ar-SA"/>
        </w:rPr>
        <w:fldChar w:fldCharType="end"/>
      </w:r>
    </w:p>
    <w:p w14:paraId="3C86AB24">
      <w:pPr>
        <w:pStyle w:val="25"/>
        <w:keepNext w:val="0"/>
        <w:keepLines w:val="0"/>
        <w:pageBreakBefore w:val="0"/>
        <w:widowControl/>
        <w:tabs>
          <w:tab w:val="right" w:leader="dot" w:pos="9297"/>
        </w:tabs>
        <w:kinsoku/>
        <w:wordWrap/>
        <w:overflowPunct/>
        <w:topLinePunct w:val="0"/>
        <w:autoSpaceDE/>
        <w:autoSpaceDN/>
        <w:bidi w:val="0"/>
        <w:adjustRightInd/>
        <w:snapToGrid/>
        <w:spacing w:line="700" w:lineRule="exact"/>
        <w:textAlignment w:val="auto"/>
        <w:rPr>
          <w:sz w:val="28"/>
          <w:szCs w:val="28"/>
        </w:rPr>
      </w:pPr>
      <w:r>
        <w:rPr>
          <w:rFonts w:cs="Times New Roman" w:asciiTheme="minorEastAsia" w:hAnsiTheme="minorEastAsia" w:eastAsiaTheme="minorEastAsia"/>
          <w:b w:val="0"/>
          <w:bCs w:val="0"/>
          <w:color w:val="auto"/>
          <w:sz w:val="28"/>
          <w:szCs w:val="112"/>
          <w:highlight w:val="none"/>
          <w:lang w:val="en-US" w:eastAsia="zh-CN" w:bidi="ar-SA"/>
        </w:rPr>
        <w:fldChar w:fldCharType="begin"/>
      </w:r>
      <w:r>
        <w:rPr>
          <w:rFonts w:cs="Times New Roman" w:asciiTheme="minorEastAsia" w:hAnsiTheme="minorEastAsia" w:eastAsiaTheme="minorEastAsia"/>
          <w:b w:val="0"/>
          <w:bCs w:val="0"/>
          <w:sz w:val="28"/>
          <w:szCs w:val="112"/>
          <w:highlight w:val="none"/>
          <w:lang w:val="en-US" w:eastAsia="zh-CN" w:bidi="ar-SA"/>
        </w:rPr>
        <w:instrText xml:space="preserve"> HYPERLINK \l _Toc1266 </w:instrText>
      </w:r>
      <w:r>
        <w:rPr>
          <w:rFonts w:cs="Times New Roman" w:asciiTheme="minorEastAsia" w:hAnsiTheme="minorEastAsia" w:eastAsiaTheme="minorEastAsia"/>
          <w:b w:val="0"/>
          <w:bCs w:val="0"/>
          <w:sz w:val="28"/>
          <w:szCs w:val="112"/>
          <w:highlight w:val="none"/>
          <w:lang w:val="en-US" w:eastAsia="zh-CN" w:bidi="ar-SA"/>
        </w:rPr>
        <w:fldChar w:fldCharType="separate"/>
      </w:r>
      <w:r>
        <w:rPr>
          <w:rFonts w:hint="eastAsia" w:ascii="宋体" w:hAnsi="宋体" w:eastAsia="宋体" w:cs="Times New Roman"/>
          <w:b w:val="0"/>
          <w:bCs w:val="0"/>
          <w:sz w:val="28"/>
          <w:szCs w:val="28"/>
        </w:rPr>
        <w:t xml:space="preserve">第五章 </w:t>
      </w:r>
      <w:r>
        <w:rPr>
          <w:rFonts w:hint="eastAsia" w:ascii="宋体" w:hAnsi="宋体" w:eastAsia="宋体" w:cs="Times New Roman"/>
          <w:b w:val="0"/>
          <w:bCs w:val="0"/>
          <w:sz w:val="28"/>
          <w:szCs w:val="28"/>
          <w:lang w:val="en-US" w:eastAsia="zh-CN"/>
        </w:rPr>
        <w:t xml:space="preserve"> </w:t>
      </w:r>
      <w:r>
        <w:rPr>
          <w:rFonts w:hint="eastAsia" w:ascii="宋体" w:hAnsi="宋体" w:eastAsia="宋体" w:cs="Times New Roman"/>
          <w:b w:val="0"/>
          <w:bCs w:val="0"/>
          <w:sz w:val="28"/>
          <w:szCs w:val="28"/>
          <w:highlight w:val="none"/>
        </w:rPr>
        <w:t>响应文件格式</w:t>
      </w:r>
      <w:r>
        <w:rPr>
          <w:b w:val="0"/>
          <w:bCs w:val="0"/>
          <w:sz w:val="28"/>
          <w:szCs w:val="28"/>
        </w:rPr>
        <w:tab/>
      </w:r>
      <w:r>
        <w:rPr>
          <w:b w:val="0"/>
          <w:bCs w:val="0"/>
          <w:sz w:val="28"/>
          <w:szCs w:val="28"/>
        </w:rPr>
        <w:fldChar w:fldCharType="begin"/>
      </w:r>
      <w:r>
        <w:rPr>
          <w:b w:val="0"/>
          <w:bCs w:val="0"/>
          <w:sz w:val="28"/>
          <w:szCs w:val="28"/>
        </w:rPr>
        <w:instrText xml:space="preserve"> PAGEREF _Toc1266 \h </w:instrText>
      </w:r>
      <w:r>
        <w:rPr>
          <w:b w:val="0"/>
          <w:bCs w:val="0"/>
          <w:sz w:val="28"/>
          <w:szCs w:val="28"/>
        </w:rPr>
        <w:fldChar w:fldCharType="separate"/>
      </w:r>
      <w:r>
        <w:rPr>
          <w:b w:val="0"/>
          <w:bCs w:val="0"/>
          <w:sz w:val="28"/>
          <w:szCs w:val="28"/>
        </w:rPr>
        <w:t>36</w:t>
      </w:r>
      <w:r>
        <w:rPr>
          <w:b w:val="0"/>
          <w:bCs w:val="0"/>
          <w:sz w:val="28"/>
          <w:szCs w:val="28"/>
        </w:rPr>
        <w:fldChar w:fldCharType="end"/>
      </w:r>
      <w:r>
        <w:rPr>
          <w:rFonts w:cs="Times New Roman" w:asciiTheme="minorEastAsia" w:hAnsiTheme="minorEastAsia" w:eastAsiaTheme="minorEastAsia"/>
          <w:b w:val="0"/>
          <w:bCs w:val="0"/>
          <w:color w:val="auto"/>
          <w:sz w:val="28"/>
          <w:szCs w:val="112"/>
          <w:highlight w:val="none"/>
          <w:lang w:val="en-US" w:eastAsia="zh-CN" w:bidi="ar-SA"/>
        </w:rPr>
        <w:fldChar w:fldCharType="end"/>
      </w:r>
    </w:p>
    <w:p w14:paraId="7117E09E">
      <w:pPr>
        <w:pStyle w:val="5"/>
        <w:keepNext w:val="0"/>
        <w:keepLines w:val="0"/>
        <w:pageBreakBefore w:val="0"/>
        <w:widowControl/>
        <w:kinsoku/>
        <w:wordWrap/>
        <w:overflowPunct/>
        <w:topLinePunct w:val="0"/>
        <w:autoSpaceDE/>
        <w:autoSpaceDN/>
        <w:bidi w:val="0"/>
        <w:adjustRightInd/>
        <w:snapToGrid/>
        <w:spacing w:line="360" w:lineRule="auto"/>
        <w:ind w:left="0"/>
        <w:textAlignment w:val="auto"/>
        <w:rPr>
          <w:color w:val="auto"/>
          <w:sz w:val="44"/>
          <w:szCs w:val="44"/>
          <w:highlight w:val="none"/>
          <w:lang w:val="en-US" w:eastAsia="zh-CN" w:bidi="ar-SA"/>
        </w:rPr>
      </w:pPr>
      <w:r>
        <w:rPr>
          <w:rFonts w:cs="Times New Roman" w:asciiTheme="minorEastAsia" w:hAnsiTheme="minorEastAsia" w:eastAsiaTheme="minorEastAsia"/>
          <w:color w:val="auto"/>
          <w:sz w:val="44"/>
          <w:szCs w:val="112"/>
          <w:highlight w:val="none"/>
          <w:lang w:val="en-US" w:eastAsia="zh-CN" w:bidi="ar-SA"/>
        </w:rPr>
        <w:fldChar w:fldCharType="end"/>
      </w:r>
    </w:p>
    <w:p w14:paraId="102C4BCF">
      <w:pPr>
        <w:tabs>
          <w:tab w:val="left" w:pos="2643"/>
        </w:tabs>
        <w:rPr>
          <w:color w:val="auto"/>
          <w:highlight w:val="none"/>
        </w:rPr>
      </w:pPr>
      <w:r>
        <w:rPr>
          <w:color w:val="auto"/>
          <w:highlight w:val="none"/>
        </w:rPr>
        <w:tab/>
      </w:r>
    </w:p>
    <w:p w14:paraId="402A2A43">
      <w:pPr>
        <w:tabs>
          <w:tab w:val="left" w:pos="3596"/>
        </w:tabs>
        <w:bidi w:val="0"/>
        <w:rPr>
          <w:rFonts w:ascii="Calibri Light" w:hAnsi="Calibri Light" w:eastAsia="华文仿宋" w:cs="Times New Roman"/>
          <w:kern w:val="2"/>
          <w:sz w:val="28"/>
          <w:szCs w:val="28"/>
          <w:lang w:val="en-US" w:eastAsia="zh-CN" w:bidi="ar-SA"/>
        </w:rPr>
      </w:pPr>
      <w:r>
        <w:rPr>
          <w:rFonts w:hint="eastAsia" w:cs="Times New Roman"/>
          <w:kern w:val="2"/>
          <w:sz w:val="28"/>
          <w:szCs w:val="28"/>
          <w:lang w:val="en-US" w:eastAsia="zh-CN" w:bidi="ar-SA"/>
        </w:rPr>
        <w:tab/>
      </w:r>
    </w:p>
    <w:p w14:paraId="585B1C83">
      <w:pPr>
        <w:bidi w:val="0"/>
        <w:rPr>
          <w:lang w:val="en-US" w:eastAsia="zh-CN"/>
        </w:rPr>
      </w:pPr>
    </w:p>
    <w:p w14:paraId="37F58896">
      <w:pPr>
        <w:bidi w:val="0"/>
        <w:jc w:val="center"/>
        <w:rPr>
          <w:lang w:val="en-US" w:eastAsia="zh-CN"/>
        </w:rPr>
      </w:pPr>
    </w:p>
    <w:p w14:paraId="7F411626">
      <w:pPr>
        <w:bidi w:val="0"/>
        <w:rPr>
          <w:lang w:val="en-US" w:eastAsia="zh-CN"/>
        </w:rPr>
      </w:pPr>
    </w:p>
    <w:p w14:paraId="32A6CFCC">
      <w:pPr>
        <w:tabs>
          <w:tab w:val="left" w:pos="1645"/>
        </w:tabs>
        <w:bidi w:val="0"/>
        <w:jc w:val="left"/>
        <w:rPr>
          <w:lang w:val="en-US" w:eastAsia="zh-CN"/>
        </w:rPr>
        <w:sectPr>
          <w:headerReference r:id="rId9" w:type="default"/>
          <w:footerReference r:id="rId10" w:type="default"/>
          <w:pgSz w:w="11905" w:h="16838"/>
          <w:pgMar w:top="1304" w:right="1304" w:bottom="1304" w:left="1304" w:header="964" w:footer="1020" w:gutter="0"/>
          <w:pgBorders>
            <w:top w:val="none" w:sz="0" w:space="0"/>
            <w:left w:val="none" w:sz="0" w:space="0"/>
            <w:bottom w:val="none" w:sz="0" w:space="0"/>
            <w:right w:val="none" w:sz="0" w:space="0"/>
          </w:pgBorders>
          <w:pgNumType w:fmt="decimal" w:start="1"/>
          <w:cols w:space="0" w:num="1"/>
          <w:rtlGutter w:val="0"/>
          <w:docGrid w:type="lines" w:linePitch="395" w:charSpace="0"/>
        </w:sectPr>
      </w:pPr>
      <w:r>
        <w:rPr>
          <w:rFonts w:hint="eastAsia"/>
          <w:lang w:val="en-US" w:eastAsia="zh-CN"/>
        </w:rPr>
        <w:tab/>
      </w:r>
    </w:p>
    <w:p w14:paraId="7C32CD6D">
      <w:pPr>
        <w:pStyle w:val="2"/>
        <w:keepNext/>
        <w:keepLines/>
        <w:pageBreakBefore w:val="0"/>
        <w:widowControl/>
        <w:tabs>
          <w:tab w:val="center" w:pos="4433"/>
          <w:tab w:val="left" w:pos="7415"/>
        </w:tabs>
        <w:kinsoku/>
        <w:wordWrap/>
        <w:overflowPunct/>
        <w:topLinePunct w:val="0"/>
        <w:autoSpaceDE/>
        <w:autoSpaceDN/>
        <w:bidi w:val="0"/>
        <w:adjustRightInd/>
        <w:snapToGrid/>
        <w:spacing w:after="196" w:afterLines="50" w:line="240" w:lineRule="auto"/>
        <w:textAlignment w:val="auto"/>
        <w:rPr>
          <w:rFonts w:hint="eastAsia" w:ascii="宋体" w:hAnsi="宋体" w:eastAsia="宋体" w:cs="宋体"/>
          <w:color w:val="auto"/>
          <w:highlight w:val="none"/>
          <w:lang w:eastAsia="zh-CN"/>
        </w:rPr>
      </w:pPr>
      <w:bookmarkStart w:id="0" w:name="_Toc23316675"/>
      <w:bookmarkStart w:id="1" w:name="_Toc23315653"/>
      <w:bookmarkStart w:id="2" w:name="_Toc14189263"/>
      <w:bookmarkStart w:id="3" w:name="_Toc23316577"/>
      <w:bookmarkStart w:id="4" w:name="_Toc14189400"/>
      <w:bookmarkStart w:id="5" w:name="_Toc27856"/>
      <w:bookmarkStart w:id="6" w:name="_Toc18412192"/>
      <w:bookmarkStart w:id="7" w:name="_Toc23316513"/>
      <w:bookmarkStart w:id="8" w:name="_Toc7099"/>
      <w:bookmarkStart w:id="9" w:name="OLE_LINK1"/>
      <w:r>
        <w:rPr>
          <w:rFonts w:hint="eastAsia" w:ascii="宋体" w:hAnsi="宋体" w:eastAsia="宋体" w:cs="宋体"/>
          <w:color w:val="auto"/>
          <w:highlight w:val="none"/>
        </w:rPr>
        <w:t xml:space="preserve">第一章 </w:t>
      </w:r>
      <w:bookmarkStart w:id="10" w:name="OLE_LINK7"/>
      <w:r>
        <w:rPr>
          <w:rFonts w:hint="eastAsia" w:ascii="宋体" w:hAnsi="宋体" w:eastAsia="宋体" w:cs="宋体"/>
          <w:color w:val="auto"/>
          <w:highlight w:val="none"/>
        </w:rPr>
        <w:t xml:space="preserve"> </w:t>
      </w:r>
      <w:bookmarkStart w:id="11" w:name="OLE_LINK3"/>
      <w:bookmarkStart w:id="12" w:name="OLE_LINK5"/>
      <w:bookmarkStart w:id="13" w:name="OLE_LINK2"/>
      <w:bookmarkStart w:id="14" w:name="OLE_LINK6"/>
      <w:bookmarkStart w:id="15" w:name="OLE_LINK4"/>
      <w:bookmarkStart w:id="16" w:name="OLE_LINK8"/>
      <w:r>
        <w:rPr>
          <w:rFonts w:hint="eastAsia" w:ascii="宋体" w:hAnsi="宋体" w:eastAsia="宋体" w:cs="宋体"/>
          <w:color w:val="auto"/>
          <w:highlight w:val="none"/>
          <w:lang w:val="en-US" w:eastAsia="zh-CN"/>
        </w:rPr>
        <w:t>竞争性</w:t>
      </w:r>
      <w:r>
        <w:rPr>
          <w:rFonts w:hint="eastAsia" w:ascii="宋体" w:hAnsi="宋体" w:eastAsia="宋体" w:cs="宋体"/>
          <w:color w:val="auto"/>
          <w:highlight w:val="none"/>
        </w:rPr>
        <w:t>谈判</w:t>
      </w:r>
      <w:bookmarkEnd w:id="0"/>
      <w:bookmarkEnd w:id="1"/>
      <w:bookmarkEnd w:id="2"/>
      <w:bookmarkEnd w:id="3"/>
      <w:bookmarkEnd w:id="4"/>
      <w:bookmarkEnd w:id="5"/>
      <w:bookmarkEnd w:id="6"/>
      <w:bookmarkEnd w:id="7"/>
      <w:r>
        <w:rPr>
          <w:rFonts w:hint="eastAsia" w:ascii="宋体" w:hAnsi="宋体" w:eastAsia="宋体" w:cs="宋体"/>
          <w:color w:val="auto"/>
          <w:highlight w:val="none"/>
          <w:lang w:val="en-US" w:eastAsia="zh-CN"/>
        </w:rPr>
        <w:t>公告</w:t>
      </w:r>
      <w:bookmarkEnd w:id="8"/>
    </w:p>
    <w:bookmarkEnd w:id="9"/>
    <w:bookmarkEnd w:id="10"/>
    <w:bookmarkEnd w:id="11"/>
    <w:bookmarkEnd w:id="12"/>
    <w:bookmarkEnd w:id="13"/>
    <w:bookmarkEnd w:id="14"/>
    <w:bookmarkEnd w:id="15"/>
    <w:bookmarkEnd w:id="16"/>
    <w:p w14:paraId="469C34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bookmarkStart w:id="17" w:name="_Toc23315654"/>
      <w:bookmarkStart w:id="18" w:name="_Toc14189264"/>
      <w:bookmarkStart w:id="19" w:name="_Toc10418"/>
      <w:bookmarkStart w:id="20" w:name="_Toc18412193"/>
      <w:bookmarkStart w:id="21" w:name="_Toc23316514"/>
      <w:bookmarkStart w:id="22" w:name="_Toc23316676"/>
      <w:bookmarkStart w:id="23" w:name="_Toc23316578"/>
      <w:bookmarkStart w:id="24" w:name="_Toc14189401"/>
      <w:r>
        <w:rPr>
          <w:rStyle w:val="45"/>
          <w:rFonts w:hint="eastAsia" w:ascii="宋体" w:hAnsi="宋体" w:eastAsia="宋体" w:cs="宋体"/>
          <w:b/>
          <w:bCs/>
          <w:i w:val="0"/>
          <w:iCs w:val="0"/>
          <w:caps w:val="0"/>
          <w:color w:val="333333"/>
          <w:spacing w:val="0"/>
          <w:sz w:val="24"/>
          <w:szCs w:val="24"/>
          <w:shd w:val="clear" w:fill="FFFFFF"/>
        </w:rPr>
        <w:t>项目概况</w:t>
      </w:r>
    </w:p>
    <w:p w14:paraId="114555F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安康市中心血站献血服务食品采购项目</w:t>
      </w:r>
      <w:r>
        <w:rPr>
          <w:rFonts w:hint="eastAsia" w:ascii="宋体" w:hAnsi="宋体" w:eastAsia="宋体" w:cs="宋体"/>
          <w:i w:val="0"/>
          <w:iCs w:val="0"/>
          <w:caps w:val="0"/>
          <w:color w:val="333333"/>
          <w:spacing w:val="0"/>
          <w:sz w:val="24"/>
          <w:szCs w:val="24"/>
          <w:shd w:val="clear" w:fill="FFFFFF"/>
        </w:rPr>
        <w:t>的潜在供应商应在安康市高新区高新观澜8栋二单元801室获取采购文件，并于2026</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时00分0</w:t>
      </w:r>
      <w:r>
        <w:rPr>
          <w:rFonts w:hint="eastAsia" w:ascii="宋体" w:hAnsi="宋体" w:eastAsia="宋体" w:cs="宋体"/>
          <w:i w:val="0"/>
          <w:iCs w:val="0"/>
          <w:caps w:val="0"/>
          <w:color w:val="333333"/>
          <w:spacing w:val="0"/>
          <w:sz w:val="24"/>
          <w:szCs w:val="24"/>
          <w:shd w:val="clear" w:fill="FFFFFF"/>
        </w:rPr>
        <w:t>0秒（北京时间）前提交响应文件。</w:t>
      </w:r>
    </w:p>
    <w:p w14:paraId="1D748E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一、项目基本情况</w:t>
      </w:r>
    </w:p>
    <w:p w14:paraId="3D59678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项目编号：</w:t>
      </w:r>
      <w:r>
        <w:rPr>
          <w:rFonts w:hint="eastAsia" w:ascii="宋体" w:hAnsi="宋体" w:eastAsia="宋体" w:cs="宋体"/>
          <w:i w:val="0"/>
          <w:iCs w:val="0"/>
          <w:caps w:val="0"/>
          <w:color w:val="333333"/>
          <w:spacing w:val="0"/>
          <w:sz w:val="24"/>
          <w:szCs w:val="24"/>
          <w:shd w:val="clear" w:fill="FFFFFF"/>
          <w:lang w:eastAsia="zh-CN"/>
        </w:rPr>
        <w:t>AKSH2026--ZTP-099</w:t>
      </w:r>
    </w:p>
    <w:p w14:paraId="0132449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项目名称：</w:t>
      </w:r>
      <w:r>
        <w:rPr>
          <w:rFonts w:hint="eastAsia" w:ascii="宋体" w:hAnsi="宋体" w:eastAsia="宋体" w:cs="宋体"/>
          <w:i w:val="0"/>
          <w:iCs w:val="0"/>
          <w:caps w:val="0"/>
          <w:color w:val="333333"/>
          <w:spacing w:val="0"/>
          <w:sz w:val="24"/>
          <w:szCs w:val="24"/>
          <w:shd w:val="clear" w:fill="FFFFFF"/>
          <w:lang w:eastAsia="zh-CN"/>
        </w:rPr>
        <w:t>安康市中心血站献血服务食品采购项目</w:t>
      </w:r>
    </w:p>
    <w:p w14:paraId="5B3015E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采购方式：竞争性谈判</w:t>
      </w:r>
    </w:p>
    <w:p w14:paraId="3EE8A1B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预算金额：</w:t>
      </w:r>
      <w:r>
        <w:rPr>
          <w:rFonts w:hint="eastAsia" w:ascii="宋体" w:hAnsi="宋体" w:eastAsia="宋体" w:cs="宋体"/>
          <w:i w:val="0"/>
          <w:iCs w:val="0"/>
          <w:caps w:val="0"/>
          <w:color w:val="333333"/>
          <w:spacing w:val="0"/>
          <w:sz w:val="24"/>
          <w:szCs w:val="24"/>
          <w:shd w:val="clear" w:fill="FFFFFF"/>
          <w:lang w:val="en-US" w:eastAsia="zh-CN"/>
        </w:rPr>
        <w:t>120000.00</w:t>
      </w:r>
      <w:r>
        <w:rPr>
          <w:rFonts w:hint="eastAsia" w:ascii="宋体" w:hAnsi="宋体" w:eastAsia="宋体" w:cs="宋体"/>
          <w:i w:val="0"/>
          <w:iCs w:val="0"/>
          <w:caps w:val="0"/>
          <w:color w:val="333333"/>
          <w:spacing w:val="0"/>
          <w:sz w:val="24"/>
          <w:szCs w:val="24"/>
          <w:shd w:val="clear" w:fill="FFFFFF"/>
        </w:rPr>
        <w:t>元</w:t>
      </w:r>
    </w:p>
    <w:p w14:paraId="0517582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采购需求：</w:t>
      </w:r>
    </w:p>
    <w:p w14:paraId="55351DB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eastAsia="zh-CN"/>
        </w:rPr>
        <w:t>安康市中心血站献血服务食品采购项目</w:t>
      </w:r>
      <w:r>
        <w:rPr>
          <w:rFonts w:hint="eastAsia" w:ascii="宋体" w:hAnsi="宋体" w:eastAsia="宋体" w:cs="宋体"/>
          <w:i w:val="0"/>
          <w:iCs w:val="0"/>
          <w:caps w:val="0"/>
          <w:color w:val="333333"/>
          <w:spacing w:val="0"/>
          <w:sz w:val="24"/>
          <w:szCs w:val="24"/>
          <w:shd w:val="clear" w:fill="FFFFFF"/>
        </w:rPr>
        <w:t>):</w:t>
      </w:r>
    </w:p>
    <w:p w14:paraId="4E527B4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w:t>
      </w:r>
      <w:r>
        <w:rPr>
          <w:rFonts w:hint="eastAsia" w:ascii="宋体" w:hAnsi="宋体" w:eastAsia="宋体" w:cs="宋体"/>
          <w:i w:val="0"/>
          <w:iCs w:val="0"/>
          <w:caps w:val="0"/>
          <w:color w:val="333333"/>
          <w:spacing w:val="0"/>
          <w:sz w:val="24"/>
          <w:szCs w:val="24"/>
          <w:shd w:val="clear" w:fill="FFFFFF"/>
          <w:lang w:eastAsia="zh-CN"/>
        </w:rPr>
        <w:t>120000.00</w:t>
      </w:r>
      <w:r>
        <w:rPr>
          <w:rFonts w:hint="eastAsia" w:ascii="宋体" w:hAnsi="宋体" w:eastAsia="宋体" w:cs="宋体"/>
          <w:i w:val="0"/>
          <w:iCs w:val="0"/>
          <w:caps w:val="0"/>
          <w:color w:val="333333"/>
          <w:spacing w:val="0"/>
          <w:sz w:val="24"/>
          <w:szCs w:val="24"/>
          <w:shd w:val="clear" w:fill="FFFFFF"/>
        </w:rPr>
        <w:t>元</w:t>
      </w:r>
    </w:p>
    <w:p w14:paraId="400C5E5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合同包最高限价：</w:t>
      </w:r>
      <w:r>
        <w:rPr>
          <w:rFonts w:hint="eastAsia" w:ascii="宋体" w:hAnsi="宋体" w:eastAsia="宋体" w:cs="宋体"/>
          <w:b w:val="0"/>
          <w:bCs w:val="0"/>
          <w:i w:val="0"/>
          <w:iCs w:val="0"/>
          <w:caps w:val="0"/>
          <w:color w:val="auto"/>
          <w:spacing w:val="0"/>
          <w:sz w:val="24"/>
          <w:szCs w:val="24"/>
          <w:shd w:val="clear" w:fill="FFFFFF"/>
          <w:lang w:eastAsia="zh-CN"/>
        </w:rPr>
        <w:t>120000.00</w:t>
      </w:r>
      <w:r>
        <w:rPr>
          <w:rFonts w:hint="eastAsia" w:ascii="宋体" w:hAnsi="宋体" w:eastAsia="宋体" w:cs="宋体"/>
          <w:b w:val="0"/>
          <w:bCs w:val="0"/>
          <w:i w:val="0"/>
          <w:iCs w:val="0"/>
          <w:caps w:val="0"/>
          <w:color w:val="auto"/>
          <w:spacing w:val="0"/>
          <w:sz w:val="24"/>
          <w:szCs w:val="24"/>
          <w:shd w:val="clear" w:fill="FFFFFF"/>
        </w:rPr>
        <w:t>元</w:t>
      </w:r>
    </w:p>
    <w:tbl>
      <w:tblPr>
        <w:tblStyle w:val="42"/>
        <w:tblW w:w="1034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90"/>
        <w:gridCol w:w="2269"/>
        <w:gridCol w:w="2115"/>
        <w:gridCol w:w="1471"/>
        <w:gridCol w:w="1878"/>
        <w:gridCol w:w="1623"/>
      </w:tblGrid>
      <w:tr w14:paraId="576454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8" w:hRule="atLeast"/>
          <w:tblHeader/>
          <w:jc w:val="center"/>
        </w:trPr>
        <w:tc>
          <w:tcPr>
            <w:tcW w:w="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99FB9E">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22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8F13D8">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1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5CE7A3">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0000FF"/>
                <w:sz w:val="24"/>
                <w:szCs w:val="24"/>
              </w:rPr>
            </w:pPr>
            <w:r>
              <w:rPr>
                <w:rFonts w:hint="eastAsia" w:ascii="宋体" w:hAnsi="宋体" w:eastAsia="宋体" w:cs="宋体"/>
                <w:b/>
                <w:bCs/>
                <w:color w:val="auto"/>
                <w:kern w:val="0"/>
                <w:sz w:val="24"/>
                <w:szCs w:val="24"/>
                <w:lang w:val="en-US" w:eastAsia="zh-CN" w:bidi="ar"/>
              </w:rPr>
              <w:t>采购标的</w:t>
            </w:r>
          </w:p>
        </w:tc>
        <w:tc>
          <w:tcPr>
            <w:tcW w:w="14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539426">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数量</w:t>
            </w:r>
          </w:p>
          <w:p w14:paraId="1E083889">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（单位）</w:t>
            </w:r>
          </w:p>
        </w:tc>
        <w:tc>
          <w:tcPr>
            <w:tcW w:w="18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9397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技术规格、参数及要求</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461F1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15669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46" w:hRule="atLeast"/>
          <w:jc w:val="center"/>
        </w:trPr>
        <w:tc>
          <w:tcPr>
            <w:tcW w:w="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41A130">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22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173687">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其他食品及加工盐</w:t>
            </w:r>
          </w:p>
        </w:tc>
        <w:tc>
          <w:tcPr>
            <w:tcW w:w="21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54C9B9">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献血者用食品</w:t>
            </w:r>
          </w:p>
        </w:tc>
        <w:tc>
          <w:tcPr>
            <w:tcW w:w="14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174E12">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1(批)</w:t>
            </w:r>
          </w:p>
        </w:tc>
        <w:tc>
          <w:tcPr>
            <w:tcW w:w="18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9CA26C">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8D30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lang w:eastAsia="zh-CN"/>
              </w:rPr>
              <w:t>120000.00</w:t>
            </w:r>
          </w:p>
        </w:tc>
      </w:tr>
    </w:tbl>
    <w:p w14:paraId="30547B8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3C80DC0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63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自签订合同起按实际使用需求分批供货至预</w:t>
      </w:r>
      <w:bookmarkStart w:id="379" w:name="_GoBack"/>
      <w:bookmarkEnd w:id="379"/>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算金额用完。接到订货通知起5个工作日内完成交货</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063B23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二、申请人的资格要求：</w:t>
      </w:r>
    </w:p>
    <w:p w14:paraId="0D0D05B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一</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满足《中华人民共和国政府采购法》第二十二条规定;</w:t>
      </w:r>
    </w:p>
    <w:p w14:paraId="4447C8F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二</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落实政府采购政策需满足的资格要求：</w:t>
      </w:r>
    </w:p>
    <w:p w14:paraId="4329619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eastAsia="zh-CN"/>
        </w:rPr>
        <w:t>安康市中心血站献血服务食品采购项目</w:t>
      </w:r>
      <w:r>
        <w:rPr>
          <w:rFonts w:hint="eastAsia" w:ascii="宋体" w:hAnsi="宋体" w:eastAsia="宋体" w:cs="宋体"/>
          <w:i w:val="0"/>
          <w:iCs w:val="0"/>
          <w:caps w:val="0"/>
          <w:color w:val="333333"/>
          <w:spacing w:val="0"/>
          <w:sz w:val="24"/>
          <w:szCs w:val="24"/>
          <w:shd w:val="clear" w:fill="FFFFFF"/>
        </w:rPr>
        <w:t>)落实政府采购政策需满足的资格要求如下:</w:t>
      </w:r>
    </w:p>
    <w:p w14:paraId="1DA6669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p>
    <w:p w14:paraId="4A50EEC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2138E18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w:t>
      </w: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5CCB49C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3.《财政部发展改革委生态环境部市场监管总局关于调整优化节能产品、环境标志产品政府采购执行机制的通知》（财库〔2019〕9号）；</w:t>
      </w:r>
    </w:p>
    <w:p w14:paraId="28B5DC8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4.《财政部民政部中国残疾人联合会关于促进残疾人就业政府采购政策的通知》（财库〔2017〕141号）；</w:t>
      </w:r>
    </w:p>
    <w:p w14:paraId="0D88C02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5.《财政部国务院扶贫办关于运用政府采购政策支持脱贫攻坚的通知》（财库〔2019〕27号）；</w:t>
      </w:r>
    </w:p>
    <w:p w14:paraId="4AE57CC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6.《陕西省财政厅关于加快推进我省中小企业政府采购信用融资工作的通知》（陕财办采〔2020〕15号）、陕西省财政厅关于印发《陕西省中小企业政府采购信用融资办法》（陕财办采〔2018〕23号）；</w:t>
      </w:r>
    </w:p>
    <w:p w14:paraId="5E0FCD8E">
      <w:pPr>
        <w:pStyle w:val="33"/>
        <w:wordWrap w:val="0"/>
        <w:adjustRightInd w:val="0"/>
        <w:snapToGrid w:val="0"/>
        <w:spacing w:before="0" w:beforeAutospacing="0" w:after="0" w:afterAutospacing="0" w:line="360" w:lineRule="auto"/>
        <w:ind w:firstLine="480"/>
        <w:jc w:val="both"/>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lang w:val="en-US" w:eastAsia="zh-CN"/>
        </w:rPr>
        <w:t>7.</w:t>
      </w:r>
      <w:r>
        <w:rPr>
          <w:rFonts w:hint="eastAsia" w:ascii="宋体" w:hAnsi="宋体" w:eastAsia="宋体" w:cs="宋体"/>
          <w:color w:val="333333"/>
          <w:szCs w:val="24"/>
          <w:shd w:val="clear" w:color="auto" w:fill="FFFFFF"/>
        </w:rPr>
        <w:t>《国务院办公厅关于在政府采购中实施本国产品标准及相关政策的通知》（国办发〔2025〕34号）。</w:t>
      </w:r>
    </w:p>
    <w:p w14:paraId="47F2427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rPr>
        <w:t>其他需要落实的政府采购政策。</w:t>
      </w:r>
    </w:p>
    <w:p w14:paraId="25AA1DD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lang w:val="en-US" w:eastAsia="zh-CN"/>
        </w:rPr>
        <w:t>三</w:t>
      </w:r>
      <w:r>
        <w:rPr>
          <w:rFonts w:hint="eastAsia" w:ascii="宋体" w:hAnsi="宋体" w:eastAsia="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本项目的特定资格要求：</w:t>
      </w:r>
    </w:p>
    <w:p w14:paraId="5B4AC8D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合同包</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lang w:eastAsia="zh-CN"/>
        </w:rPr>
        <w:t>安康市中心血站献血服务食品采购项目</w:t>
      </w:r>
      <w:r>
        <w:rPr>
          <w:rFonts w:hint="eastAsia" w:ascii="宋体" w:hAnsi="宋体" w:eastAsia="宋体" w:cs="宋体"/>
          <w:i w:val="0"/>
          <w:iCs w:val="0"/>
          <w:caps w:val="0"/>
          <w:color w:val="333333"/>
          <w:spacing w:val="0"/>
          <w:sz w:val="24"/>
          <w:szCs w:val="24"/>
          <w:shd w:val="clear" w:fill="FFFFFF"/>
        </w:rPr>
        <w:t>)特定资格要求如下:</w:t>
      </w:r>
    </w:p>
    <w:p w14:paraId="25C450F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eastAsia="宋体" w:cs="宋体"/>
          <w:i w:val="0"/>
          <w:iCs w:val="0"/>
          <w:caps w:val="0"/>
          <w:color w:val="333333"/>
          <w:spacing w:val="0"/>
          <w:sz w:val="24"/>
          <w:szCs w:val="24"/>
          <w:shd w:val="clear" w:fill="FFFFFF"/>
          <w:lang w:eastAsia="zh-CN"/>
        </w:rPr>
        <w:t>自然人参与的提供其身份证明</w:t>
      </w:r>
      <w:r>
        <w:rPr>
          <w:rFonts w:hint="eastAsia" w:ascii="宋体" w:hAnsi="宋体" w:eastAsia="宋体" w:cs="宋体"/>
          <w:i w:val="0"/>
          <w:iCs w:val="0"/>
          <w:caps w:val="0"/>
          <w:color w:val="333333"/>
          <w:spacing w:val="0"/>
          <w:sz w:val="24"/>
          <w:szCs w:val="24"/>
          <w:shd w:val="clear" w:fill="FFFFFF"/>
        </w:rPr>
        <w:t>。</w:t>
      </w:r>
    </w:p>
    <w:p w14:paraId="1DFCC18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w:t>
      </w:r>
      <w:r>
        <w:rPr>
          <w:rFonts w:hint="eastAsia" w:ascii="宋体" w:hAnsi="宋体" w:eastAsia="宋体" w:cs="宋体"/>
          <w:i w:val="0"/>
          <w:iCs w:val="0"/>
          <w:caps w:val="0"/>
          <w:color w:val="333333"/>
          <w:spacing w:val="0"/>
          <w:sz w:val="24"/>
          <w:szCs w:val="24"/>
          <w:shd w:val="clear" w:fill="FFFFFF"/>
        </w:rPr>
        <w:t>法定代表人授权书及被授权人身份证明资料（法定代表人直接投标时需提交其身份证明资料）（非法人投标供应商参照执行）。</w:t>
      </w:r>
    </w:p>
    <w:p w14:paraId="2AD7C1F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36D79F9C">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59D7A8B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w:t>
      </w:r>
      <w:r>
        <w:rPr>
          <w:rFonts w:hint="eastAsia" w:ascii="宋体" w:hAnsi="宋体" w:eastAsia="宋体" w:cs="宋体"/>
          <w:i w:val="0"/>
          <w:iCs w:val="0"/>
          <w:caps w:val="0"/>
          <w:color w:val="333333"/>
          <w:spacing w:val="0"/>
          <w:sz w:val="24"/>
          <w:szCs w:val="24"/>
          <w:shd w:val="clear" w:fill="FFFFFF"/>
          <w:lang w:val="en-US" w:eastAsia="zh-CN"/>
        </w:rPr>
        <w:t>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3348DAE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6.税收缴纳证明：提供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3A1CC97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7.社会保障资金缴纳证明：提供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20917A90">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rPr>
        <w:t>本项目不接受联合体投标。</w:t>
      </w:r>
    </w:p>
    <w:p w14:paraId="26A1F59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9.提供具有履行合同所必需的设备和专业技术能力的承诺书（格式自拟）。</w:t>
      </w:r>
    </w:p>
    <w:p w14:paraId="7B9156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三、获取采购文件</w:t>
      </w:r>
    </w:p>
    <w:p w14:paraId="430DD5D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28</w:t>
      </w:r>
      <w:r>
        <w:rPr>
          <w:rFonts w:hint="eastAsia" w:ascii="宋体" w:hAnsi="宋体" w:eastAsia="宋体" w:cs="宋体"/>
          <w:i w:val="0"/>
          <w:iCs w:val="0"/>
          <w:caps w:val="0"/>
          <w:color w:val="auto"/>
          <w:spacing w:val="0"/>
          <w:sz w:val="24"/>
          <w:szCs w:val="24"/>
          <w:shd w:val="clear" w:fill="FFFFFF"/>
        </w:rPr>
        <w:t>日至2026年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日，每天上午08:00:00至12:00:00，下午14:00:00至18:00:00（北京时间）</w:t>
      </w:r>
    </w:p>
    <w:p w14:paraId="5DD5F7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途径：安康市高新区高新观澜8栋二单元801室</w:t>
      </w:r>
    </w:p>
    <w:p w14:paraId="2EFF522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39ED625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ascii="宋体" w:hAnsi="宋体" w:eastAsia="宋体" w:cs="宋体"/>
          <w:i w:val="0"/>
          <w:iCs w:val="0"/>
          <w:caps w:val="0"/>
          <w:color w:val="auto"/>
          <w:spacing w:val="0"/>
          <w:sz w:val="24"/>
          <w:szCs w:val="24"/>
          <w:shd w:val="clear" w:fill="FFFFFF"/>
          <w:lang w:val="en-US" w:eastAsia="zh-CN"/>
        </w:rPr>
        <w:t>200.00</w:t>
      </w:r>
      <w:r>
        <w:rPr>
          <w:rFonts w:hint="eastAsia" w:ascii="宋体" w:hAnsi="宋体" w:eastAsia="宋体" w:cs="宋体"/>
          <w:i w:val="0"/>
          <w:iCs w:val="0"/>
          <w:caps w:val="0"/>
          <w:color w:val="auto"/>
          <w:spacing w:val="0"/>
          <w:sz w:val="24"/>
          <w:szCs w:val="24"/>
          <w:shd w:val="clear" w:fill="FFFFFF"/>
        </w:rPr>
        <w:t>元</w:t>
      </w:r>
    </w:p>
    <w:p w14:paraId="411CD8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45"/>
          <w:rFonts w:hint="eastAsia" w:ascii="宋体" w:hAnsi="宋体" w:eastAsia="宋体" w:cs="宋体"/>
          <w:b/>
          <w:bCs/>
          <w:i w:val="0"/>
          <w:iCs w:val="0"/>
          <w:caps w:val="0"/>
          <w:color w:val="auto"/>
          <w:spacing w:val="0"/>
          <w:sz w:val="24"/>
          <w:szCs w:val="24"/>
          <w:shd w:val="clear" w:fill="FFFFFF"/>
        </w:rPr>
        <w:t>四、响应文件提交</w:t>
      </w:r>
    </w:p>
    <w:p w14:paraId="780C911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截止时间：2026年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时00分00秒（北京时间）</w:t>
      </w:r>
    </w:p>
    <w:p w14:paraId="2D185BE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地点：安康市高新区高新观澜8栋二单元801室</w:t>
      </w:r>
    </w:p>
    <w:p w14:paraId="536EFF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45"/>
          <w:rFonts w:hint="eastAsia" w:ascii="宋体" w:hAnsi="宋体" w:eastAsia="宋体" w:cs="宋体"/>
          <w:b/>
          <w:bCs/>
          <w:i w:val="0"/>
          <w:iCs w:val="0"/>
          <w:caps w:val="0"/>
          <w:color w:val="auto"/>
          <w:spacing w:val="0"/>
          <w:sz w:val="24"/>
          <w:szCs w:val="24"/>
          <w:shd w:val="clear" w:fill="FFFFFF"/>
        </w:rPr>
        <w:t>五、开启</w:t>
      </w:r>
    </w:p>
    <w:p w14:paraId="6B7A602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时00分00秒（北京时</w:t>
      </w:r>
      <w:r>
        <w:rPr>
          <w:rFonts w:hint="eastAsia" w:ascii="宋体" w:hAnsi="宋体" w:eastAsia="宋体" w:cs="宋体"/>
          <w:i w:val="0"/>
          <w:iCs w:val="0"/>
          <w:caps w:val="0"/>
          <w:color w:val="333333"/>
          <w:spacing w:val="0"/>
          <w:sz w:val="24"/>
          <w:szCs w:val="24"/>
          <w:shd w:val="clear" w:fill="FFFFFF"/>
        </w:rPr>
        <w:t>间）</w:t>
      </w:r>
    </w:p>
    <w:p w14:paraId="694DB6A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地点：安康市高新区高新观澜8栋二单元801室</w:t>
      </w:r>
    </w:p>
    <w:p w14:paraId="5E3B01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六、公告期限</w:t>
      </w:r>
    </w:p>
    <w:p w14:paraId="08498C2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自本公告发布之日起3个工作日。</w:t>
      </w:r>
    </w:p>
    <w:p w14:paraId="17DD74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七、其他补充事宜</w:t>
      </w:r>
    </w:p>
    <w:p w14:paraId="65F5EB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Style w:val="45"/>
          <w:rFonts w:hint="eastAsia" w:ascii="宋体" w:hAnsi="宋体" w:eastAsia="宋体" w:cs="宋体"/>
          <w:b/>
          <w:bCs/>
          <w:i w:val="0"/>
          <w:iCs w:val="0"/>
          <w:caps w:val="0"/>
          <w:color w:val="auto"/>
          <w:spacing w:val="0"/>
          <w:sz w:val="24"/>
          <w:szCs w:val="24"/>
          <w:shd w:val="clear" w:fill="FFFFFF"/>
        </w:rPr>
      </w:pPr>
      <w:r>
        <w:rPr>
          <w:rStyle w:val="45"/>
          <w:rFonts w:hint="eastAsia" w:ascii="宋体" w:hAnsi="宋体" w:eastAsia="宋体" w:cs="宋体"/>
          <w:b/>
          <w:bCs/>
          <w:i w:val="0"/>
          <w:iCs w:val="0"/>
          <w:caps w:val="0"/>
          <w:color w:val="auto"/>
          <w:spacing w:val="0"/>
          <w:sz w:val="24"/>
          <w:szCs w:val="24"/>
          <w:shd w:val="clear" w:fill="FFFFFF"/>
        </w:rPr>
        <w:t>获取须知：投标供应商请在文件获取时间以内将单位介绍信（备注经办人联系电话及电子邮箱）及身份证复印件加盖公章递交至安康尚昊招标代理有限公司（安康市高新区高新观澜8幢2单元801室），进行</w:t>
      </w:r>
      <w:r>
        <w:rPr>
          <w:rStyle w:val="45"/>
          <w:rFonts w:hint="eastAsia" w:ascii="宋体" w:hAnsi="宋体" w:eastAsia="宋体" w:cs="宋体"/>
          <w:b/>
          <w:bCs/>
          <w:i w:val="0"/>
          <w:iCs w:val="0"/>
          <w:caps w:val="0"/>
          <w:color w:val="auto"/>
          <w:spacing w:val="0"/>
          <w:sz w:val="24"/>
          <w:szCs w:val="24"/>
          <w:shd w:val="clear" w:fill="FFFFFF"/>
          <w:lang w:val="en-US" w:eastAsia="zh-CN"/>
        </w:rPr>
        <w:t>领取谈判</w:t>
      </w:r>
      <w:r>
        <w:rPr>
          <w:rStyle w:val="45"/>
          <w:rFonts w:hint="eastAsia" w:ascii="宋体" w:hAnsi="宋体" w:eastAsia="宋体" w:cs="宋体"/>
          <w:b/>
          <w:bCs/>
          <w:i w:val="0"/>
          <w:iCs w:val="0"/>
          <w:caps w:val="0"/>
          <w:color w:val="auto"/>
          <w:spacing w:val="0"/>
          <w:sz w:val="24"/>
          <w:szCs w:val="24"/>
          <w:shd w:val="clear" w:fill="FFFFFF"/>
        </w:rPr>
        <w:t>文件。</w:t>
      </w:r>
    </w:p>
    <w:p w14:paraId="136A4F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45"/>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60AC29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0196C04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ascii="宋体" w:hAnsi="宋体" w:eastAsia="宋体" w:cs="宋体"/>
          <w:i w:val="0"/>
          <w:iCs w:val="0"/>
          <w:caps w:val="0"/>
          <w:color w:val="auto"/>
          <w:spacing w:val="0"/>
          <w:sz w:val="24"/>
          <w:szCs w:val="24"/>
          <w:shd w:val="clear" w:fill="FFFFFF"/>
          <w:lang w:eastAsia="zh-CN"/>
        </w:rPr>
        <w:t>安康市中心血站</w:t>
      </w:r>
    </w:p>
    <w:p w14:paraId="56A0492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安康市汉滨区花园大道卫生公共服务中心A栋</w:t>
      </w:r>
    </w:p>
    <w:p w14:paraId="0BB9E1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宋体" w:hAnsi="宋体" w:eastAsia="宋体" w:cs="宋体"/>
          <w:b w:val="0"/>
          <w:bCs w:val="0"/>
          <w:i w:val="0"/>
          <w:iCs w:val="0"/>
          <w:caps w:val="0"/>
          <w:color w:val="auto"/>
          <w:spacing w:val="0"/>
          <w:kern w:val="0"/>
          <w:sz w:val="24"/>
          <w:szCs w:val="24"/>
          <w:shd w:val="clear" w:fill="FFFFFF"/>
          <w:lang w:val="en-US" w:eastAsia="zh-CN" w:bidi="ar-SA"/>
        </w:rPr>
      </w:pPr>
      <w:r>
        <w:rPr>
          <w:rFonts w:hint="eastAsia" w:ascii="宋体" w:hAnsi="宋体" w:eastAsia="宋体" w:cs="宋体"/>
          <w:b w:val="0"/>
          <w:bCs w:val="0"/>
          <w:i w:val="0"/>
          <w:iCs w:val="0"/>
          <w:caps w:val="0"/>
          <w:color w:val="auto"/>
          <w:spacing w:val="0"/>
          <w:kern w:val="0"/>
          <w:sz w:val="24"/>
          <w:szCs w:val="24"/>
          <w:shd w:val="clear" w:fill="FFFFFF"/>
          <w:lang w:val="en-US" w:eastAsia="zh-CN" w:bidi="ar-SA"/>
        </w:rPr>
        <w:t>联系方式：</w:t>
      </w:r>
      <w:r>
        <w:rPr>
          <w:rFonts w:hint="eastAsia" w:cs="宋体"/>
          <w:b w:val="0"/>
          <w:bCs w:val="0"/>
          <w:i w:val="0"/>
          <w:iCs w:val="0"/>
          <w:caps w:val="0"/>
          <w:color w:val="auto"/>
          <w:spacing w:val="0"/>
          <w:kern w:val="0"/>
          <w:sz w:val="24"/>
          <w:szCs w:val="24"/>
          <w:shd w:val="clear" w:fill="FFFFFF"/>
          <w:lang w:val="en-US" w:eastAsia="zh-CN" w:bidi="ar-SA"/>
        </w:rPr>
        <w:t>15399159933</w:t>
      </w:r>
    </w:p>
    <w:p w14:paraId="344129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640C7B1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名称：安康尚昊招标代理有限公司</w:t>
      </w:r>
    </w:p>
    <w:p w14:paraId="27E2D46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地址：陕西省安康市高新区高新观澜8栋二单元801室</w:t>
      </w:r>
    </w:p>
    <w:p w14:paraId="3CFE7E7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fill="FFFFFF"/>
        </w:rPr>
        <w:t>联系方式：1</w:t>
      </w:r>
      <w:r>
        <w:rPr>
          <w:rFonts w:hint="eastAsia" w:ascii="宋体" w:hAnsi="宋体" w:eastAsia="宋体"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rPr>
        <w:t>991</w:t>
      </w:r>
      <w:r>
        <w:rPr>
          <w:rFonts w:hint="eastAsia" w:ascii="宋体" w:hAnsi="宋体" w:eastAsia="宋体" w:cs="宋体"/>
          <w:i w:val="0"/>
          <w:iCs w:val="0"/>
          <w:caps w:val="0"/>
          <w:color w:val="333333"/>
          <w:spacing w:val="0"/>
          <w:sz w:val="24"/>
          <w:szCs w:val="24"/>
          <w:shd w:val="clear" w:fill="FFFFFF"/>
          <w:lang w:val="en-US" w:eastAsia="zh-CN"/>
        </w:rPr>
        <w:t>519725</w:t>
      </w:r>
    </w:p>
    <w:p w14:paraId="4EFD95B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1BECA6A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w:t>
      </w:r>
      <w:r>
        <w:rPr>
          <w:rFonts w:hint="eastAsia" w:ascii="宋体" w:hAnsi="宋体" w:eastAsia="宋体" w:cs="宋体"/>
          <w:i w:val="0"/>
          <w:iCs w:val="0"/>
          <w:caps w:val="0"/>
          <w:color w:val="333333"/>
          <w:spacing w:val="0"/>
          <w:sz w:val="24"/>
          <w:szCs w:val="24"/>
          <w:shd w:val="clear" w:fill="FFFFFF"/>
          <w:lang w:eastAsia="zh-CN"/>
        </w:rPr>
        <w:t>郑</w:t>
      </w:r>
      <w:r>
        <w:rPr>
          <w:rFonts w:hint="eastAsia" w:ascii="宋体" w:hAnsi="宋体" w:eastAsia="宋体" w:cs="宋体"/>
          <w:i w:val="0"/>
          <w:iCs w:val="0"/>
          <w:caps w:val="0"/>
          <w:color w:val="333333"/>
          <w:spacing w:val="0"/>
          <w:sz w:val="24"/>
          <w:szCs w:val="24"/>
          <w:shd w:val="clear" w:fill="FFFFFF"/>
        </w:rPr>
        <w:t>工</w:t>
      </w:r>
    </w:p>
    <w:p w14:paraId="624C1EF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电话：</w:t>
      </w:r>
      <w:r>
        <w:rPr>
          <w:rFonts w:hint="eastAsia" w:ascii="宋体" w:hAnsi="宋体" w:eastAsia="宋体" w:cs="宋体"/>
          <w:i w:val="0"/>
          <w:iCs w:val="0"/>
          <w:caps w:val="0"/>
          <w:color w:val="333333"/>
          <w:spacing w:val="0"/>
          <w:sz w:val="24"/>
          <w:szCs w:val="24"/>
          <w:shd w:val="clear" w:fill="FFFFFF"/>
          <w:lang w:eastAsia="zh-CN"/>
        </w:rPr>
        <w:t>13991519725</w:t>
      </w:r>
    </w:p>
    <w:p w14:paraId="0EED2FA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安康尚昊招标代理有限公司</w:t>
      </w:r>
    </w:p>
    <w:p w14:paraId="422A212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jc w:val="right"/>
        <w:textAlignment w:val="auto"/>
        <w:rPr>
          <w:rFonts w:hint="default" w:ascii="宋体" w:hAnsi="宋体" w:eastAsia="宋体" w:cs="宋体"/>
          <w:i w:val="0"/>
          <w:iCs w:val="0"/>
          <w:caps w:val="0"/>
          <w:color w:val="auto"/>
          <w:spacing w:val="0"/>
          <w:sz w:val="24"/>
          <w:szCs w:val="24"/>
          <w:shd w:val="clear" w:fill="FFFFFF"/>
          <w:lang w:val="en-US" w:eastAsia="zh-CN"/>
        </w:rPr>
      </w:pPr>
      <w:r>
        <w:rPr>
          <w:rFonts w:hint="default" w:ascii="宋体" w:hAnsi="宋体" w:eastAsia="宋体" w:cs="宋体"/>
          <w:i w:val="0"/>
          <w:iCs w:val="0"/>
          <w:caps w:val="0"/>
          <w:color w:val="333333"/>
          <w:spacing w:val="0"/>
          <w:sz w:val="24"/>
          <w:szCs w:val="24"/>
          <w:shd w:val="clear" w:fill="FFFFFF"/>
          <w:lang w:val="en-US" w:eastAsia="zh-CN"/>
        </w:rPr>
        <w:t>2026</w:t>
      </w:r>
      <w:r>
        <w:rPr>
          <w:rFonts w:hint="default" w:ascii="宋体" w:hAnsi="宋体" w:eastAsia="宋体" w:cs="宋体"/>
          <w:i w:val="0"/>
          <w:iCs w:val="0"/>
          <w:caps w:val="0"/>
          <w:color w:val="auto"/>
          <w:spacing w:val="0"/>
          <w:sz w:val="24"/>
          <w:szCs w:val="24"/>
          <w:shd w:val="clear" w:fill="FFFFFF"/>
          <w:lang w:val="en-US" w:eastAsia="zh-CN"/>
        </w:rPr>
        <w:t>年</w:t>
      </w:r>
      <w:r>
        <w:rPr>
          <w:rFonts w:hint="eastAsia" w:ascii="宋体" w:hAnsi="宋体" w:eastAsia="宋体" w:cs="宋体"/>
          <w:i w:val="0"/>
          <w:iCs w:val="0"/>
          <w:caps w:val="0"/>
          <w:color w:val="auto"/>
          <w:spacing w:val="0"/>
          <w:sz w:val="24"/>
          <w:szCs w:val="24"/>
          <w:shd w:val="clear" w:fill="FFFFFF"/>
          <w:lang w:val="en-US" w:eastAsia="zh-CN"/>
        </w:rPr>
        <w:t>8</w:t>
      </w:r>
      <w:r>
        <w:rPr>
          <w:rFonts w:hint="default" w:ascii="宋体" w:hAnsi="宋体" w:eastAsia="宋体" w:cs="宋体"/>
          <w:i w:val="0"/>
          <w:iCs w:val="0"/>
          <w:caps w:val="0"/>
          <w:color w:val="auto"/>
          <w:spacing w:val="0"/>
          <w:sz w:val="24"/>
          <w:szCs w:val="24"/>
          <w:shd w:val="clear" w:fill="FFFFFF"/>
          <w:lang w:val="en-US" w:eastAsia="zh-CN"/>
        </w:rPr>
        <w:t>月</w:t>
      </w:r>
      <w:r>
        <w:rPr>
          <w:rFonts w:hint="eastAsia" w:ascii="宋体" w:hAnsi="宋体" w:eastAsia="宋体" w:cs="宋体"/>
          <w:i w:val="0"/>
          <w:iCs w:val="0"/>
          <w:caps w:val="0"/>
          <w:color w:val="auto"/>
          <w:spacing w:val="0"/>
          <w:sz w:val="24"/>
          <w:szCs w:val="24"/>
          <w:shd w:val="clear" w:fill="FFFFFF"/>
          <w:lang w:val="en-US" w:eastAsia="zh-CN"/>
        </w:rPr>
        <w:t>27</w:t>
      </w:r>
      <w:r>
        <w:rPr>
          <w:rFonts w:hint="default" w:ascii="宋体" w:hAnsi="宋体" w:eastAsia="宋体" w:cs="宋体"/>
          <w:i w:val="0"/>
          <w:iCs w:val="0"/>
          <w:caps w:val="0"/>
          <w:color w:val="auto"/>
          <w:spacing w:val="0"/>
          <w:sz w:val="24"/>
          <w:szCs w:val="24"/>
          <w:shd w:val="clear" w:fill="FFFFFF"/>
          <w:lang w:val="en-US" w:eastAsia="zh-CN"/>
        </w:rPr>
        <w:t>日</w:t>
      </w:r>
    </w:p>
    <w:p w14:paraId="6A03FF77">
      <w:pPr>
        <w:keepNext w:val="0"/>
        <w:keepLines w:val="0"/>
        <w:pageBreakBefore w:val="0"/>
        <w:widowControl/>
        <w:kinsoku/>
        <w:wordWrap/>
        <w:overflowPunct/>
        <w:topLinePunct w:val="0"/>
        <w:autoSpaceDE/>
        <w:autoSpaceDN/>
        <w:bidi w:val="0"/>
        <w:adjustRightInd/>
        <w:spacing w:line="460" w:lineRule="exact"/>
        <w:jc w:val="left"/>
        <w:textAlignment w:val="auto"/>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br w:type="page"/>
      </w:r>
    </w:p>
    <w:p w14:paraId="081E5855">
      <w:pPr>
        <w:pStyle w:val="2"/>
        <w:keepNext/>
        <w:keepLines/>
        <w:pageBreakBefore w:val="0"/>
        <w:widowControl/>
        <w:tabs>
          <w:tab w:val="center" w:pos="4433"/>
          <w:tab w:val="left" w:pos="7415"/>
        </w:tabs>
        <w:kinsoku/>
        <w:wordWrap/>
        <w:overflowPunct/>
        <w:topLinePunct w:val="0"/>
        <w:autoSpaceDE/>
        <w:autoSpaceDN/>
        <w:bidi w:val="0"/>
        <w:adjustRightInd/>
        <w:snapToGrid/>
        <w:spacing w:after="196" w:afterLines="50"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bookmarkStart w:id="25" w:name="_Toc7113"/>
      <w:r>
        <w:rPr>
          <w:rFonts w:hint="eastAsia" w:ascii="宋体" w:hAnsi="宋体" w:eastAsia="宋体" w:cs="宋体"/>
          <w:color w:val="auto"/>
          <w:highlight w:val="none"/>
        </w:rPr>
        <w:t>第二章  供应商须知</w:t>
      </w:r>
      <w:bookmarkEnd w:id="17"/>
      <w:bookmarkEnd w:id="18"/>
      <w:bookmarkEnd w:id="19"/>
      <w:bookmarkEnd w:id="20"/>
      <w:bookmarkEnd w:id="21"/>
      <w:bookmarkEnd w:id="22"/>
      <w:bookmarkEnd w:id="23"/>
      <w:bookmarkEnd w:id="24"/>
      <w:bookmarkEnd w:id="25"/>
    </w:p>
    <w:p w14:paraId="7320D5A2">
      <w:pPr>
        <w:keepNext w:val="0"/>
        <w:keepLines w:val="0"/>
        <w:pageBreakBefore w:val="0"/>
        <w:widowControl/>
        <w:kinsoku/>
        <w:wordWrap/>
        <w:overflowPunct/>
        <w:topLinePunct w:val="0"/>
        <w:autoSpaceDE/>
        <w:autoSpaceDN/>
        <w:bidi w:val="0"/>
        <w:adjustRightInd/>
        <w:snapToGrid/>
        <w:spacing w:after="196" w:afterLines="50" w:line="460" w:lineRule="exact"/>
        <w:jc w:val="center"/>
        <w:textAlignment w:val="auto"/>
        <w:outlineLvl w:val="9"/>
        <w:rPr>
          <w:rFonts w:ascii="宋体" w:hAnsi="宋体" w:eastAsia="宋体"/>
          <w:b/>
          <w:bCs/>
          <w:color w:val="auto"/>
          <w:kern w:val="44"/>
          <w:sz w:val="36"/>
          <w:szCs w:val="44"/>
          <w:highlight w:val="none"/>
        </w:rPr>
      </w:pPr>
      <w:r>
        <w:rPr>
          <w:rFonts w:hint="eastAsia" w:ascii="宋体" w:hAnsi="宋体" w:eastAsia="宋体"/>
          <w:b/>
          <w:bCs/>
          <w:color w:val="auto"/>
          <w:kern w:val="44"/>
          <w:sz w:val="36"/>
          <w:szCs w:val="44"/>
          <w:highlight w:val="none"/>
        </w:rPr>
        <w:t>须知前附表</w:t>
      </w:r>
    </w:p>
    <w:tbl>
      <w:tblPr>
        <w:tblStyle w:val="42"/>
        <w:tblW w:w="9609" w:type="dxa"/>
        <w:jc w:val="center"/>
        <w:tblLayout w:type="fixed"/>
        <w:tblCellMar>
          <w:top w:w="0" w:type="dxa"/>
          <w:left w:w="108" w:type="dxa"/>
          <w:bottom w:w="0" w:type="dxa"/>
          <w:right w:w="108" w:type="dxa"/>
        </w:tblCellMar>
      </w:tblPr>
      <w:tblGrid>
        <w:gridCol w:w="705"/>
        <w:gridCol w:w="1911"/>
        <w:gridCol w:w="6993"/>
      </w:tblGrid>
      <w:tr w14:paraId="2DB8CDBC">
        <w:tblPrEx>
          <w:tblCellMar>
            <w:top w:w="0" w:type="dxa"/>
            <w:left w:w="108" w:type="dxa"/>
            <w:bottom w:w="0" w:type="dxa"/>
            <w:right w:w="108" w:type="dxa"/>
          </w:tblCellMar>
        </w:tblPrEx>
        <w:trPr>
          <w:trHeight w:val="238"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65F7E09">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b/>
                <w:bCs/>
                <w:color w:val="auto"/>
                <w:kern w:val="0"/>
                <w:sz w:val="24"/>
                <w:szCs w:val="24"/>
                <w:highlight w:val="none"/>
              </w:rPr>
            </w:pPr>
            <w:r>
              <w:rPr>
                <w:rFonts w:hint="eastAsia" w:asciiTheme="minorEastAsia" w:hAnsiTheme="minorEastAsia" w:eastAsiaTheme="minorEastAsia"/>
                <w:b/>
                <w:bCs/>
                <w:color w:val="auto"/>
                <w:kern w:val="0"/>
                <w:sz w:val="24"/>
                <w:szCs w:val="24"/>
                <w:highlight w:val="none"/>
              </w:rPr>
              <w:t>序号</w:t>
            </w:r>
          </w:p>
        </w:tc>
        <w:tc>
          <w:tcPr>
            <w:tcW w:w="1911" w:type="dxa"/>
            <w:tcBorders>
              <w:top w:val="single" w:color="000000" w:sz="4" w:space="0"/>
              <w:left w:val="nil"/>
              <w:bottom w:val="single" w:color="000000" w:sz="4" w:space="0"/>
              <w:right w:val="single" w:color="auto" w:sz="4" w:space="0"/>
            </w:tcBorders>
            <w:vAlign w:val="center"/>
          </w:tcPr>
          <w:p w14:paraId="3CCD5AFE">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b/>
                <w:bCs/>
                <w:color w:val="auto"/>
                <w:kern w:val="0"/>
                <w:sz w:val="24"/>
                <w:szCs w:val="24"/>
                <w:highlight w:val="none"/>
              </w:rPr>
            </w:pPr>
            <w:r>
              <w:rPr>
                <w:rFonts w:hint="default" w:asciiTheme="minorEastAsia" w:hAnsiTheme="minorEastAsia" w:eastAsiaTheme="minorEastAsia"/>
                <w:b/>
                <w:bCs/>
                <w:color w:val="auto"/>
                <w:kern w:val="0"/>
                <w:sz w:val="24"/>
                <w:szCs w:val="24"/>
                <w:highlight w:val="none"/>
              </w:rPr>
              <w:t>项目</w:t>
            </w:r>
          </w:p>
        </w:tc>
        <w:tc>
          <w:tcPr>
            <w:tcW w:w="6993" w:type="dxa"/>
            <w:tcBorders>
              <w:top w:val="single" w:color="000000" w:sz="4" w:space="0"/>
              <w:left w:val="single" w:color="auto" w:sz="4" w:space="0"/>
              <w:bottom w:val="single" w:color="000000" w:sz="4" w:space="0"/>
              <w:right w:val="single" w:color="000000" w:sz="4" w:space="0"/>
            </w:tcBorders>
            <w:vAlign w:val="center"/>
          </w:tcPr>
          <w:p w14:paraId="7A921E7F">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b/>
                <w:bCs/>
                <w:color w:val="auto"/>
                <w:kern w:val="0"/>
                <w:sz w:val="24"/>
                <w:szCs w:val="24"/>
                <w:highlight w:val="none"/>
              </w:rPr>
            </w:pPr>
            <w:r>
              <w:rPr>
                <w:rFonts w:hint="eastAsia" w:asciiTheme="minorEastAsia" w:hAnsiTheme="minorEastAsia" w:eastAsiaTheme="minorEastAsia"/>
                <w:b/>
                <w:bCs/>
                <w:color w:val="auto"/>
                <w:kern w:val="0"/>
                <w:sz w:val="24"/>
                <w:szCs w:val="24"/>
                <w:highlight w:val="none"/>
              </w:rPr>
              <w:t>编列内容</w:t>
            </w:r>
          </w:p>
        </w:tc>
      </w:tr>
      <w:tr w14:paraId="1420C5E7">
        <w:tblPrEx>
          <w:tblCellMar>
            <w:top w:w="0" w:type="dxa"/>
            <w:left w:w="108" w:type="dxa"/>
            <w:bottom w:w="0" w:type="dxa"/>
            <w:right w:w="108" w:type="dxa"/>
          </w:tblCellMar>
        </w:tblPrEx>
        <w:trPr>
          <w:trHeight w:val="607"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32E763A3">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7A854D72">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采购人</w:t>
            </w:r>
          </w:p>
        </w:tc>
        <w:tc>
          <w:tcPr>
            <w:tcW w:w="6993" w:type="dxa"/>
            <w:tcBorders>
              <w:top w:val="single" w:color="000000" w:sz="4" w:space="0"/>
              <w:left w:val="single" w:color="auto" w:sz="4" w:space="0"/>
              <w:bottom w:val="single" w:color="000000" w:sz="4" w:space="0"/>
              <w:right w:val="single" w:color="000000" w:sz="4" w:space="0"/>
            </w:tcBorders>
            <w:vAlign w:val="center"/>
          </w:tcPr>
          <w:p w14:paraId="38C95746">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textAlignment w:val="auto"/>
              <w:outlineLvl w:val="9"/>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安康市中心血站</w:t>
            </w:r>
          </w:p>
        </w:tc>
      </w:tr>
      <w:tr w14:paraId="44E1B62B">
        <w:tblPrEx>
          <w:tblCellMar>
            <w:top w:w="0" w:type="dxa"/>
            <w:left w:w="108" w:type="dxa"/>
            <w:bottom w:w="0" w:type="dxa"/>
            <w:right w:w="108" w:type="dxa"/>
          </w:tblCellMar>
        </w:tblPrEx>
        <w:trPr>
          <w:trHeight w:val="609"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2D67361D">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7D79CA42">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采购代理机构</w:t>
            </w:r>
          </w:p>
        </w:tc>
        <w:tc>
          <w:tcPr>
            <w:tcW w:w="6993" w:type="dxa"/>
            <w:tcBorders>
              <w:top w:val="single" w:color="000000" w:sz="4" w:space="0"/>
              <w:left w:val="single" w:color="auto" w:sz="4" w:space="0"/>
              <w:bottom w:val="single" w:color="000000" w:sz="4" w:space="0"/>
              <w:right w:val="single" w:color="000000" w:sz="4" w:space="0"/>
            </w:tcBorders>
            <w:vAlign w:val="center"/>
          </w:tcPr>
          <w:p w14:paraId="72CA7E6C">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安康尚昊</w:t>
            </w:r>
            <w:r>
              <w:rPr>
                <w:rFonts w:hint="default" w:asciiTheme="minorEastAsia" w:hAnsiTheme="minorEastAsia" w:eastAsiaTheme="minorEastAsia"/>
                <w:color w:val="auto"/>
                <w:sz w:val="24"/>
                <w:szCs w:val="24"/>
                <w:highlight w:val="none"/>
              </w:rPr>
              <w:t>招标代理有限公司</w:t>
            </w:r>
          </w:p>
        </w:tc>
      </w:tr>
      <w:tr w14:paraId="68559D6A">
        <w:tblPrEx>
          <w:tblCellMar>
            <w:top w:w="0" w:type="dxa"/>
            <w:left w:w="108" w:type="dxa"/>
            <w:bottom w:w="0" w:type="dxa"/>
            <w:right w:w="108" w:type="dxa"/>
          </w:tblCellMar>
        </w:tblPrEx>
        <w:trPr>
          <w:trHeight w:val="600" w:hRule="atLeast"/>
          <w:jc w:val="center"/>
        </w:trPr>
        <w:tc>
          <w:tcPr>
            <w:tcW w:w="705" w:type="dxa"/>
            <w:tcBorders>
              <w:top w:val="single" w:color="000000" w:sz="4" w:space="0"/>
              <w:left w:val="single" w:color="000000" w:sz="4" w:space="0"/>
              <w:bottom w:val="single" w:color="auto" w:sz="4" w:space="0"/>
              <w:right w:val="single" w:color="000000" w:sz="4" w:space="0"/>
            </w:tcBorders>
            <w:vAlign w:val="center"/>
          </w:tcPr>
          <w:p w14:paraId="73AD0A3F">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rPr>
            </w:pPr>
          </w:p>
        </w:tc>
        <w:tc>
          <w:tcPr>
            <w:tcW w:w="1911" w:type="dxa"/>
            <w:tcBorders>
              <w:top w:val="single" w:color="000000" w:sz="4" w:space="0"/>
              <w:left w:val="nil"/>
              <w:bottom w:val="single" w:color="auto" w:sz="4" w:space="0"/>
              <w:right w:val="single" w:color="auto" w:sz="4" w:space="0"/>
            </w:tcBorders>
            <w:vAlign w:val="center"/>
          </w:tcPr>
          <w:p w14:paraId="4F67FB29">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项目名称</w:t>
            </w:r>
          </w:p>
        </w:tc>
        <w:tc>
          <w:tcPr>
            <w:tcW w:w="6993" w:type="dxa"/>
            <w:tcBorders>
              <w:top w:val="single" w:color="000000" w:sz="4" w:space="0"/>
              <w:left w:val="single" w:color="auto" w:sz="4" w:space="0"/>
              <w:bottom w:val="single" w:color="000000" w:sz="4" w:space="0"/>
              <w:right w:val="single" w:color="000000" w:sz="4" w:space="0"/>
            </w:tcBorders>
            <w:vAlign w:val="center"/>
          </w:tcPr>
          <w:p w14:paraId="2DE3C9FE">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textAlignment w:val="auto"/>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安康市中心血站献血服务食品采购项目</w:t>
            </w:r>
          </w:p>
        </w:tc>
      </w:tr>
      <w:tr w14:paraId="5D8F459B">
        <w:tblPrEx>
          <w:tblCellMar>
            <w:top w:w="0" w:type="dxa"/>
            <w:left w:w="108" w:type="dxa"/>
            <w:bottom w:w="0" w:type="dxa"/>
            <w:right w:w="108" w:type="dxa"/>
          </w:tblCellMar>
        </w:tblPrEx>
        <w:trPr>
          <w:trHeight w:val="602" w:hRule="atLeast"/>
          <w:jc w:val="center"/>
        </w:trPr>
        <w:tc>
          <w:tcPr>
            <w:tcW w:w="705" w:type="dxa"/>
            <w:tcBorders>
              <w:top w:val="single" w:color="auto" w:sz="4" w:space="0"/>
              <w:left w:val="single" w:color="000000" w:sz="4" w:space="0"/>
              <w:right w:val="single" w:color="000000" w:sz="4" w:space="0"/>
            </w:tcBorders>
            <w:vAlign w:val="center"/>
          </w:tcPr>
          <w:p w14:paraId="5735A2B4">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rPr>
            </w:pPr>
          </w:p>
        </w:tc>
        <w:tc>
          <w:tcPr>
            <w:tcW w:w="1911" w:type="dxa"/>
            <w:tcBorders>
              <w:top w:val="single" w:color="auto" w:sz="4" w:space="0"/>
              <w:left w:val="nil"/>
              <w:right w:val="single" w:color="auto" w:sz="4" w:space="0"/>
            </w:tcBorders>
            <w:vAlign w:val="center"/>
          </w:tcPr>
          <w:p w14:paraId="042026D3">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eastAsia" w:asciiTheme="minorEastAsia" w:hAnsiTheme="minorEastAsia" w:eastAsiaTheme="minorEastAsia"/>
                <w:color w:val="auto"/>
                <w:kern w:val="0"/>
                <w:sz w:val="24"/>
                <w:szCs w:val="24"/>
                <w:highlight w:val="none"/>
                <w:lang w:eastAsia="zh-CN"/>
              </w:rPr>
            </w:pPr>
            <w:r>
              <w:rPr>
                <w:rFonts w:hint="eastAsia" w:asciiTheme="minorEastAsia" w:hAnsiTheme="minorEastAsia" w:eastAsiaTheme="minorEastAsia"/>
                <w:color w:val="auto"/>
                <w:kern w:val="0"/>
                <w:sz w:val="24"/>
                <w:szCs w:val="24"/>
                <w:highlight w:val="none"/>
                <w:lang w:eastAsia="zh-CN"/>
              </w:rPr>
              <w:t>预算金额</w:t>
            </w:r>
          </w:p>
        </w:tc>
        <w:tc>
          <w:tcPr>
            <w:tcW w:w="6993" w:type="dxa"/>
            <w:tcBorders>
              <w:top w:val="single" w:color="000000" w:sz="4" w:space="0"/>
              <w:left w:val="single" w:color="auto" w:sz="4" w:space="0"/>
              <w:right w:val="single" w:color="000000" w:sz="4" w:space="0"/>
            </w:tcBorders>
            <w:vAlign w:val="center"/>
          </w:tcPr>
          <w:p w14:paraId="6E32E035">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textAlignment w:val="auto"/>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120000.00元</w:t>
            </w:r>
          </w:p>
        </w:tc>
      </w:tr>
      <w:tr w14:paraId="3CA612C3">
        <w:tblPrEx>
          <w:tblCellMar>
            <w:top w:w="0" w:type="dxa"/>
            <w:left w:w="108" w:type="dxa"/>
            <w:bottom w:w="0" w:type="dxa"/>
            <w:right w:w="108" w:type="dxa"/>
          </w:tblCellMar>
        </w:tblPrEx>
        <w:trPr>
          <w:trHeight w:val="602" w:hRule="atLeast"/>
          <w:jc w:val="center"/>
        </w:trPr>
        <w:tc>
          <w:tcPr>
            <w:tcW w:w="705" w:type="dxa"/>
            <w:tcBorders>
              <w:top w:val="single" w:color="auto" w:sz="4" w:space="0"/>
              <w:left w:val="single" w:color="000000" w:sz="4" w:space="0"/>
              <w:right w:val="single" w:color="000000" w:sz="4" w:space="0"/>
            </w:tcBorders>
            <w:vAlign w:val="center"/>
          </w:tcPr>
          <w:p w14:paraId="2BE9C669">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rPr>
            </w:pPr>
          </w:p>
        </w:tc>
        <w:tc>
          <w:tcPr>
            <w:tcW w:w="1911" w:type="dxa"/>
            <w:tcBorders>
              <w:top w:val="single" w:color="auto" w:sz="4" w:space="0"/>
              <w:left w:val="nil"/>
              <w:right w:val="single" w:color="auto" w:sz="4" w:space="0"/>
            </w:tcBorders>
            <w:vAlign w:val="center"/>
          </w:tcPr>
          <w:p w14:paraId="26FEBC7D">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b w:val="0"/>
                <w:bCs w:val="0"/>
                <w:color w:val="auto"/>
                <w:kern w:val="0"/>
                <w:sz w:val="24"/>
                <w:szCs w:val="24"/>
                <w:highlight w:val="none"/>
                <w:lang w:val="en-US" w:eastAsia="zh-CN"/>
              </w:rPr>
            </w:pPr>
            <w:r>
              <w:rPr>
                <w:rFonts w:hint="eastAsia" w:asciiTheme="minorEastAsia" w:hAnsiTheme="minorEastAsia" w:eastAsiaTheme="minorEastAsia"/>
                <w:b w:val="0"/>
                <w:bCs w:val="0"/>
                <w:color w:val="auto"/>
                <w:kern w:val="0"/>
                <w:sz w:val="24"/>
                <w:szCs w:val="24"/>
                <w:highlight w:val="none"/>
                <w:lang w:val="en-US" w:eastAsia="zh-CN"/>
              </w:rPr>
              <w:t>最高限价</w:t>
            </w:r>
          </w:p>
        </w:tc>
        <w:tc>
          <w:tcPr>
            <w:tcW w:w="6993" w:type="dxa"/>
            <w:tcBorders>
              <w:top w:val="single" w:color="000000" w:sz="4" w:space="0"/>
              <w:left w:val="single" w:color="auto" w:sz="4" w:space="0"/>
              <w:right w:val="single" w:color="000000" w:sz="4" w:space="0"/>
            </w:tcBorders>
            <w:vAlign w:val="center"/>
          </w:tcPr>
          <w:p w14:paraId="77A14CA0">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textAlignment w:val="auto"/>
              <w:outlineLvl w:val="9"/>
              <w:rPr>
                <w:rFonts w:hint="default" w:cs="Times New Roman" w:asciiTheme="minorEastAsia" w:hAnsiTheme="minorEastAsia" w:eastAsiaTheme="minorEastAsia"/>
                <w:b w:val="0"/>
                <w:bCs w:val="0"/>
                <w:color w:val="auto"/>
                <w:sz w:val="24"/>
                <w:szCs w:val="24"/>
                <w:highlight w:val="none"/>
                <w:lang w:val="en-US" w:eastAsia="zh-CN"/>
              </w:rPr>
            </w:pPr>
            <w:r>
              <w:rPr>
                <w:rFonts w:hint="eastAsia" w:cs="Times New Roman" w:asciiTheme="minorEastAsia" w:hAnsiTheme="minorEastAsia" w:eastAsiaTheme="minorEastAsia"/>
                <w:b w:val="0"/>
                <w:bCs w:val="0"/>
                <w:color w:val="auto"/>
                <w:sz w:val="24"/>
                <w:szCs w:val="24"/>
                <w:highlight w:val="none"/>
                <w:lang w:val="en-US" w:eastAsia="zh-CN"/>
              </w:rPr>
              <w:t>120000.00元</w:t>
            </w:r>
          </w:p>
        </w:tc>
      </w:tr>
      <w:tr w14:paraId="2DC6B213">
        <w:tblPrEx>
          <w:tblCellMar>
            <w:top w:w="0" w:type="dxa"/>
            <w:left w:w="108" w:type="dxa"/>
            <w:bottom w:w="0" w:type="dxa"/>
            <w:right w:w="108" w:type="dxa"/>
          </w:tblCellMar>
        </w:tblPrEx>
        <w:trPr>
          <w:trHeight w:val="1881" w:hRule="atLeast"/>
          <w:jc w:val="center"/>
        </w:trPr>
        <w:tc>
          <w:tcPr>
            <w:tcW w:w="705" w:type="dxa"/>
            <w:tcBorders>
              <w:top w:val="single" w:color="000000" w:sz="4" w:space="0"/>
              <w:left w:val="single" w:color="000000" w:sz="4" w:space="0"/>
              <w:bottom w:val="single" w:color="auto" w:sz="4" w:space="0"/>
              <w:right w:val="single" w:color="000000" w:sz="4" w:space="0"/>
            </w:tcBorders>
            <w:vAlign w:val="center"/>
          </w:tcPr>
          <w:p w14:paraId="5A7D3F58">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4AA6D75C">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default" w:asciiTheme="minorEastAsia" w:hAnsiTheme="minorEastAsia" w:eastAsiaTheme="minorEastAsia"/>
                <w:color w:val="auto"/>
                <w:kern w:val="0"/>
                <w:sz w:val="24"/>
                <w:szCs w:val="24"/>
                <w:highlight w:val="none"/>
              </w:rPr>
              <w:t>投标报价</w:t>
            </w:r>
          </w:p>
        </w:tc>
        <w:tc>
          <w:tcPr>
            <w:tcW w:w="6993" w:type="dxa"/>
            <w:tcBorders>
              <w:top w:val="single" w:color="000000" w:sz="4" w:space="0"/>
              <w:left w:val="single" w:color="auto" w:sz="4" w:space="0"/>
              <w:bottom w:val="single" w:color="000000" w:sz="4" w:space="0"/>
              <w:right w:val="single" w:color="000000" w:sz="4" w:space="0"/>
            </w:tcBorders>
            <w:vAlign w:val="center"/>
          </w:tcPr>
          <w:p w14:paraId="263A31F8">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投标人所报的价格应考虑到可能发生的所有与完成本项目相关服务及履行合同义务有关的一切费用。</w:t>
            </w:r>
          </w:p>
          <w:p w14:paraId="2FD0EBBD">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eastAsiaTheme="minorEastAsia"/>
                <w:color w:val="auto"/>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投标人必须对所投项目进行完整报价，不接受（将拒绝）只对部分</w:t>
            </w:r>
            <w:r>
              <w:rPr>
                <w:rFonts w:hint="eastAsia" w:ascii="宋体" w:hAnsi="宋体" w:eastAsia="宋体" w:cs="宋体"/>
                <w:color w:val="auto"/>
                <w:sz w:val="24"/>
                <w:szCs w:val="24"/>
                <w:highlight w:val="none"/>
                <w:lang w:eastAsia="zh-CN"/>
              </w:rPr>
              <w:t>产品</w:t>
            </w:r>
            <w:r>
              <w:rPr>
                <w:rFonts w:hint="eastAsia" w:ascii="宋体" w:hAnsi="宋体" w:eastAsia="宋体" w:cs="宋体"/>
                <w:color w:val="auto"/>
                <w:sz w:val="24"/>
                <w:szCs w:val="24"/>
                <w:highlight w:val="none"/>
              </w:rPr>
              <w:t>进行报价的投标。</w:t>
            </w:r>
          </w:p>
        </w:tc>
      </w:tr>
      <w:tr w14:paraId="67E8B45B">
        <w:tblPrEx>
          <w:tblCellMar>
            <w:top w:w="0" w:type="dxa"/>
            <w:left w:w="108" w:type="dxa"/>
            <w:bottom w:w="0" w:type="dxa"/>
            <w:right w:w="108" w:type="dxa"/>
          </w:tblCellMar>
        </w:tblPrEx>
        <w:trPr>
          <w:trHeight w:val="654"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0930FE51">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eastAsia" w:cs="Times New Roman" w:asciiTheme="minorEastAsia" w:hAnsiTheme="minorEastAsia" w:eastAsiaTheme="minorEastAsia"/>
                <w:color w:val="auto"/>
                <w:kern w:val="0"/>
                <w:sz w:val="24"/>
                <w:szCs w:val="24"/>
                <w:highlight w:val="none"/>
              </w:rPr>
            </w:pPr>
          </w:p>
        </w:tc>
        <w:tc>
          <w:tcPr>
            <w:tcW w:w="1911" w:type="dxa"/>
            <w:tcBorders>
              <w:top w:val="single" w:color="000000" w:sz="4" w:space="0"/>
              <w:left w:val="single" w:color="auto" w:sz="4" w:space="0"/>
              <w:bottom w:val="single" w:color="auto" w:sz="4" w:space="0"/>
              <w:right w:val="single" w:color="auto" w:sz="4" w:space="0"/>
            </w:tcBorders>
            <w:vAlign w:val="center"/>
          </w:tcPr>
          <w:p w14:paraId="7B5B6BAB">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合同履行期限</w:t>
            </w:r>
          </w:p>
        </w:tc>
        <w:tc>
          <w:tcPr>
            <w:tcW w:w="6993" w:type="dxa"/>
            <w:tcBorders>
              <w:top w:val="single" w:color="000000" w:sz="4" w:space="0"/>
              <w:left w:val="single" w:color="auto" w:sz="4" w:space="0"/>
              <w:bottom w:val="single" w:color="auto" w:sz="4" w:space="0"/>
              <w:right w:val="single" w:color="000000" w:sz="4" w:space="0"/>
            </w:tcBorders>
            <w:vAlign w:val="center"/>
          </w:tcPr>
          <w:p w14:paraId="00A9193D">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自签订合同起按实际使用需求分批供货至预算金额用完。接到订货通知起5个工作日内完成交货</w:t>
            </w:r>
          </w:p>
        </w:tc>
      </w:tr>
      <w:tr w14:paraId="0C1F1F67">
        <w:tblPrEx>
          <w:tblCellMar>
            <w:top w:w="0" w:type="dxa"/>
            <w:left w:w="108" w:type="dxa"/>
            <w:bottom w:w="0" w:type="dxa"/>
            <w:right w:w="108" w:type="dxa"/>
          </w:tblCellMar>
        </w:tblPrEx>
        <w:trPr>
          <w:trHeight w:val="603"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35D242EC">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eastAsia" w:cs="Times New Roman" w:asciiTheme="minorEastAsia" w:hAnsiTheme="minorEastAsia" w:eastAsiaTheme="minorEastAsia"/>
                <w:color w:val="auto"/>
                <w:kern w:val="0"/>
                <w:sz w:val="24"/>
                <w:szCs w:val="24"/>
                <w:highlight w:val="none"/>
              </w:rPr>
            </w:pPr>
            <w:bookmarkStart w:id="26" w:name="OLE_LINK29" w:colFirst="1" w:colLast="2"/>
          </w:p>
        </w:tc>
        <w:tc>
          <w:tcPr>
            <w:tcW w:w="1911" w:type="dxa"/>
            <w:tcBorders>
              <w:top w:val="single" w:color="000000" w:sz="4" w:space="0"/>
              <w:left w:val="single" w:color="auto" w:sz="4" w:space="0"/>
              <w:bottom w:val="single" w:color="auto" w:sz="4" w:space="0"/>
              <w:right w:val="single" w:color="auto" w:sz="4" w:space="0"/>
            </w:tcBorders>
            <w:vAlign w:val="center"/>
          </w:tcPr>
          <w:p w14:paraId="0194E984">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firstLine="480" w:firstLineChars="200"/>
              <w:textAlignment w:val="auto"/>
              <w:outlineLvl w:val="9"/>
              <w:rPr>
                <w:rFonts w:hint="default"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质保期</w:t>
            </w:r>
          </w:p>
        </w:tc>
        <w:tc>
          <w:tcPr>
            <w:tcW w:w="6993" w:type="dxa"/>
            <w:tcBorders>
              <w:top w:val="single" w:color="000000" w:sz="4" w:space="0"/>
              <w:left w:val="single" w:color="auto" w:sz="4" w:space="0"/>
              <w:bottom w:val="single" w:color="auto" w:sz="4" w:space="0"/>
              <w:right w:val="single" w:color="000000" w:sz="4" w:space="0"/>
            </w:tcBorders>
            <w:vAlign w:val="center"/>
          </w:tcPr>
          <w:p w14:paraId="12165718">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所供全部食品到货剩余保质期不低于产品原厂标签标注总保质期的 3/4，保质期以产品原厂标签为准</w:t>
            </w:r>
          </w:p>
        </w:tc>
      </w:tr>
      <w:bookmarkEnd w:id="26"/>
      <w:tr w14:paraId="4185165A">
        <w:tblPrEx>
          <w:tblCellMar>
            <w:top w:w="0" w:type="dxa"/>
            <w:left w:w="108" w:type="dxa"/>
            <w:bottom w:w="0" w:type="dxa"/>
            <w:right w:w="108" w:type="dxa"/>
          </w:tblCellMar>
        </w:tblPrEx>
        <w:trPr>
          <w:trHeight w:val="90" w:hRule="atLeast"/>
          <w:jc w:val="center"/>
        </w:trPr>
        <w:tc>
          <w:tcPr>
            <w:tcW w:w="705" w:type="dxa"/>
            <w:tcBorders>
              <w:top w:val="single" w:color="auto" w:sz="4" w:space="0"/>
              <w:left w:val="single" w:color="000000" w:sz="4" w:space="0"/>
              <w:bottom w:val="single" w:color="000000" w:sz="4" w:space="0"/>
              <w:right w:val="single" w:color="000000" w:sz="4" w:space="0"/>
            </w:tcBorders>
            <w:vAlign w:val="center"/>
          </w:tcPr>
          <w:p w14:paraId="122313C3">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cs="Times New Roman" w:asciiTheme="minorEastAsia" w:hAnsiTheme="minorEastAsia" w:eastAsiaTheme="minorEastAsia"/>
                <w:color w:val="auto"/>
                <w:kern w:val="0"/>
                <w:sz w:val="24"/>
                <w:szCs w:val="24"/>
                <w:highlight w:val="none"/>
                <w:lang w:val="en-US" w:eastAsia="zh-CN"/>
              </w:rPr>
            </w:pPr>
          </w:p>
        </w:tc>
        <w:tc>
          <w:tcPr>
            <w:tcW w:w="1911" w:type="dxa"/>
            <w:tcBorders>
              <w:top w:val="single" w:color="000000" w:sz="4" w:space="0"/>
              <w:left w:val="nil"/>
              <w:bottom w:val="single" w:color="000000" w:sz="4" w:space="0"/>
              <w:right w:val="single" w:color="auto" w:sz="4" w:space="0"/>
            </w:tcBorders>
            <w:vAlign w:val="center"/>
          </w:tcPr>
          <w:p w14:paraId="141F46F1">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付款方式</w:t>
            </w:r>
          </w:p>
        </w:tc>
        <w:tc>
          <w:tcPr>
            <w:tcW w:w="6993" w:type="dxa"/>
            <w:tcBorders>
              <w:top w:val="single" w:color="000000" w:sz="4" w:space="0"/>
              <w:left w:val="single" w:color="auto" w:sz="4" w:space="0"/>
              <w:bottom w:val="single" w:color="000000" w:sz="4" w:space="0"/>
              <w:right w:val="single" w:color="000000" w:sz="4" w:space="0"/>
            </w:tcBorders>
            <w:vAlign w:val="center"/>
          </w:tcPr>
          <w:tbl>
            <w:tblPr>
              <w:tblStyle w:val="42"/>
              <w:tblW w:w="9609" w:type="dxa"/>
              <w:jc w:val="center"/>
              <w:tblLayout w:type="fixed"/>
              <w:tblCellMar>
                <w:top w:w="0" w:type="dxa"/>
                <w:left w:w="108" w:type="dxa"/>
                <w:bottom w:w="0" w:type="dxa"/>
                <w:right w:w="108" w:type="dxa"/>
              </w:tblCellMar>
            </w:tblPr>
            <w:tblGrid>
              <w:gridCol w:w="6993"/>
            </w:tblGrid>
            <w:tr w14:paraId="0B4FF320">
              <w:tblPrEx>
                <w:tblCellMar>
                  <w:top w:w="0" w:type="dxa"/>
                  <w:left w:w="108" w:type="dxa"/>
                  <w:bottom w:w="0" w:type="dxa"/>
                  <w:right w:w="108" w:type="dxa"/>
                </w:tblCellMar>
              </w:tblPrEx>
              <w:trPr>
                <w:trHeight w:val="733" w:hRule="atLeast"/>
                <w:jc w:val="center"/>
              </w:trPr>
              <w:tc>
                <w:tcPr>
                  <w:tcW w:w="6993" w:type="dxa"/>
                  <w:tcBorders>
                    <w:top w:val="nil"/>
                    <w:left w:val="single" w:color="auto" w:sz="4" w:space="0"/>
                    <w:bottom w:val="nil"/>
                    <w:right w:val="nil"/>
                  </w:tcBorders>
                  <w:vAlign w:val="center"/>
                </w:tcPr>
                <w:p w14:paraId="4B98B035">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color w:val="000000" w:themeColor="text1"/>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根据实际配送量据实结算，以甲方签收确认的配送清单为准。结算时间为买方验货、收货且确认质量合格，且乙方交付对应金额符合要求的增值税专用发票后的10个工作日内。如甲方于质保期内发现货物存在瑕疵、质量不合格或与约定不符，有权暂缓支付全部或部分货款，直至乙方完成更换或妥善处理。如乙方逾期10日未完成整改的，甲方有权直接扣除对应瑕疵货物的等额货款，无需承担任何违约责任</w:t>
                  </w:r>
                </w:p>
              </w:tc>
            </w:tr>
          </w:tbl>
          <w:p w14:paraId="15954164">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19" w:right="0" w:hanging="19"/>
              <w:textAlignment w:val="auto"/>
              <w:outlineLvl w:val="9"/>
              <w:rPr>
                <w:rFonts w:hint="default" w:cs="Times New Roman" w:asciiTheme="minorEastAsia" w:hAnsiTheme="minorEastAsia" w:eastAsiaTheme="minorEastAsia"/>
                <w:color w:val="000000" w:themeColor="text1"/>
                <w:sz w:val="24"/>
                <w:szCs w:val="24"/>
                <w:highlight w:val="none"/>
                <w:lang w:val="en-US" w:eastAsia="zh-CN"/>
                <w14:textFill>
                  <w14:solidFill>
                    <w14:schemeClr w14:val="tx1"/>
                  </w14:solidFill>
                </w14:textFill>
              </w:rPr>
            </w:pPr>
          </w:p>
        </w:tc>
      </w:tr>
      <w:tr w14:paraId="5A66E450">
        <w:tblPrEx>
          <w:tblCellMar>
            <w:top w:w="0" w:type="dxa"/>
            <w:left w:w="108" w:type="dxa"/>
            <w:bottom w:w="0" w:type="dxa"/>
            <w:right w:w="108" w:type="dxa"/>
          </w:tblCellMar>
        </w:tblPrEx>
        <w:trPr>
          <w:trHeight w:val="704"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603F579">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eastAsia" w:asciiTheme="minorEastAsia" w:hAnsiTheme="minorEastAsia" w:eastAsiaTheme="minorEastAsia"/>
                <w:color w:val="auto"/>
                <w:kern w:val="0"/>
                <w:sz w:val="24"/>
                <w:szCs w:val="24"/>
                <w:highlight w:val="none"/>
                <w:lang w:eastAsia="zh-CN"/>
              </w:rPr>
            </w:pPr>
          </w:p>
        </w:tc>
        <w:tc>
          <w:tcPr>
            <w:tcW w:w="1911" w:type="dxa"/>
            <w:tcBorders>
              <w:top w:val="single" w:color="000000" w:sz="4" w:space="0"/>
              <w:left w:val="nil"/>
              <w:bottom w:val="single" w:color="000000" w:sz="4" w:space="0"/>
              <w:right w:val="single" w:color="auto" w:sz="4" w:space="0"/>
            </w:tcBorders>
            <w:vAlign w:val="center"/>
          </w:tcPr>
          <w:p w14:paraId="655B3AB6">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投标有效期</w:t>
            </w:r>
          </w:p>
        </w:tc>
        <w:tc>
          <w:tcPr>
            <w:tcW w:w="6993" w:type="dxa"/>
            <w:tcBorders>
              <w:top w:val="single" w:color="000000" w:sz="4" w:space="0"/>
              <w:left w:val="single" w:color="auto" w:sz="4" w:space="0"/>
              <w:bottom w:val="single" w:color="000000" w:sz="4" w:space="0"/>
              <w:right w:val="single" w:color="000000" w:sz="4" w:space="0"/>
            </w:tcBorders>
            <w:vAlign w:val="center"/>
          </w:tcPr>
          <w:p w14:paraId="7388E403">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kern w:val="0"/>
                <w:sz w:val="24"/>
                <w:szCs w:val="24"/>
                <w:highlight w:val="none"/>
              </w:rPr>
              <w:t>投标文件递交截止时间起算，投标有效期为90日历天。</w:t>
            </w:r>
          </w:p>
        </w:tc>
      </w:tr>
      <w:tr w14:paraId="6B7CF48C">
        <w:tblPrEx>
          <w:tblCellMar>
            <w:top w:w="0" w:type="dxa"/>
            <w:left w:w="108" w:type="dxa"/>
            <w:bottom w:w="0" w:type="dxa"/>
            <w:right w:w="108" w:type="dxa"/>
          </w:tblCellMar>
        </w:tblPrEx>
        <w:trPr>
          <w:trHeight w:val="473"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B2907C9">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lang w:val="en-US" w:eastAsia="zh-CN"/>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58D90C1B">
            <w:pPr>
              <w:keepNext w:val="0"/>
              <w:keepLines w:val="0"/>
              <w:pageBreakBefore w:val="0"/>
              <w:widowControl w:val="0"/>
              <w:suppressLineNumbers w:val="0"/>
              <w:tabs>
                <w:tab w:val="center" w:pos="4153"/>
                <w:tab w:val="right" w:pos="8306"/>
              </w:tabs>
              <w:kinsoku/>
              <w:wordWrap w:val="0"/>
              <w:topLinePunct w:val="0"/>
              <w:autoSpaceDE/>
              <w:autoSpaceDN/>
              <w:bidi w:val="0"/>
              <w:snapToGrid w:val="0"/>
              <w:spacing w:before="0" w:beforeAutospacing="0" w:after="0" w:afterAutospacing="0" w:line="460" w:lineRule="exact"/>
              <w:ind w:left="0" w:right="0"/>
              <w:jc w:val="center"/>
              <w:textAlignment w:val="auto"/>
              <w:outlineLvl w:val="9"/>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资格证明文件</w:t>
            </w:r>
          </w:p>
          <w:p w14:paraId="2A0B437D">
            <w:pPr>
              <w:keepNext w:val="0"/>
              <w:keepLines w:val="0"/>
              <w:pageBreakBefore w:val="0"/>
              <w:widowControl w:val="0"/>
              <w:suppressLineNumbers w:val="0"/>
              <w:tabs>
                <w:tab w:val="center" w:pos="4153"/>
                <w:tab w:val="right" w:pos="8306"/>
              </w:tabs>
              <w:kinsoku/>
              <w:wordWrap w:val="0"/>
              <w:topLinePunct w:val="0"/>
              <w:autoSpaceDE/>
              <w:autoSpaceDN/>
              <w:bidi w:val="0"/>
              <w:snapToGrid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000000" w:themeColor="text1"/>
                <w:sz w:val="24"/>
                <w:szCs w:val="24"/>
                <w:highlight w:val="none"/>
                <w:lang w:val="en-US" w:eastAsia="zh-CN"/>
                <w14:textFill>
                  <w14:solidFill>
                    <w14:schemeClr w14:val="tx1"/>
                  </w14:solidFill>
                </w14:textFill>
              </w:rPr>
            </w:pPr>
          </w:p>
        </w:tc>
        <w:tc>
          <w:tcPr>
            <w:tcW w:w="6993" w:type="dxa"/>
            <w:tcBorders>
              <w:top w:val="single" w:color="000000" w:sz="4" w:space="0"/>
              <w:left w:val="single" w:color="000000" w:sz="4" w:space="0"/>
              <w:bottom w:val="single" w:color="000000" w:sz="4" w:space="0"/>
              <w:right w:val="single" w:color="000000" w:sz="4" w:space="0"/>
            </w:tcBorders>
            <w:vAlign w:val="center"/>
          </w:tcPr>
          <w:p w14:paraId="2A387F2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eastAsia="宋体" w:cs="宋体"/>
                <w:i w:val="0"/>
                <w:iCs w:val="0"/>
                <w:caps w:val="0"/>
                <w:color w:val="333333"/>
                <w:spacing w:val="0"/>
                <w:sz w:val="24"/>
                <w:szCs w:val="24"/>
                <w:shd w:val="clear" w:fill="FFFFFF"/>
                <w:lang w:eastAsia="zh-CN"/>
              </w:rPr>
              <w:t>自然人参与的提供其身份证明</w:t>
            </w:r>
            <w:r>
              <w:rPr>
                <w:rFonts w:hint="eastAsia" w:ascii="宋体" w:hAnsi="宋体" w:eastAsia="宋体" w:cs="宋体"/>
                <w:i w:val="0"/>
                <w:iCs w:val="0"/>
                <w:caps w:val="0"/>
                <w:color w:val="333333"/>
                <w:spacing w:val="0"/>
                <w:sz w:val="24"/>
                <w:szCs w:val="24"/>
                <w:shd w:val="clear" w:fill="FFFFFF"/>
              </w:rPr>
              <w:t>。</w:t>
            </w:r>
          </w:p>
          <w:p w14:paraId="4A2454A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w:t>
            </w:r>
            <w:r>
              <w:rPr>
                <w:rFonts w:hint="eastAsia" w:ascii="宋体" w:hAnsi="宋体" w:eastAsia="宋体" w:cs="宋体"/>
                <w:i w:val="0"/>
                <w:iCs w:val="0"/>
                <w:caps w:val="0"/>
                <w:color w:val="333333"/>
                <w:spacing w:val="0"/>
                <w:sz w:val="24"/>
                <w:szCs w:val="24"/>
                <w:shd w:val="clear" w:fill="FFFFFF"/>
              </w:rPr>
              <w:t>法定代表人授权书及被授权人身份证明资料（法定代表人直接投标时需提交其身份证明资料）（非法人投标供应商参照执行）。</w:t>
            </w:r>
          </w:p>
          <w:p w14:paraId="3A4F943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9C9E55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75FF535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w:t>
            </w:r>
            <w:r>
              <w:rPr>
                <w:rFonts w:hint="eastAsia" w:ascii="宋体" w:hAnsi="宋体" w:eastAsia="宋体" w:cs="宋体"/>
                <w:i w:val="0"/>
                <w:iCs w:val="0"/>
                <w:caps w:val="0"/>
                <w:color w:val="333333"/>
                <w:spacing w:val="0"/>
                <w:sz w:val="24"/>
                <w:szCs w:val="24"/>
                <w:shd w:val="clear" w:fill="FFFFFF"/>
                <w:lang w:val="en-US" w:eastAsia="zh-CN"/>
              </w:rPr>
              <w:t>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0EC699D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6.税收缴纳证明：提供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2FE305A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7.社会保障资金缴纳证明：提供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39944A5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rPr>
              <w:t>本项目不接受联合体投标。</w:t>
            </w:r>
          </w:p>
          <w:p w14:paraId="59CADC5A">
            <w:pPr>
              <w:keepNext w:val="0"/>
              <w:keepLines w:val="0"/>
              <w:pageBreakBefore w:val="0"/>
              <w:widowControl/>
              <w:numPr>
                <w:ilvl w:val="0"/>
                <w:numId w:val="0"/>
              </w:numPr>
              <w:suppressLineNumbers w:val="0"/>
              <w:kinsoku/>
              <w:wordWrap w:val="0"/>
              <w:overflowPunct/>
              <w:topLinePunct w:val="0"/>
              <w:autoSpaceDE/>
              <w:autoSpaceDN/>
              <w:bidi w:val="0"/>
              <w:adjustRightInd/>
              <w:spacing w:before="0" w:beforeAutospacing="0" w:after="0" w:afterAutospacing="0" w:line="460" w:lineRule="exact"/>
              <w:ind w:left="0" w:right="0" w:firstLine="480" w:firstLineChars="200"/>
              <w:textAlignment w:val="auto"/>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9.提供具有履行合同所必需的设备和专业技术能力的承诺书（格式自拟）。</w:t>
            </w:r>
          </w:p>
          <w:p w14:paraId="54A8C311">
            <w:pPr>
              <w:keepNext w:val="0"/>
              <w:keepLines w:val="0"/>
              <w:pageBreakBefore w:val="0"/>
              <w:widowControl/>
              <w:numPr>
                <w:ilvl w:val="0"/>
                <w:numId w:val="0"/>
              </w:numPr>
              <w:suppressLineNumbers w:val="0"/>
              <w:kinsoku/>
              <w:wordWrap w:val="0"/>
              <w:overflowPunct/>
              <w:topLinePunct w:val="0"/>
              <w:autoSpaceDE/>
              <w:autoSpaceDN/>
              <w:bidi w:val="0"/>
              <w:adjustRightInd/>
              <w:spacing w:before="0" w:beforeAutospacing="0" w:after="0" w:afterAutospacing="0" w:line="460" w:lineRule="exact"/>
              <w:ind w:left="0" w:right="0" w:firstLine="241" w:firstLineChars="100"/>
              <w:textAlignment w:val="auto"/>
              <w:outlineLvl w:val="9"/>
              <w:rPr>
                <w:rFonts w:hint="default"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b/>
                <w:bCs/>
                <w:color w:val="auto"/>
                <w:kern w:val="0"/>
                <w:sz w:val="24"/>
                <w:szCs w:val="24"/>
                <w:highlight w:val="none"/>
              </w:rPr>
              <w:t>注：上述</w:t>
            </w:r>
            <w:r>
              <w:rPr>
                <w:rFonts w:hint="eastAsia" w:cs="宋体" w:asciiTheme="minorEastAsia" w:hAnsiTheme="minorEastAsia" w:eastAsiaTheme="minorEastAsia"/>
                <w:b/>
                <w:bCs/>
                <w:color w:val="auto"/>
                <w:kern w:val="0"/>
                <w:sz w:val="24"/>
                <w:szCs w:val="24"/>
                <w:highlight w:val="none"/>
                <w:lang w:val="en-US" w:eastAsia="zh-CN"/>
              </w:rPr>
              <w:t>1-9项</w:t>
            </w:r>
            <w:r>
              <w:rPr>
                <w:rFonts w:hint="eastAsia" w:cs="宋体" w:asciiTheme="minorEastAsia" w:hAnsiTheme="minorEastAsia" w:eastAsiaTheme="minorEastAsia"/>
                <w:b/>
                <w:bCs/>
                <w:color w:val="auto"/>
                <w:kern w:val="0"/>
                <w:sz w:val="24"/>
                <w:szCs w:val="24"/>
                <w:highlight w:val="none"/>
              </w:rPr>
              <w:t>为必备资格证明文件，任何一项不符合要求按无效文件处理。参加</w:t>
            </w:r>
            <w:r>
              <w:rPr>
                <w:rFonts w:hint="eastAsia" w:cs="宋体" w:asciiTheme="minorEastAsia" w:hAnsiTheme="minorEastAsia" w:eastAsiaTheme="minorEastAsia"/>
                <w:b/>
                <w:bCs/>
                <w:color w:val="auto"/>
                <w:kern w:val="0"/>
                <w:sz w:val="24"/>
                <w:szCs w:val="24"/>
                <w:highlight w:val="none"/>
                <w:lang w:val="en-US" w:eastAsia="zh-CN"/>
              </w:rPr>
              <w:t>谈判</w:t>
            </w:r>
            <w:r>
              <w:rPr>
                <w:rFonts w:hint="eastAsia" w:cs="宋体" w:asciiTheme="minorEastAsia" w:hAnsiTheme="minorEastAsia" w:eastAsiaTheme="minorEastAsia"/>
                <w:b/>
                <w:bCs/>
                <w:color w:val="auto"/>
                <w:kern w:val="0"/>
                <w:sz w:val="24"/>
                <w:szCs w:val="24"/>
                <w:highlight w:val="none"/>
              </w:rPr>
              <w:t>会议时须提供上述资格证明文件（密封）单独递交进行审查，否则按</w:t>
            </w:r>
            <w:r>
              <w:rPr>
                <w:rFonts w:hint="eastAsia" w:cs="宋体" w:asciiTheme="minorEastAsia" w:hAnsiTheme="minorEastAsia" w:eastAsiaTheme="minorEastAsia"/>
                <w:b/>
                <w:bCs/>
                <w:color w:val="auto"/>
                <w:kern w:val="0"/>
                <w:sz w:val="24"/>
                <w:szCs w:val="24"/>
                <w:highlight w:val="none"/>
                <w:lang w:val="en-US" w:eastAsia="zh-CN"/>
              </w:rPr>
              <w:t>无效文件</w:t>
            </w:r>
            <w:r>
              <w:rPr>
                <w:rFonts w:hint="eastAsia" w:cs="宋体" w:asciiTheme="minorEastAsia" w:hAnsiTheme="minorEastAsia" w:eastAsiaTheme="minorEastAsia"/>
                <w:b/>
                <w:bCs/>
                <w:color w:val="auto"/>
                <w:kern w:val="0"/>
                <w:sz w:val="24"/>
                <w:szCs w:val="24"/>
                <w:highlight w:val="none"/>
              </w:rPr>
              <w:t>处理。投标人须保证资格证明文件的真实、合法、有效，因</w:t>
            </w:r>
            <w:r>
              <w:rPr>
                <w:rFonts w:hint="eastAsia" w:cs="宋体" w:asciiTheme="minorEastAsia" w:hAnsiTheme="minorEastAsia" w:eastAsiaTheme="minorEastAsia"/>
                <w:b/>
                <w:bCs/>
                <w:color w:val="auto"/>
                <w:kern w:val="0"/>
                <w:sz w:val="24"/>
                <w:szCs w:val="24"/>
                <w:highlight w:val="none"/>
                <w:lang w:val="en-US" w:eastAsia="zh-CN"/>
              </w:rPr>
              <w:t>资格</w:t>
            </w:r>
            <w:r>
              <w:rPr>
                <w:rFonts w:hint="eastAsia" w:cs="宋体" w:asciiTheme="minorEastAsia" w:hAnsiTheme="minorEastAsia" w:eastAsiaTheme="minorEastAsia"/>
                <w:b/>
                <w:bCs/>
                <w:color w:val="auto"/>
                <w:kern w:val="0"/>
                <w:sz w:val="24"/>
                <w:szCs w:val="24"/>
                <w:highlight w:val="none"/>
              </w:rPr>
              <w:t>产生的一切纠纷由投标人承担法律责任。</w:t>
            </w:r>
          </w:p>
        </w:tc>
      </w:tr>
      <w:tr w14:paraId="007F4DEE">
        <w:tblPrEx>
          <w:tblCellMar>
            <w:top w:w="0" w:type="dxa"/>
            <w:left w:w="108" w:type="dxa"/>
            <w:bottom w:w="0" w:type="dxa"/>
            <w:right w:w="108" w:type="dxa"/>
          </w:tblCellMar>
        </w:tblPrEx>
        <w:trPr>
          <w:trHeight w:val="90" w:hRule="atLeast"/>
          <w:jc w:val="center"/>
        </w:trPr>
        <w:tc>
          <w:tcPr>
            <w:tcW w:w="705" w:type="dxa"/>
            <w:tcBorders>
              <w:top w:val="single" w:color="000000" w:sz="4" w:space="0"/>
              <w:left w:val="single" w:color="000000" w:sz="4" w:space="0"/>
              <w:bottom w:val="single" w:color="auto" w:sz="4" w:space="0"/>
              <w:right w:val="single" w:color="000000" w:sz="4" w:space="0"/>
            </w:tcBorders>
            <w:vAlign w:val="center"/>
          </w:tcPr>
          <w:p w14:paraId="70F813FB">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lang w:val="en-US" w:eastAsia="zh-CN"/>
              </w:rPr>
            </w:pPr>
          </w:p>
        </w:tc>
        <w:tc>
          <w:tcPr>
            <w:tcW w:w="1911" w:type="dxa"/>
            <w:tcBorders>
              <w:top w:val="single" w:color="000000" w:sz="4" w:space="0"/>
              <w:left w:val="nil"/>
              <w:bottom w:val="single" w:color="auto" w:sz="4" w:space="0"/>
              <w:right w:val="single" w:color="auto" w:sz="4" w:space="0"/>
            </w:tcBorders>
            <w:vAlign w:val="center"/>
          </w:tcPr>
          <w:p w14:paraId="3C9A2C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宋体" w:hAnsi="宋体" w:eastAsia="宋体" w:cs="宋体"/>
                <w:color w:val="auto"/>
                <w:sz w:val="24"/>
                <w:szCs w:val="24"/>
                <w:highlight w:val="none"/>
              </w:rPr>
              <w:t>是否接受联合体投标</w:t>
            </w:r>
          </w:p>
        </w:tc>
        <w:tc>
          <w:tcPr>
            <w:tcW w:w="6993" w:type="dxa"/>
            <w:tcBorders>
              <w:top w:val="single" w:color="000000" w:sz="4" w:space="0"/>
              <w:left w:val="single" w:color="auto" w:sz="4" w:space="0"/>
              <w:bottom w:val="single" w:color="auto" w:sz="4" w:space="0"/>
              <w:right w:val="single" w:color="000000" w:sz="4" w:space="0"/>
            </w:tcBorders>
            <w:vAlign w:val="center"/>
          </w:tcPr>
          <w:p w14:paraId="7EE852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textAlignment w:val="auto"/>
              <w:outlineLvl w:val="9"/>
              <w:rPr>
                <w:rFonts w:hint="eastAsia" w:asciiTheme="minorEastAsia" w:hAnsiTheme="minorEastAsia" w:eastAsiaTheme="minorEastAsia"/>
                <w:color w:val="auto"/>
                <w:sz w:val="24"/>
                <w:szCs w:val="24"/>
                <w:highlight w:val="none"/>
              </w:rPr>
            </w:pPr>
            <w:r>
              <w:rPr>
                <w:rFonts w:hint="eastAsia" w:ascii="宋体" w:hAnsi="宋体" w:eastAsia="宋体" w:cs="宋体"/>
                <w:color w:val="auto"/>
                <w:sz w:val="24"/>
                <w:szCs w:val="24"/>
                <w:highlight w:val="none"/>
              </w:rPr>
              <w:t>不接受联合体</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w:t>
            </w:r>
          </w:p>
        </w:tc>
      </w:tr>
      <w:tr w14:paraId="14677118">
        <w:tblPrEx>
          <w:tblCellMar>
            <w:top w:w="0" w:type="dxa"/>
            <w:left w:w="108" w:type="dxa"/>
            <w:bottom w:w="0" w:type="dxa"/>
            <w:right w:w="108" w:type="dxa"/>
          </w:tblCellMar>
        </w:tblPrEx>
        <w:trPr>
          <w:trHeight w:val="415" w:hRule="atLeast"/>
          <w:jc w:val="center"/>
        </w:trPr>
        <w:tc>
          <w:tcPr>
            <w:tcW w:w="705" w:type="dxa"/>
            <w:tcBorders>
              <w:top w:val="single" w:color="auto" w:sz="4" w:space="0"/>
              <w:left w:val="single" w:color="000000" w:sz="4" w:space="0"/>
              <w:bottom w:val="single" w:color="auto" w:sz="4" w:space="0"/>
              <w:right w:val="single" w:color="000000" w:sz="4" w:space="0"/>
            </w:tcBorders>
            <w:vAlign w:val="center"/>
          </w:tcPr>
          <w:p w14:paraId="3301AE4E">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lang w:val="en-US" w:eastAsia="zh-CN"/>
              </w:rPr>
            </w:pPr>
          </w:p>
        </w:tc>
        <w:tc>
          <w:tcPr>
            <w:tcW w:w="1911" w:type="dxa"/>
            <w:tcBorders>
              <w:top w:val="single" w:color="auto" w:sz="4" w:space="0"/>
              <w:left w:val="nil"/>
              <w:bottom w:val="single" w:color="auto" w:sz="4" w:space="0"/>
              <w:right w:val="single" w:color="auto" w:sz="4" w:space="0"/>
            </w:tcBorders>
            <w:vAlign w:val="center"/>
          </w:tcPr>
          <w:p w14:paraId="7C95E9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eastAsia" w:ascii="宋体" w:hAnsi="宋体" w:eastAsia="宋体" w:cs="宋体"/>
                <w:color w:val="auto"/>
                <w:sz w:val="24"/>
                <w:szCs w:val="24"/>
                <w:highlight w:val="none"/>
              </w:rPr>
              <w:t>现场踏勘</w:t>
            </w:r>
          </w:p>
        </w:tc>
        <w:tc>
          <w:tcPr>
            <w:tcW w:w="6993" w:type="dxa"/>
            <w:tcBorders>
              <w:top w:val="single" w:color="auto" w:sz="4" w:space="0"/>
              <w:left w:val="single" w:color="auto" w:sz="4" w:space="0"/>
              <w:bottom w:val="single" w:color="auto" w:sz="4" w:space="0"/>
              <w:right w:val="single" w:color="000000" w:sz="4" w:space="0"/>
            </w:tcBorders>
            <w:vAlign w:val="center"/>
          </w:tcPr>
          <w:p w14:paraId="312D93E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textAlignment w:val="auto"/>
              <w:outlineLvl w:val="9"/>
              <w:rPr>
                <w:rFonts w:hint="eastAsia" w:asciiTheme="minorEastAsia" w:hAnsiTheme="minorEastAsia" w:eastAsiaTheme="minorEastAsia"/>
                <w:color w:val="auto"/>
                <w:sz w:val="24"/>
                <w:szCs w:val="24"/>
                <w:highlight w:val="none"/>
              </w:rPr>
            </w:pPr>
            <w:r>
              <w:rPr>
                <w:rFonts w:hint="eastAsia" w:ascii="宋体" w:hAnsi="宋体" w:eastAsia="宋体" w:cs="宋体"/>
                <w:color w:val="auto"/>
                <w:sz w:val="24"/>
                <w:szCs w:val="24"/>
                <w:highlight w:val="none"/>
                <w:lang w:val="en-US" w:eastAsia="zh-CN"/>
              </w:rPr>
              <w:t>不组织</w:t>
            </w:r>
            <w:r>
              <w:rPr>
                <w:rFonts w:hint="eastAsia" w:ascii="宋体" w:hAnsi="宋体" w:eastAsia="宋体" w:cs="宋体"/>
                <w:color w:val="auto"/>
                <w:sz w:val="24"/>
                <w:szCs w:val="24"/>
                <w:highlight w:val="none"/>
              </w:rPr>
              <w:t>现场踏勘。</w:t>
            </w:r>
          </w:p>
        </w:tc>
      </w:tr>
      <w:tr w14:paraId="20062D87">
        <w:tblPrEx>
          <w:tblCellMar>
            <w:top w:w="0" w:type="dxa"/>
            <w:left w:w="108" w:type="dxa"/>
            <w:bottom w:w="0" w:type="dxa"/>
            <w:right w:w="108" w:type="dxa"/>
          </w:tblCellMar>
        </w:tblPrEx>
        <w:trPr>
          <w:trHeight w:val="587"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A8F42EF">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lang w:val="en-US" w:eastAsia="zh-CN"/>
              </w:rPr>
            </w:pPr>
          </w:p>
        </w:tc>
        <w:tc>
          <w:tcPr>
            <w:tcW w:w="1911" w:type="dxa"/>
            <w:tcBorders>
              <w:top w:val="single" w:color="000000" w:sz="4" w:space="0"/>
              <w:left w:val="nil"/>
              <w:bottom w:val="single" w:color="000000" w:sz="4" w:space="0"/>
              <w:right w:val="single" w:color="auto" w:sz="4" w:space="0"/>
            </w:tcBorders>
            <w:vAlign w:val="center"/>
          </w:tcPr>
          <w:p w14:paraId="1C4FF455">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kern w:val="0"/>
                <w:sz w:val="24"/>
                <w:szCs w:val="24"/>
                <w:highlight w:val="none"/>
              </w:rPr>
            </w:pPr>
            <w:r>
              <w:rPr>
                <w:rFonts w:hint="default" w:asciiTheme="minorEastAsia" w:hAnsiTheme="minorEastAsia" w:eastAsiaTheme="minorEastAsia"/>
                <w:color w:val="auto"/>
                <w:kern w:val="0"/>
                <w:sz w:val="24"/>
                <w:szCs w:val="24"/>
                <w:highlight w:val="none"/>
              </w:rPr>
              <w:t>采购方式</w:t>
            </w:r>
          </w:p>
        </w:tc>
        <w:tc>
          <w:tcPr>
            <w:tcW w:w="6993" w:type="dxa"/>
            <w:tcBorders>
              <w:top w:val="single" w:color="000000" w:sz="4" w:space="0"/>
              <w:left w:val="single" w:color="auto" w:sz="4" w:space="0"/>
              <w:bottom w:val="single" w:color="000000" w:sz="4" w:space="0"/>
              <w:right w:val="single" w:color="000000" w:sz="4" w:space="0"/>
            </w:tcBorders>
            <w:vAlign w:val="center"/>
          </w:tcPr>
          <w:p w14:paraId="6B173CA2">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kern w:val="0"/>
                <w:sz w:val="24"/>
                <w:szCs w:val="24"/>
                <w:highlight w:val="none"/>
              </w:rPr>
            </w:pPr>
            <w:r>
              <w:rPr>
                <w:rFonts w:hint="eastAsia" w:asciiTheme="minorEastAsia" w:hAnsiTheme="minorEastAsia" w:eastAsiaTheme="minorEastAsia"/>
                <w:color w:val="auto"/>
                <w:sz w:val="24"/>
                <w:szCs w:val="24"/>
                <w:highlight w:val="none"/>
              </w:rPr>
              <w:t>竞争性</w:t>
            </w:r>
            <w:r>
              <w:rPr>
                <w:rFonts w:hint="default" w:asciiTheme="minorEastAsia" w:hAnsiTheme="minorEastAsia" w:eastAsiaTheme="minorEastAsia"/>
                <w:color w:val="auto"/>
                <w:sz w:val="24"/>
                <w:szCs w:val="24"/>
                <w:highlight w:val="none"/>
              </w:rPr>
              <w:t>谈判</w:t>
            </w:r>
          </w:p>
        </w:tc>
      </w:tr>
      <w:tr w14:paraId="1BA29982">
        <w:tblPrEx>
          <w:tblCellMar>
            <w:top w:w="0" w:type="dxa"/>
            <w:left w:w="108" w:type="dxa"/>
            <w:bottom w:w="0" w:type="dxa"/>
            <w:right w:w="108" w:type="dxa"/>
          </w:tblCellMar>
        </w:tblPrEx>
        <w:trPr>
          <w:trHeight w:val="620"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40B86522">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133CD9BE">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评标办法</w:t>
            </w:r>
          </w:p>
        </w:tc>
        <w:tc>
          <w:tcPr>
            <w:tcW w:w="6993" w:type="dxa"/>
            <w:tcBorders>
              <w:top w:val="single" w:color="000000" w:sz="4" w:space="0"/>
              <w:left w:val="single" w:color="auto" w:sz="4" w:space="0"/>
              <w:bottom w:val="single" w:color="000000" w:sz="4" w:space="0"/>
              <w:right w:val="single" w:color="000000" w:sz="4" w:space="0"/>
            </w:tcBorders>
            <w:vAlign w:val="center"/>
          </w:tcPr>
          <w:p w14:paraId="608A7373">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比照</w:t>
            </w:r>
            <w:r>
              <w:rPr>
                <w:rFonts w:hint="eastAsia" w:asciiTheme="minorEastAsia" w:hAnsiTheme="minorEastAsia" w:eastAsiaTheme="minorEastAsia"/>
                <w:color w:val="auto"/>
                <w:sz w:val="24"/>
                <w:szCs w:val="24"/>
                <w:highlight w:val="none"/>
              </w:rPr>
              <w:t>最低评标价法</w:t>
            </w:r>
          </w:p>
        </w:tc>
      </w:tr>
      <w:tr w14:paraId="14CDA4FB">
        <w:tblPrEx>
          <w:tblCellMar>
            <w:top w:w="0" w:type="dxa"/>
            <w:left w:w="108" w:type="dxa"/>
            <w:bottom w:w="0" w:type="dxa"/>
            <w:right w:w="108" w:type="dxa"/>
          </w:tblCellMar>
        </w:tblPrEx>
        <w:trPr>
          <w:trHeight w:val="375"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7B88B2B9">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kern w:val="0"/>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2707E976">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特殊情况处理</w:t>
            </w:r>
          </w:p>
        </w:tc>
        <w:tc>
          <w:tcPr>
            <w:tcW w:w="6993" w:type="dxa"/>
            <w:tcBorders>
              <w:top w:val="single" w:color="000000" w:sz="4" w:space="0"/>
              <w:left w:val="single" w:color="auto" w:sz="4" w:space="0"/>
              <w:bottom w:val="single" w:color="000000" w:sz="4" w:space="0"/>
              <w:right w:val="single" w:color="000000" w:sz="4" w:space="0"/>
            </w:tcBorders>
            <w:vAlign w:val="center"/>
          </w:tcPr>
          <w:p w14:paraId="4BF07D0E">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谈判失败后，除采购任务取消外，将重新组织采购。</w:t>
            </w:r>
          </w:p>
        </w:tc>
      </w:tr>
      <w:tr w14:paraId="4FAD5ABF">
        <w:tblPrEx>
          <w:tblCellMar>
            <w:top w:w="0" w:type="dxa"/>
            <w:left w:w="108" w:type="dxa"/>
            <w:bottom w:w="0" w:type="dxa"/>
            <w:right w:w="108" w:type="dxa"/>
          </w:tblCellMar>
        </w:tblPrEx>
        <w:trPr>
          <w:trHeight w:val="955"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532F7C42">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7098D667">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开标</w:t>
            </w:r>
            <w:r>
              <w:rPr>
                <w:rFonts w:hint="default" w:asciiTheme="minorEastAsia" w:hAnsiTheme="minorEastAsia" w:eastAsiaTheme="minorEastAsia"/>
                <w:color w:val="auto"/>
                <w:sz w:val="24"/>
                <w:szCs w:val="24"/>
                <w:highlight w:val="none"/>
              </w:rPr>
              <w:t>时间</w:t>
            </w:r>
            <w:r>
              <w:rPr>
                <w:rFonts w:hint="eastAsia" w:asciiTheme="minorEastAsia" w:hAnsiTheme="minorEastAsia" w:eastAsiaTheme="minorEastAsia"/>
                <w:color w:val="auto"/>
                <w:sz w:val="24"/>
                <w:szCs w:val="24"/>
                <w:highlight w:val="none"/>
              </w:rPr>
              <w:t>、</w:t>
            </w:r>
          </w:p>
          <w:p w14:paraId="7FA2858D">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default" w:asciiTheme="minorEastAsia" w:hAnsiTheme="minorEastAsia" w:eastAsiaTheme="minorEastAsia"/>
                <w:color w:val="auto"/>
                <w:sz w:val="24"/>
                <w:szCs w:val="24"/>
                <w:highlight w:val="none"/>
              </w:rPr>
              <w:t>地点</w:t>
            </w:r>
          </w:p>
        </w:tc>
        <w:tc>
          <w:tcPr>
            <w:tcW w:w="6993" w:type="dxa"/>
            <w:tcBorders>
              <w:top w:val="single" w:color="000000" w:sz="4" w:space="0"/>
              <w:left w:val="single" w:color="auto" w:sz="4" w:space="0"/>
              <w:bottom w:val="single" w:color="000000" w:sz="4" w:space="0"/>
              <w:right w:val="single" w:color="000000" w:sz="4" w:space="0"/>
            </w:tcBorders>
            <w:vAlign w:val="center"/>
          </w:tcPr>
          <w:p w14:paraId="531CF3E4">
            <w:pPr>
              <w:keepNext w:val="0"/>
              <w:keepLines w:val="0"/>
              <w:pageBreakBefore w:val="0"/>
              <w:widowControl w:val="0"/>
              <w:suppressLineNumbers w:val="0"/>
              <w:kinsoku/>
              <w:wordWrap w:val="0"/>
              <w:topLinePunct w:val="0"/>
              <w:autoSpaceDE/>
              <w:autoSpaceDN/>
              <w:bidi w:val="0"/>
              <w:spacing w:before="0" w:beforeAutospacing="0" w:after="0" w:afterAutospacing="0" w:line="480" w:lineRule="exact"/>
              <w:ind w:left="0" w:right="0"/>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开标时间：</w:t>
            </w:r>
            <w:r>
              <w:rPr>
                <w:rFonts w:hint="eastAsia" w:ascii="宋体" w:hAnsi="宋体" w:eastAsia="宋体" w:cs="宋体"/>
                <w:i w:val="0"/>
                <w:iCs w:val="0"/>
                <w:caps w:val="0"/>
                <w:color w:val="333333"/>
                <w:spacing w:val="0"/>
                <w:sz w:val="24"/>
                <w:szCs w:val="24"/>
                <w:shd w:val="clear" w:fill="FFFFFF"/>
              </w:rPr>
              <w:t>2026</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时00分</w:t>
            </w:r>
            <w:r>
              <w:rPr>
                <w:rFonts w:hint="eastAsia" w:ascii="宋体" w:hAnsi="宋体" w:eastAsia="宋体" w:cs="宋体"/>
                <w:i w:val="0"/>
                <w:iCs w:val="0"/>
                <w:caps w:val="0"/>
                <w:color w:val="333333"/>
                <w:spacing w:val="0"/>
                <w:sz w:val="24"/>
                <w:szCs w:val="24"/>
                <w:shd w:val="clear" w:fill="FFFFFF"/>
              </w:rPr>
              <w:t>00秒</w:t>
            </w:r>
            <w:r>
              <w:rPr>
                <w:rFonts w:hint="eastAsia" w:asciiTheme="minorEastAsia" w:hAnsiTheme="minorEastAsia" w:eastAsiaTheme="minorEastAsia"/>
                <w:color w:val="auto"/>
                <w:sz w:val="24"/>
                <w:szCs w:val="24"/>
                <w:highlight w:val="none"/>
              </w:rPr>
              <w:t>（（北京时间）</w:t>
            </w:r>
          </w:p>
          <w:p w14:paraId="68C62174">
            <w:pPr>
              <w:keepNext w:val="0"/>
              <w:keepLines w:val="0"/>
              <w:pageBreakBefore w:val="0"/>
              <w:widowControl/>
              <w:suppressLineNumbers w:val="0"/>
              <w:kinsoku/>
              <w:wordWrap w:val="0"/>
              <w:overflowPunct/>
              <w:topLinePunct w:val="0"/>
              <w:autoSpaceDE/>
              <w:autoSpaceDN/>
              <w:bidi w:val="0"/>
              <w:adjustRightInd/>
              <w:spacing w:before="0" w:beforeAutospacing="0" w:after="0" w:afterAutospacing="0" w:line="480" w:lineRule="exact"/>
              <w:ind w:left="0" w:right="0"/>
              <w:textAlignment w:val="auto"/>
              <w:outlineLvl w:val="9"/>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开标</w:t>
            </w:r>
            <w:r>
              <w:rPr>
                <w:rFonts w:hint="eastAsia" w:cs="Times New Roman" w:asciiTheme="minorEastAsia" w:hAnsiTheme="minorEastAsia" w:eastAsiaTheme="minorEastAsia"/>
                <w:color w:val="auto"/>
                <w:sz w:val="24"/>
                <w:szCs w:val="24"/>
                <w:highlight w:val="none"/>
              </w:rPr>
              <w:t>地点：</w:t>
            </w:r>
            <w:r>
              <w:rPr>
                <w:rFonts w:hint="eastAsia" w:asciiTheme="minorEastAsia" w:hAnsiTheme="minorEastAsia" w:eastAsiaTheme="minorEastAsia"/>
                <w:color w:val="auto"/>
                <w:sz w:val="24"/>
                <w:szCs w:val="24"/>
                <w:highlight w:val="none"/>
                <w:lang w:eastAsia="zh-CN"/>
              </w:rPr>
              <w:t>安康市高新区高新观澜8栋二单元801室</w:t>
            </w:r>
          </w:p>
          <w:p w14:paraId="6569118A">
            <w:pPr>
              <w:keepNext w:val="0"/>
              <w:keepLines w:val="0"/>
              <w:pageBreakBefore w:val="0"/>
              <w:widowControl w:val="0"/>
              <w:suppressLineNumbers w:val="0"/>
              <w:kinsoku/>
              <w:wordWrap w:val="0"/>
              <w:overflowPunct w:val="0"/>
              <w:topLinePunct w:val="0"/>
              <w:autoSpaceDE/>
              <w:autoSpaceDN/>
              <w:bidi w:val="0"/>
              <w:adjustRightInd w:val="0"/>
              <w:snapToGrid w:val="0"/>
              <w:spacing w:before="0" w:beforeAutospacing="0" w:after="0" w:afterAutospacing="0" w:line="460" w:lineRule="exact"/>
              <w:ind w:left="0" w:right="0"/>
              <w:textAlignment w:val="auto"/>
              <w:outlineLvl w:val="9"/>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（如有变动，另行通知）。</w:t>
            </w:r>
            <w:r>
              <w:rPr>
                <w:rFonts w:hint="eastAsia" w:asciiTheme="minorEastAsia" w:hAnsiTheme="minorEastAsia" w:eastAsiaTheme="minorEastAsia"/>
                <w:color w:val="auto"/>
                <w:sz w:val="24"/>
                <w:szCs w:val="24"/>
                <w:highlight w:val="none"/>
                <w:lang w:val="en-US" w:eastAsia="zh-CN"/>
              </w:rPr>
              <w:t xml:space="preserve">  </w:t>
            </w:r>
          </w:p>
        </w:tc>
      </w:tr>
      <w:tr w14:paraId="641C6A4A">
        <w:tblPrEx>
          <w:tblCellMar>
            <w:top w:w="0" w:type="dxa"/>
            <w:left w:w="108" w:type="dxa"/>
            <w:bottom w:w="0" w:type="dxa"/>
            <w:right w:w="108" w:type="dxa"/>
          </w:tblCellMar>
        </w:tblPrEx>
        <w:trPr>
          <w:trHeight w:val="888"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46425A36">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02AF409B">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响应</w:t>
            </w:r>
            <w:r>
              <w:rPr>
                <w:rFonts w:hint="default" w:asciiTheme="minorEastAsia" w:hAnsiTheme="minorEastAsia" w:eastAsiaTheme="minorEastAsia"/>
                <w:color w:val="auto"/>
                <w:sz w:val="24"/>
                <w:szCs w:val="24"/>
                <w:highlight w:val="none"/>
              </w:rPr>
              <w:t>文件</w:t>
            </w:r>
          </w:p>
          <w:p w14:paraId="61895DC9">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default" w:asciiTheme="minorEastAsia" w:hAnsiTheme="minorEastAsia" w:eastAsiaTheme="minorEastAsia"/>
                <w:color w:val="auto"/>
                <w:sz w:val="24"/>
                <w:szCs w:val="24"/>
                <w:highlight w:val="none"/>
              </w:rPr>
              <w:t>递交截止时间</w:t>
            </w:r>
          </w:p>
        </w:tc>
        <w:tc>
          <w:tcPr>
            <w:tcW w:w="6993" w:type="dxa"/>
            <w:tcBorders>
              <w:top w:val="single" w:color="000000" w:sz="4" w:space="0"/>
              <w:left w:val="single" w:color="auto" w:sz="4" w:space="0"/>
              <w:bottom w:val="single" w:color="000000" w:sz="4" w:space="0"/>
              <w:right w:val="single" w:color="000000" w:sz="4" w:space="0"/>
            </w:tcBorders>
            <w:vAlign w:val="center"/>
          </w:tcPr>
          <w:p w14:paraId="1581A9E0">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sz w:val="24"/>
                <w:szCs w:val="24"/>
                <w:highlight w:val="none"/>
                <w:lang w:val="en-US"/>
              </w:rPr>
            </w:pPr>
            <w:r>
              <w:rPr>
                <w:rFonts w:hint="eastAsia" w:ascii="宋体" w:hAnsi="宋体" w:eastAsia="宋体" w:cs="宋体"/>
                <w:i w:val="0"/>
                <w:iCs w:val="0"/>
                <w:caps w:val="0"/>
                <w:color w:val="333333"/>
                <w:spacing w:val="0"/>
                <w:sz w:val="24"/>
                <w:szCs w:val="24"/>
                <w:shd w:val="clear" w:fill="FFFFFF"/>
              </w:rPr>
              <w:t>2026</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时00分0</w:t>
            </w:r>
            <w:r>
              <w:rPr>
                <w:rFonts w:hint="eastAsia" w:ascii="宋体" w:hAnsi="宋体" w:eastAsia="宋体" w:cs="宋体"/>
                <w:i w:val="0"/>
                <w:iCs w:val="0"/>
                <w:caps w:val="0"/>
                <w:color w:val="333333"/>
                <w:spacing w:val="0"/>
                <w:sz w:val="24"/>
                <w:szCs w:val="24"/>
                <w:shd w:val="clear" w:fill="FFFFFF"/>
              </w:rPr>
              <w:t>0秒</w:t>
            </w:r>
            <w:r>
              <w:rPr>
                <w:rFonts w:hint="eastAsia" w:ascii="宋体" w:hAnsi="宋体" w:eastAsia="宋体" w:cs="宋体"/>
                <w:color w:val="auto"/>
                <w:kern w:val="0"/>
                <w:sz w:val="24"/>
                <w:szCs w:val="24"/>
                <w:highlight w:val="none"/>
                <w:lang w:eastAsia="zh-CN"/>
              </w:rPr>
              <w:t>（北京时间）止</w:t>
            </w:r>
            <w:r>
              <w:rPr>
                <w:rFonts w:hint="eastAsia" w:ascii="宋体" w:hAnsi="宋体" w:eastAsia="宋体" w:cs="宋体"/>
                <w:color w:val="auto"/>
                <w:kern w:val="0"/>
                <w:sz w:val="24"/>
                <w:szCs w:val="24"/>
                <w:highlight w:val="none"/>
                <w:lang w:val="en-US" w:eastAsia="zh-CN"/>
              </w:rPr>
              <w:t xml:space="preserve"> </w:t>
            </w:r>
          </w:p>
        </w:tc>
      </w:tr>
      <w:tr w14:paraId="194453A3">
        <w:tblPrEx>
          <w:tblCellMar>
            <w:top w:w="0" w:type="dxa"/>
            <w:left w:w="108" w:type="dxa"/>
            <w:bottom w:w="0" w:type="dxa"/>
            <w:right w:w="108" w:type="dxa"/>
          </w:tblCellMar>
        </w:tblPrEx>
        <w:trPr>
          <w:trHeight w:val="1081"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751C2328">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nil"/>
              <w:bottom w:val="single" w:color="000000" w:sz="4" w:space="0"/>
              <w:right w:val="single" w:color="auto" w:sz="4" w:space="0"/>
            </w:tcBorders>
            <w:vAlign w:val="center"/>
          </w:tcPr>
          <w:p w14:paraId="5FBC4E13">
            <w:pPr>
              <w:keepNext w:val="0"/>
              <w:keepLines w:val="0"/>
              <w:pageBreakBefore w:val="0"/>
              <w:widowControl/>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asciiTheme="minorEastAsia" w:hAnsiTheme="minorEastAsia" w:eastAsiaTheme="minorEastAsia"/>
                <w:color w:val="auto"/>
                <w:sz w:val="24"/>
                <w:szCs w:val="24"/>
                <w:highlight w:val="none"/>
              </w:rPr>
            </w:pPr>
            <w:r>
              <w:rPr>
                <w:rFonts w:hint="default" w:asciiTheme="minorEastAsia" w:hAnsiTheme="minorEastAsia" w:eastAsiaTheme="minorEastAsia"/>
                <w:color w:val="auto"/>
                <w:sz w:val="24"/>
                <w:szCs w:val="24"/>
                <w:highlight w:val="none"/>
              </w:rPr>
              <w:t>谈判</w:t>
            </w:r>
            <w:r>
              <w:rPr>
                <w:rFonts w:hint="eastAsia" w:asciiTheme="minorEastAsia" w:hAnsiTheme="minorEastAsia" w:eastAsiaTheme="minorEastAsia"/>
                <w:color w:val="auto"/>
                <w:sz w:val="24"/>
                <w:szCs w:val="24"/>
                <w:highlight w:val="none"/>
              </w:rPr>
              <w:t>小组构成</w:t>
            </w:r>
          </w:p>
        </w:tc>
        <w:tc>
          <w:tcPr>
            <w:tcW w:w="6993" w:type="dxa"/>
            <w:tcBorders>
              <w:top w:val="single" w:color="000000" w:sz="4" w:space="0"/>
              <w:left w:val="single" w:color="auto" w:sz="4" w:space="0"/>
              <w:bottom w:val="single" w:color="000000" w:sz="4" w:space="0"/>
              <w:right w:val="single" w:color="000000" w:sz="4" w:space="0"/>
            </w:tcBorders>
            <w:vAlign w:val="center"/>
          </w:tcPr>
          <w:p w14:paraId="213B8EE4">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根据《中华人民共和国政府采购法》</w:t>
            </w:r>
            <w:r>
              <w:rPr>
                <w:rFonts w:hint="eastAsia" w:asciiTheme="minorEastAsia" w:hAnsiTheme="minorEastAsia" w:eastAsiaTheme="minorEastAsia"/>
                <w:color w:val="auto"/>
                <w:sz w:val="24"/>
                <w:szCs w:val="24"/>
                <w:highlight w:val="none"/>
                <w:lang w:val="en-US" w:eastAsia="zh-CN"/>
              </w:rPr>
              <w:t>《政府采购非招标采购方式管理办法</w:t>
            </w:r>
            <w:r>
              <w:rPr>
                <w:rFonts w:hint="eastAsia"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财政部74号令）</w:t>
            </w:r>
            <w:r>
              <w:rPr>
                <w:rFonts w:hint="eastAsia" w:asciiTheme="minorEastAsia" w:hAnsiTheme="minorEastAsia" w:eastAsiaTheme="minorEastAsia"/>
                <w:color w:val="auto"/>
                <w:sz w:val="24"/>
                <w:szCs w:val="24"/>
                <w:highlight w:val="none"/>
              </w:rPr>
              <w:t>等有关法律规定组建</w:t>
            </w:r>
            <w:r>
              <w:rPr>
                <w:rFonts w:hint="eastAsia" w:asciiTheme="minorEastAsia" w:hAnsiTheme="minorEastAsia" w:eastAsiaTheme="minorEastAsia"/>
                <w:color w:val="auto"/>
                <w:sz w:val="24"/>
                <w:szCs w:val="24"/>
                <w:highlight w:val="none"/>
                <w:lang w:val="en-US" w:eastAsia="zh-CN"/>
              </w:rPr>
              <w:t>谈判</w:t>
            </w:r>
            <w:r>
              <w:rPr>
                <w:rFonts w:hint="eastAsia" w:asciiTheme="minorEastAsia" w:hAnsiTheme="minorEastAsia" w:eastAsiaTheme="minorEastAsia"/>
                <w:color w:val="auto"/>
                <w:sz w:val="24"/>
                <w:szCs w:val="24"/>
                <w:highlight w:val="none"/>
              </w:rPr>
              <w:t>小组。</w:t>
            </w:r>
          </w:p>
        </w:tc>
      </w:tr>
      <w:tr w14:paraId="2DAF73A8">
        <w:tblPrEx>
          <w:tblCellMar>
            <w:top w:w="0" w:type="dxa"/>
            <w:left w:w="108" w:type="dxa"/>
            <w:bottom w:w="0" w:type="dxa"/>
            <w:right w:w="108" w:type="dxa"/>
          </w:tblCellMar>
        </w:tblPrEx>
        <w:trPr>
          <w:trHeight w:val="1386"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0663ECBD">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1D5DE0C6">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eastAsia" w:cs="Times New Roman" w:asciiTheme="minorEastAsia" w:hAnsiTheme="minorEastAsia" w:eastAsiaTheme="minorEastAsia"/>
                <w:color w:val="auto"/>
                <w:sz w:val="24"/>
                <w:szCs w:val="24"/>
                <w:highlight w:val="none"/>
                <w:lang w:val="en-US" w:eastAsia="zh-CN"/>
              </w:rPr>
            </w:pPr>
            <w:r>
              <w:rPr>
                <w:rFonts w:hint="default" w:cs="Times New Roman" w:asciiTheme="minorEastAsia" w:hAnsiTheme="minorEastAsia" w:eastAsiaTheme="minorEastAsia"/>
                <w:color w:val="auto"/>
                <w:sz w:val="24"/>
                <w:szCs w:val="24"/>
                <w:highlight w:val="none"/>
                <w:lang w:eastAsia="zh-CN"/>
              </w:rPr>
              <w:t>响应</w:t>
            </w:r>
            <w:r>
              <w:rPr>
                <w:rFonts w:hint="eastAsia" w:cs="Times New Roman" w:asciiTheme="minorEastAsia" w:hAnsiTheme="minorEastAsia" w:eastAsiaTheme="minorEastAsia"/>
                <w:color w:val="auto"/>
                <w:sz w:val="24"/>
                <w:szCs w:val="24"/>
                <w:highlight w:val="none"/>
                <w:lang w:val="en-US" w:eastAsia="zh-CN"/>
              </w:rPr>
              <w:t>文件制作</w:t>
            </w:r>
          </w:p>
          <w:p w14:paraId="20E78133">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jc w:val="center"/>
              <w:textAlignment w:val="auto"/>
              <w:outlineLvl w:val="9"/>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val="en-US" w:eastAsia="zh-CN"/>
              </w:rPr>
              <w:t>及份数</w:t>
            </w:r>
          </w:p>
        </w:tc>
        <w:tc>
          <w:tcPr>
            <w:tcW w:w="6993" w:type="dxa"/>
            <w:tcBorders>
              <w:top w:val="single" w:color="000000" w:sz="4" w:space="0"/>
              <w:left w:val="single" w:color="000000" w:sz="4" w:space="0"/>
              <w:bottom w:val="single" w:color="000000" w:sz="4" w:space="0"/>
              <w:right w:val="single" w:color="000000" w:sz="4" w:space="0"/>
            </w:tcBorders>
            <w:vAlign w:val="top"/>
          </w:tcPr>
          <w:p w14:paraId="1E7F5077">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right="0"/>
              <w:textAlignment w:val="auto"/>
              <w:outlineLvl w:val="9"/>
              <w:rPr>
                <w:rFonts w:hint="default" w:cs="Times New Roman" w:asciiTheme="minorEastAsia" w:hAnsiTheme="minorEastAsia" w:eastAsiaTheme="minorEastAsia"/>
                <w:color w:val="auto"/>
                <w:sz w:val="24"/>
                <w:szCs w:val="24"/>
                <w:highlight w:val="none"/>
                <w:lang w:val="en-US" w:eastAsia="zh-CN"/>
              </w:rPr>
            </w:pPr>
            <w:bookmarkStart w:id="27" w:name="OLE_LINK18"/>
            <w:r>
              <w:rPr>
                <w:rFonts w:hint="eastAsia" w:cs="Times New Roman" w:asciiTheme="minorEastAsia" w:hAnsiTheme="minorEastAsia" w:eastAsiaTheme="minorEastAsia"/>
                <w:color w:val="auto"/>
                <w:sz w:val="24"/>
                <w:szCs w:val="24"/>
                <w:highlight w:val="none"/>
                <w:lang w:val="en-US" w:eastAsia="zh-CN"/>
              </w:rPr>
              <w:t>资格证明文件壹份，正本壹份，副本贰份，电子版投标文件壹份装入正本（U盘），资格证明文件、正本、副本投标文件分别单独封装。</w:t>
            </w:r>
            <w:bookmarkEnd w:id="27"/>
          </w:p>
        </w:tc>
      </w:tr>
      <w:tr w14:paraId="7C3D3752">
        <w:tblPrEx>
          <w:tblCellMar>
            <w:top w:w="0" w:type="dxa"/>
            <w:left w:w="108" w:type="dxa"/>
            <w:bottom w:w="0" w:type="dxa"/>
            <w:right w:w="108" w:type="dxa"/>
          </w:tblCellMar>
        </w:tblPrEx>
        <w:trPr>
          <w:trHeight w:val="907"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8093104">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0791CF3C">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09" w:rightChars="0"/>
              <w:jc w:val="center"/>
              <w:textAlignment w:val="auto"/>
              <w:outlineLvl w:val="9"/>
              <w:rPr>
                <w:rFonts w:hint="default" w:cs="Times New Roman" w:asciiTheme="minorEastAsia" w:hAnsiTheme="minorEastAsia" w:eastAsiaTheme="minorEastAsia"/>
                <w:color w:val="auto"/>
                <w:kern w:val="2"/>
                <w:sz w:val="24"/>
                <w:szCs w:val="24"/>
                <w:highlight w:val="none"/>
                <w:lang w:val="en-US" w:eastAsia="zh-CN" w:bidi="ar-SA"/>
              </w:rPr>
            </w:pPr>
            <w:r>
              <w:rPr>
                <w:rFonts w:hint="default" w:asciiTheme="minorEastAsia" w:hAnsiTheme="minorEastAsia" w:eastAsiaTheme="minorEastAsia"/>
                <w:color w:val="auto"/>
                <w:sz w:val="24"/>
                <w:szCs w:val="24"/>
                <w:highlight w:val="none"/>
              </w:rPr>
              <w:t>答疑</w:t>
            </w:r>
          </w:p>
        </w:tc>
        <w:tc>
          <w:tcPr>
            <w:tcW w:w="6993" w:type="dxa"/>
            <w:tcBorders>
              <w:top w:val="single" w:color="000000" w:sz="4" w:space="0"/>
              <w:left w:val="single" w:color="000000" w:sz="4" w:space="0"/>
              <w:bottom w:val="single" w:color="000000" w:sz="4" w:space="0"/>
              <w:right w:val="single" w:color="000000" w:sz="4" w:space="0"/>
            </w:tcBorders>
            <w:vAlign w:val="center"/>
          </w:tcPr>
          <w:p w14:paraId="54FD0BAA">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cs="Times New Roman" w:asciiTheme="minorEastAsia" w:hAnsiTheme="minorEastAsia" w:eastAsiaTheme="minorEastAsia"/>
                <w:color w:val="auto"/>
                <w:kern w:val="2"/>
                <w:sz w:val="24"/>
                <w:szCs w:val="24"/>
                <w:highlight w:val="none"/>
                <w:lang w:val="en-US" w:eastAsia="zh-CN" w:bidi="ar-SA"/>
              </w:rPr>
            </w:pPr>
            <w:r>
              <w:rPr>
                <w:rFonts w:hint="default" w:asciiTheme="minorEastAsia" w:hAnsiTheme="minorEastAsia" w:eastAsiaTheme="minorEastAsia"/>
                <w:color w:val="auto"/>
                <w:sz w:val="24"/>
                <w:szCs w:val="24"/>
                <w:highlight w:val="none"/>
              </w:rPr>
              <w:t>如有疑问，投标人需书面提出，经采购人收集问题后，统一答疑。</w:t>
            </w:r>
          </w:p>
        </w:tc>
      </w:tr>
      <w:tr w14:paraId="68762E4D">
        <w:tblPrEx>
          <w:tblCellMar>
            <w:top w:w="0" w:type="dxa"/>
            <w:left w:w="108" w:type="dxa"/>
            <w:bottom w:w="0" w:type="dxa"/>
            <w:right w:w="108" w:type="dxa"/>
          </w:tblCellMar>
        </w:tblPrEx>
        <w:trPr>
          <w:trHeight w:val="452"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1305F40C">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7F0C1DFB">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09" w:rightChars="0"/>
              <w:jc w:val="center"/>
              <w:textAlignment w:val="auto"/>
              <w:outlineLvl w:val="9"/>
              <w:rPr>
                <w:rFonts w:hint="default"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中小企业划分说明</w:t>
            </w:r>
          </w:p>
        </w:tc>
        <w:tc>
          <w:tcPr>
            <w:tcW w:w="6993" w:type="dxa"/>
            <w:tcBorders>
              <w:top w:val="single" w:color="000000" w:sz="4" w:space="0"/>
              <w:left w:val="single" w:color="000000" w:sz="4" w:space="0"/>
              <w:bottom w:val="single" w:color="000000" w:sz="4" w:space="0"/>
              <w:right w:val="single" w:color="000000" w:sz="4" w:space="0"/>
            </w:tcBorders>
            <w:vAlign w:val="center"/>
          </w:tcPr>
          <w:p w14:paraId="2B3A0A5E">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asciiTheme="minorEastAsia" w:hAnsiTheme="minorEastAsia" w:eastAsiaTheme="minorEastAsia"/>
                <w:color w:val="auto"/>
                <w:sz w:val="24"/>
                <w:szCs w:val="24"/>
                <w:highlight w:val="none"/>
                <w:lang w:val="en-US" w:eastAsia="zh-CN"/>
              </w:rPr>
            </w:pPr>
            <w:r>
              <w:rPr>
                <w:rFonts w:hint="default" w:asciiTheme="minorEastAsia" w:hAnsiTheme="minorEastAsia" w:eastAsiaTheme="minorEastAsia"/>
                <w:color w:val="auto"/>
                <w:sz w:val="24"/>
                <w:szCs w:val="24"/>
                <w:highlight w:val="none"/>
                <w:lang w:val="en-US" w:eastAsia="zh-CN"/>
              </w:rPr>
              <w:t>根据《中小企业划型标准规定》（工信部联企业〔2011〕300号），</w:t>
            </w:r>
          </w:p>
          <w:p w14:paraId="2393B00D">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asciiTheme="minorEastAsia" w:hAnsiTheme="minorEastAsia" w:eastAsiaTheme="minorEastAsia"/>
                <w:color w:val="auto"/>
                <w:sz w:val="24"/>
                <w:szCs w:val="24"/>
                <w:highlight w:val="none"/>
                <w:lang w:val="en-US" w:eastAsia="zh-CN"/>
              </w:rPr>
            </w:pPr>
            <w:r>
              <w:rPr>
                <w:rFonts w:hint="default" w:asciiTheme="minorEastAsia" w:hAnsiTheme="minorEastAsia" w:eastAsiaTheme="minorEastAsia"/>
                <w:color w:val="auto"/>
                <w:sz w:val="24"/>
                <w:szCs w:val="24"/>
                <w:highlight w:val="none"/>
                <w:lang w:val="en-US" w:eastAsia="zh-CN"/>
              </w:rPr>
              <w:t>本项目采购标的对应的中小企业划分标准所属行业为</w:t>
            </w:r>
            <w:r>
              <w:rPr>
                <w:rFonts w:hint="eastAsia" w:asciiTheme="minorEastAsia" w:hAnsiTheme="minorEastAsia" w:eastAsiaTheme="minorEastAsia"/>
                <w:color w:val="auto"/>
                <w:sz w:val="24"/>
                <w:szCs w:val="24"/>
                <w:highlight w:val="none"/>
                <w:lang w:val="en-US" w:eastAsia="zh-CN"/>
              </w:rPr>
              <w:t>批发业</w:t>
            </w:r>
            <w:r>
              <w:rPr>
                <w:rFonts w:hint="default" w:asciiTheme="minorEastAsia" w:hAnsiTheme="minorEastAsia" w:eastAsiaTheme="minorEastAsia"/>
                <w:color w:val="auto"/>
                <w:sz w:val="24"/>
                <w:szCs w:val="24"/>
                <w:highlight w:val="none"/>
                <w:lang w:eastAsia="zh-CN"/>
              </w:rPr>
              <w:t>。</w:t>
            </w:r>
          </w:p>
          <w:p w14:paraId="3F014C66">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eastAsia" w:eastAsia="宋体" w:asciiTheme="minorEastAsia" w:hAnsi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批发业划型标准为</w:t>
            </w:r>
            <w:r>
              <w:rPr>
                <w:rFonts w:hint="default" w:asciiTheme="minorEastAsia" w:hAnsiTheme="minorEastAsia" w:eastAsiaTheme="minorEastAsia"/>
                <w:color w:val="auto"/>
                <w:sz w:val="24"/>
                <w:szCs w:val="24"/>
                <w:highlight w:val="none"/>
              </w:rPr>
              <w:t>：</w:t>
            </w:r>
            <w:r>
              <w:rPr>
                <w:rFonts w:hint="eastAsia" w:ascii="宋体" w:hAnsi="宋体" w:eastAsia="宋体" w:cs="宋体"/>
                <w:i w:val="0"/>
                <w:iCs w:val="0"/>
                <w:caps w:val="0"/>
                <w:color w:val="333333"/>
                <w:spacing w:val="0"/>
                <w:sz w:val="24"/>
                <w:szCs w:val="24"/>
                <w:shd w:val="clear"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i w:val="0"/>
                <w:iCs w:val="0"/>
                <w:caps w:val="0"/>
                <w:color w:val="333333"/>
                <w:spacing w:val="0"/>
                <w:sz w:val="24"/>
                <w:szCs w:val="24"/>
                <w:shd w:val="clear" w:fill="FFFFFF"/>
                <w:lang w:eastAsia="zh-CN"/>
              </w:rPr>
              <w:t>。</w:t>
            </w:r>
          </w:p>
        </w:tc>
      </w:tr>
      <w:tr w14:paraId="2912D7DD">
        <w:tblPrEx>
          <w:tblCellMar>
            <w:top w:w="0" w:type="dxa"/>
            <w:left w:w="108" w:type="dxa"/>
            <w:bottom w:w="0" w:type="dxa"/>
            <w:right w:w="108" w:type="dxa"/>
          </w:tblCellMar>
        </w:tblPrEx>
        <w:trPr>
          <w:trHeight w:val="640"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66992253">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6F6C26F4">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09" w:rightChars="0"/>
              <w:jc w:val="center"/>
              <w:textAlignment w:val="auto"/>
              <w:outlineLvl w:val="9"/>
              <w:rPr>
                <w:rFonts w:hint="default"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核心产品</w:t>
            </w:r>
          </w:p>
        </w:tc>
        <w:tc>
          <w:tcPr>
            <w:tcW w:w="6993" w:type="dxa"/>
            <w:tcBorders>
              <w:top w:val="single" w:color="000000" w:sz="4" w:space="0"/>
              <w:left w:val="single" w:color="000000" w:sz="4" w:space="0"/>
              <w:bottom w:val="single" w:color="000000" w:sz="4" w:space="0"/>
              <w:right w:val="single" w:color="000000" w:sz="4" w:space="0"/>
            </w:tcBorders>
            <w:vAlign w:val="center"/>
          </w:tcPr>
          <w:p w14:paraId="6CB82CDC">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 纯牛奶、面包</w:t>
            </w:r>
          </w:p>
        </w:tc>
      </w:tr>
      <w:tr w14:paraId="368B16CA">
        <w:tblPrEx>
          <w:tblCellMar>
            <w:top w:w="0" w:type="dxa"/>
            <w:left w:w="108" w:type="dxa"/>
            <w:bottom w:w="0" w:type="dxa"/>
            <w:right w:w="108" w:type="dxa"/>
          </w:tblCellMar>
        </w:tblPrEx>
        <w:trPr>
          <w:trHeight w:val="518"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0CA04D5F">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135B5577">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09" w:rightChars="0"/>
              <w:jc w:val="center"/>
              <w:textAlignment w:val="auto"/>
              <w:outlineLvl w:val="9"/>
              <w:rPr>
                <w:rFonts w:hint="eastAsia" w:cs="Times New Roman" w:asciiTheme="minorEastAsia" w:hAnsiTheme="minorEastAsia" w:eastAsiaTheme="minorEastAsia"/>
                <w:b w:val="0"/>
                <w:bCs w:val="0"/>
                <w:color w:val="auto"/>
                <w:sz w:val="24"/>
                <w:szCs w:val="24"/>
                <w:highlight w:val="none"/>
                <w:lang w:val="en-US" w:eastAsia="zh-CN"/>
              </w:rPr>
            </w:pPr>
            <w:r>
              <w:rPr>
                <w:rFonts w:hint="eastAsia" w:cs="Times New Roman" w:asciiTheme="minorEastAsia" w:hAnsiTheme="minorEastAsia" w:eastAsiaTheme="minorEastAsia"/>
                <w:b w:val="0"/>
                <w:bCs w:val="0"/>
                <w:color w:val="auto"/>
                <w:sz w:val="24"/>
                <w:szCs w:val="24"/>
                <w:highlight w:val="none"/>
                <w:lang w:val="en-US" w:eastAsia="zh-CN"/>
              </w:rPr>
              <w:t>进口产品</w:t>
            </w:r>
          </w:p>
        </w:tc>
        <w:tc>
          <w:tcPr>
            <w:tcW w:w="6993" w:type="dxa"/>
            <w:tcBorders>
              <w:top w:val="single" w:color="000000" w:sz="4" w:space="0"/>
              <w:left w:val="single" w:color="000000" w:sz="4" w:space="0"/>
              <w:bottom w:val="single" w:color="000000" w:sz="4" w:space="0"/>
              <w:right w:val="single" w:color="000000" w:sz="4" w:space="0"/>
            </w:tcBorders>
            <w:vAlign w:val="center"/>
          </w:tcPr>
          <w:p w14:paraId="19D1A6E2">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不允许进口产品投标参与</w:t>
            </w:r>
          </w:p>
        </w:tc>
      </w:tr>
      <w:tr w14:paraId="771AE048">
        <w:tblPrEx>
          <w:tblCellMar>
            <w:top w:w="0" w:type="dxa"/>
            <w:left w:w="108" w:type="dxa"/>
            <w:bottom w:w="0" w:type="dxa"/>
            <w:right w:w="108" w:type="dxa"/>
          </w:tblCellMar>
        </w:tblPrEx>
        <w:trPr>
          <w:trHeight w:val="619" w:hRule="atLeast"/>
          <w:jc w:val="center"/>
        </w:trPr>
        <w:tc>
          <w:tcPr>
            <w:tcW w:w="705" w:type="dxa"/>
            <w:tcBorders>
              <w:top w:val="single" w:color="000000" w:sz="4" w:space="0"/>
              <w:left w:val="single" w:color="000000" w:sz="4" w:space="0"/>
              <w:bottom w:val="single" w:color="000000" w:sz="4" w:space="0"/>
              <w:right w:val="single" w:color="000000" w:sz="4" w:space="0"/>
            </w:tcBorders>
            <w:vAlign w:val="center"/>
          </w:tcPr>
          <w:p w14:paraId="05494E35">
            <w:pPr>
              <w:keepNext w:val="0"/>
              <w:keepLines w:val="0"/>
              <w:pageBreakBefore w:val="0"/>
              <w:widowControl/>
              <w:numPr>
                <w:ilvl w:val="0"/>
                <w:numId w:val="1"/>
              </w:numPr>
              <w:suppressLineNumbers w:val="0"/>
              <w:kinsoku/>
              <w:wordWrap w:val="0"/>
              <w:topLinePunct w:val="0"/>
              <w:autoSpaceDE/>
              <w:autoSpaceDN/>
              <w:bidi w:val="0"/>
              <w:spacing w:before="0" w:beforeAutospacing="0" w:after="0" w:afterAutospacing="0" w:line="460" w:lineRule="exact"/>
              <w:ind w:left="705" w:leftChars="0" w:right="0" w:hanging="425" w:firstLineChars="0"/>
              <w:jc w:val="center"/>
              <w:textAlignment w:val="auto"/>
              <w:outlineLvl w:val="9"/>
              <w:rPr>
                <w:rFonts w:hint="default" w:asciiTheme="minorEastAsia" w:hAnsiTheme="minorEastAsia" w:eastAsiaTheme="minorEastAsia"/>
                <w:color w:val="auto"/>
                <w:sz w:val="24"/>
                <w:szCs w:val="24"/>
                <w:highlight w:val="none"/>
              </w:rPr>
            </w:pPr>
          </w:p>
        </w:tc>
        <w:tc>
          <w:tcPr>
            <w:tcW w:w="1911" w:type="dxa"/>
            <w:tcBorders>
              <w:top w:val="single" w:color="000000" w:sz="4" w:space="0"/>
              <w:left w:val="single" w:color="000000" w:sz="4" w:space="0"/>
              <w:bottom w:val="single" w:color="000000" w:sz="4" w:space="0"/>
              <w:right w:val="single" w:color="000000" w:sz="4" w:space="0"/>
            </w:tcBorders>
            <w:vAlign w:val="center"/>
          </w:tcPr>
          <w:p w14:paraId="214471DF">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09" w:rightChars="0"/>
              <w:jc w:val="center"/>
              <w:textAlignment w:val="auto"/>
              <w:outlineLvl w:val="9"/>
              <w:rPr>
                <w:rFonts w:hint="eastAsia" w:cs="Times New Roman" w:asciiTheme="minorEastAsia" w:hAnsiTheme="minorEastAsia" w:eastAsiaTheme="minorEastAsia"/>
                <w:b w:val="0"/>
                <w:bCs w:val="0"/>
                <w:color w:val="auto"/>
                <w:sz w:val="24"/>
                <w:szCs w:val="24"/>
                <w:highlight w:val="none"/>
                <w:lang w:val="en-US" w:eastAsia="zh-CN"/>
              </w:rPr>
            </w:pPr>
            <w:r>
              <w:rPr>
                <w:rFonts w:hint="eastAsia" w:cs="Times New Roman" w:asciiTheme="minorEastAsia" w:hAnsiTheme="minorEastAsia" w:eastAsiaTheme="minorEastAsia"/>
                <w:b w:val="0"/>
                <w:bCs w:val="0"/>
                <w:color w:val="auto"/>
                <w:sz w:val="24"/>
                <w:szCs w:val="24"/>
                <w:highlight w:val="none"/>
                <w:lang w:val="en-US" w:eastAsia="zh-CN"/>
              </w:rPr>
              <w:t>分包、转包</w:t>
            </w:r>
          </w:p>
        </w:tc>
        <w:tc>
          <w:tcPr>
            <w:tcW w:w="6993" w:type="dxa"/>
            <w:tcBorders>
              <w:top w:val="single" w:color="000000" w:sz="4" w:space="0"/>
              <w:left w:val="single" w:color="000000" w:sz="4" w:space="0"/>
              <w:bottom w:val="single" w:color="000000" w:sz="4" w:space="0"/>
              <w:right w:val="single" w:color="000000" w:sz="4" w:space="0"/>
            </w:tcBorders>
            <w:vAlign w:val="center"/>
          </w:tcPr>
          <w:p w14:paraId="09B94459">
            <w:pPr>
              <w:keepNext w:val="0"/>
              <w:keepLines w:val="0"/>
              <w:pageBreakBefore w:val="0"/>
              <w:widowControl w:val="0"/>
              <w:suppressLineNumbers w:val="0"/>
              <w:kinsoku/>
              <w:wordWrap w:val="0"/>
              <w:topLinePunct w:val="0"/>
              <w:autoSpaceDE/>
              <w:autoSpaceDN/>
              <w:bidi w:val="0"/>
              <w:spacing w:before="0" w:beforeAutospacing="0" w:after="0" w:afterAutospacing="0" w:line="460" w:lineRule="exact"/>
              <w:ind w:left="0" w:leftChars="0" w:right="-11" w:rightChars="0"/>
              <w:jc w:val="both"/>
              <w:textAlignment w:val="auto"/>
              <w:outlineLvl w:val="9"/>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不允许分包、转包</w:t>
            </w:r>
          </w:p>
        </w:tc>
      </w:tr>
    </w:tbl>
    <w:p w14:paraId="713329B4">
      <w:pPr>
        <w:keepNext w:val="0"/>
        <w:keepLines w:val="0"/>
        <w:pageBreakBefore w:val="0"/>
        <w:kinsoku/>
        <w:wordWrap/>
        <w:topLinePunct w:val="0"/>
        <w:autoSpaceDE/>
        <w:autoSpaceDN/>
        <w:bidi w:val="0"/>
        <w:spacing w:line="460" w:lineRule="exact"/>
        <w:textAlignment w:val="auto"/>
        <w:outlineLvl w:val="9"/>
        <w:rPr>
          <w:color w:val="auto"/>
          <w:highlight w:val="none"/>
        </w:rPr>
      </w:pPr>
    </w:p>
    <w:p w14:paraId="6445B95F">
      <w:pPr>
        <w:keepNext w:val="0"/>
        <w:keepLines w:val="0"/>
        <w:pageBreakBefore w:val="0"/>
        <w:kinsoku/>
        <w:topLinePunct w:val="0"/>
        <w:autoSpaceDE/>
        <w:autoSpaceDN/>
        <w:bidi w:val="0"/>
        <w:jc w:val="center"/>
        <w:textAlignment w:val="auto"/>
        <w:outlineLvl w:val="9"/>
        <w:rPr>
          <w:rFonts w:hint="eastAsia" w:ascii="宋体" w:hAnsi="宋体" w:eastAsia="宋体"/>
          <w:b/>
          <w:bCs/>
          <w:kern w:val="44"/>
          <w:sz w:val="36"/>
          <w:szCs w:val="44"/>
        </w:rPr>
        <w:sectPr>
          <w:headerReference r:id="rId13" w:type="first"/>
          <w:footerReference r:id="rId16" w:type="first"/>
          <w:headerReference r:id="rId11" w:type="default"/>
          <w:footerReference r:id="rId14" w:type="default"/>
          <w:headerReference r:id="rId12" w:type="even"/>
          <w:footerReference r:id="rId15" w:type="even"/>
          <w:pgSz w:w="11905" w:h="16838"/>
          <w:pgMar w:top="1304" w:right="1304" w:bottom="1304" w:left="1304" w:header="964" w:footer="1020" w:gutter="0"/>
          <w:pgNumType w:fmt="decimal" w:start="1"/>
          <w:cols w:space="0" w:num="1"/>
          <w:rtlGutter w:val="0"/>
          <w:docGrid w:type="lines" w:linePitch="395" w:charSpace="0"/>
        </w:sectPr>
      </w:pPr>
      <w:bookmarkStart w:id="28" w:name="OLE_LINK10"/>
      <w:bookmarkStart w:id="29" w:name="_Toc23316531"/>
      <w:bookmarkStart w:id="30" w:name="_Toc25719"/>
      <w:bookmarkStart w:id="31" w:name="_Toc23316595"/>
      <w:bookmarkStart w:id="32" w:name="_Toc14189285"/>
      <w:bookmarkStart w:id="33" w:name="_Toc424636365"/>
      <w:bookmarkStart w:id="34" w:name="_Toc14189418"/>
      <w:bookmarkStart w:id="35" w:name="_Toc18412210"/>
      <w:bookmarkStart w:id="36" w:name="_Toc23316693"/>
      <w:bookmarkStart w:id="37" w:name="_Toc23315671"/>
    </w:p>
    <w:p w14:paraId="23EB69A6">
      <w:pPr>
        <w:keepNext w:val="0"/>
        <w:keepLines w:val="0"/>
        <w:pageBreakBefore w:val="0"/>
        <w:kinsoku/>
        <w:topLinePunct w:val="0"/>
        <w:autoSpaceDE/>
        <w:autoSpaceDN/>
        <w:bidi w:val="0"/>
        <w:jc w:val="center"/>
        <w:textAlignment w:val="auto"/>
        <w:outlineLvl w:val="9"/>
        <w:rPr>
          <w:rFonts w:ascii="宋体" w:hAnsi="宋体" w:eastAsia="宋体"/>
          <w:b/>
          <w:bCs/>
          <w:kern w:val="44"/>
          <w:sz w:val="36"/>
          <w:szCs w:val="44"/>
        </w:rPr>
      </w:pPr>
      <w:r>
        <w:rPr>
          <w:rFonts w:hint="eastAsia" w:ascii="宋体" w:hAnsi="宋体" w:eastAsia="宋体"/>
          <w:b/>
          <w:bCs/>
          <w:kern w:val="44"/>
          <w:sz w:val="36"/>
          <w:szCs w:val="44"/>
        </w:rPr>
        <w:t>供应商须知</w:t>
      </w:r>
    </w:p>
    <w:p w14:paraId="3F1F0CBB">
      <w:pPr>
        <w:keepNext w:val="0"/>
        <w:keepLines w:val="0"/>
        <w:pageBreakBefore w:val="0"/>
        <w:kinsoku/>
        <w:topLinePunct w:val="0"/>
        <w:autoSpaceDE/>
        <w:autoSpaceDN/>
        <w:bidi w:val="0"/>
        <w:adjustRightInd w:val="0"/>
        <w:snapToGrid w:val="0"/>
        <w:spacing w:line="480" w:lineRule="exact"/>
        <w:ind w:firstLine="480" w:firstLineChars="200"/>
        <w:jc w:val="center"/>
        <w:textAlignment w:val="auto"/>
        <w:outlineLvl w:val="9"/>
        <w:rPr>
          <w:rFonts w:hint="eastAsia" w:ascii="宋体" w:hAnsi="宋体" w:eastAsia="宋体" w:cs="宋体"/>
          <w:kern w:val="0"/>
          <w:sz w:val="24"/>
          <w:szCs w:val="24"/>
        </w:rPr>
      </w:pPr>
      <w:bookmarkStart w:id="38" w:name="_Toc14189403"/>
      <w:bookmarkStart w:id="39" w:name="_Toc18412195"/>
      <w:bookmarkStart w:id="40" w:name="_Toc35335252"/>
      <w:bookmarkStart w:id="41" w:name="_Toc23315656"/>
      <w:bookmarkStart w:id="42" w:name="_Toc23316516"/>
      <w:bookmarkStart w:id="43" w:name="_Toc23316678"/>
      <w:bookmarkStart w:id="44" w:name="_Toc23316580"/>
      <w:bookmarkStart w:id="45" w:name="_Toc26416"/>
      <w:bookmarkStart w:id="46" w:name="_Toc12880"/>
      <w:bookmarkStart w:id="47" w:name="_Toc14189266"/>
      <w:r>
        <w:rPr>
          <w:rFonts w:hint="eastAsia" w:ascii="宋体" w:hAnsi="宋体" w:eastAsia="宋体" w:cs="宋体"/>
          <w:kern w:val="0"/>
          <w:sz w:val="24"/>
          <w:szCs w:val="24"/>
        </w:rPr>
        <w:t>一、</w:t>
      </w:r>
      <w:r>
        <w:rPr>
          <w:rFonts w:hint="eastAsia" w:ascii="宋体" w:hAnsi="宋体" w:eastAsia="宋体" w:cs="宋体"/>
          <w:b/>
          <w:bCs/>
          <w:kern w:val="44"/>
          <w:sz w:val="24"/>
          <w:szCs w:val="24"/>
        </w:rPr>
        <w:t>总则</w:t>
      </w:r>
    </w:p>
    <w:p w14:paraId="65ADED6C">
      <w:pPr>
        <w:keepNext w:val="0"/>
        <w:keepLines w:val="0"/>
        <w:pageBreakBefore w:val="0"/>
        <w:kinsoku/>
        <w:wordWrap/>
        <w:overflowPunct/>
        <w:topLinePunct w:val="0"/>
        <w:autoSpaceDE/>
        <w:autoSpaceDN/>
        <w:bidi w:val="0"/>
        <w:adjustRightInd w:val="0"/>
        <w:snapToGrid w:val="0"/>
        <w:spacing w:line="312" w:lineRule="auto"/>
        <w:ind w:firstLine="482" w:firstLineChars="200"/>
        <w:textAlignment w:val="auto"/>
        <w:outlineLvl w:val="9"/>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1.</w:t>
      </w:r>
      <w:r>
        <w:rPr>
          <w:rFonts w:hint="eastAsia" w:ascii="宋体" w:hAnsi="宋体" w:eastAsia="宋体" w:cs="宋体"/>
          <w:b/>
          <w:kern w:val="0"/>
          <w:sz w:val="24"/>
          <w:szCs w:val="24"/>
        </w:rPr>
        <w:t>采购依据</w:t>
      </w:r>
    </w:p>
    <w:p w14:paraId="0CBD483A">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本次采购</w:t>
      </w:r>
      <w:r>
        <w:rPr>
          <w:rFonts w:hint="eastAsia" w:ascii="宋体" w:hAnsi="宋体" w:cs="宋体"/>
          <w:color w:val="auto"/>
          <w:kern w:val="0"/>
          <w:sz w:val="24"/>
          <w:szCs w:val="24"/>
          <w:lang w:val="en-US" w:eastAsia="zh-CN"/>
        </w:rPr>
        <w:t>参照</w:t>
      </w:r>
      <w:r>
        <w:rPr>
          <w:rFonts w:hint="eastAsia" w:ascii="宋体" w:hAnsi="宋体" w:eastAsia="宋体" w:cs="宋体"/>
          <w:color w:val="auto"/>
          <w:kern w:val="0"/>
          <w:sz w:val="24"/>
          <w:szCs w:val="24"/>
          <w:lang w:val="en-US" w:eastAsia="zh-CN"/>
        </w:rPr>
        <w:t>《中华人民共和国政府采购法》《中华人民共和国政府采购法实施条例》《政府采购非招标采购方式管理办法》（财政部令第74号）及国家现行有关法律法规执行。</w:t>
      </w:r>
    </w:p>
    <w:p w14:paraId="793080A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2</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适用范围</w:t>
      </w:r>
    </w:p>
    <w:p w14:paraId="37A8F40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本竞争性谈判文件适用于本次谈判活动的全过程。</w:t>
      </w:r>
    </w:p>
    <w:p w14:paraId="4DE76FB5">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3</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合格的供应商</w:t>
      </w:r>
    </w:p>
    <w:p w14:paraId="7F6A29E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3.1具有本项目生产、制造、加工、供应或实施能力，符合、承认并承诺履行本谈判文件各项规定的国内供应商。</w:t>
      </w:r>
    </w:p>
    <w:p w14:paraId="49C2061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3.2供应商应遵守有关的国家法律法规和条例，具备《中华人民共和国政府采购法》和本文件中规定的条件：</w:t>
      </w:r>
    </w:p>
    <w:p w14:paraId="553A0115">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（1）具有独立承担民事责任的能力；</w:t>
      </w:r>
    </w:p>
    <w:p w14:paraId="2A5C7D1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（2）具有良好的商业信誉和健全的财务会计制度；</w:t>
      </w:r>
    </w:p>
    <w:p w14:paraId="66D4203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（3）具有履行合同所必需的产品和专业技术能力；</w:t>
      </w:r>
    </w:p>
    <w:p w14:paraId="5B4ADF1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（4）具有依法缴纳税收和社会保障资金的良好记录；</w:t>
      </w:r>
    </w:p>
    <w:p w14:paraId="4D4E797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（5）参加此项采购活动前三年内，在经营活动中没有重大违法记录；</w:t>
      </w:r>
    </w:p>
    <w:p w14:paraId="5CCEF676">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（6）法律、行政法规规定的其他条件。</w:t>
      </w:r>
    </w:p>
    <w:p w14:paraId="4F17983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3.3供应商</w:t>
      </w:r>
      <w:r>
        <w:rPr>
          <w:rFonts w:hint="eastAsia" w:ascii="宋体" w:hAnsi="宋体" w:cs="宋体"/>
          <w:color w:val="auto"/>
          <w:kern w:val="0"/>
          <w:sz w:val="24"/>
          <w:szCs w:val="24"/>
          <w:lang w:val="en-US" w:eastAsia="zh-CN"/>
        </w:rPr>
        <w:t>获取</w:t>
      </w:r>
      <w:r>
        <w:rPr>
          <w:rFonts w:hint="eastAsia" w:ascii="宋体" w:hAnsi="宋体" w:eastAsia="宋体" w:cs="宋体"/>
          <w:color w:val="auto"/>
          <w:kern w:val="0"/>
          <w:sz w:val="24"/>
          <w:szCs w:val="24"/>
          <w:lang w:val="en-US" w:eastAsia="zh-CN"/>
        </w:rPr>
        <w:t>谈判文件时应提供有效联系方式。</w:t>
      </w:r>
    </w:p>
    <w:p w14:paraId="2F8C8D2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3.4如供应商代表不是法定代表人，须持有《法定代表人授权委托书》 （按谈判文件提供的格式填写）。</w:t>
      </w:r>
    </w:p>
    <w:p w14:paraId="7543876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3.5供应商应独立于采购人，不得直接或间接地与采购人为采购本次招标的货物或服务进行设计、编制技术规格和其他文件所委托的咨询公司或其附属机构有任何关联。</w:t>
      </w:r>
    </w:p>
    <w:p w14:paraId="3E6AE49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3.6供应商不得存在下列情形之一：</w:t>
      </w:r>
    </w:p>
    <w:p w14:paraId="7275C44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（1）与采购人或采购代理机构存在隶属关系或者其他利害关系；</w:t>
      </w:r>
    </w:p>
    <w:p w14:paraId="551393AA">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（2）与其他供应商的法定代表人（或者负责人）为同一人，或者与其他供应商存在直接控股、管理关系；</w:t>
      </w:r>
    </w:p>
    <w:p w14:paraId="0C25D69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（3）受到刑事处罚，或者受到</w:t>
      </w:r>
      <w:r>
        <w:rPr>
          <w:rFonts w:hint="eastAsia" w:ascii="宋体" w:hAnsi="宋体" w:cs="宋体"/>
          <w:color w:val="auto"/>
          <w:kern w:val="0"/>
          <w:sz w:val="24"/>
          <w:szCs w:val="24"/>
          <w:lang w:val="en-US" w:eastAsia="zh-CN"/>
        </w:rPr>
        <w:t>200</w:t>
      </w:r>
      <w:r>
        <w:rPr>
          <w:rFonts w:hint="eastAsia" w:ascii="宋体" w:hAnsi="宋体" w:eastAsia="宋体" w:cs="宋体"/>
          <w:color w:val="auto"/>
          <w:kern w:val="0"/>
          <w:sz w:val="24"/>
          <w:szCs w:val="24"/>
          <w:lang w:val="en-US" w:eastAsia="zh-CN"/>
        </w:rPr>
        <w:t>万元以上罚款，责令停产停业、在一年至三年内禁止参加政府采购活动、吊销许可证、吊销执照等情形之一的行政处罚，或者存在财政部门认定的其他重大违法记录。</w:t>
      </w:r>
    </w:p>
    <w:p w14:paraId="7951E85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p>
    <w:p w14:paraId="17CB2BD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4</w:t>
      </w:r>
      <w:r>
        <w:rPr>
          <w:rFonts w:hint="eastAsia" w:ascii="宋体" w:hAnsi="宋体" w:cs="宋体"/>
          <w:b/>
          <w:bCs/>
          <w:color w:val="auto"/>
          <w:kern w:val="0"/>
          <w:sz w:val="24"/>
          <w:szCs w:val="24"/>
          <w:lang w:val="en-US" w:eastAsia="zh-CN"/>
        </w:rPr>
        <w:t>.合格的货物与服务</w:t>
      </w:r>
    </w:p>
    <w:p w14:paraId="1FD077A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4.1本次谈判所用货物及其有关服务，均应来自上述3条款所规定的合格供应商。</w:t>
      </w:r>
    </w:p>
    <w:p w14:paraId="72BCBDB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4.2货物系指供应商按谈判文件规定，向采购人提供的符合谈判文件要求的相关的货物。</w:t>
      </w:r>
    </w:p>
    <w:p w14:paraId="4DA4150B">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4.3服务系指谈判文件规定的，供应商须承担的与谈判货物有关的辅助服务，如包装、运输、保险、安装、调试、技术培训、售后服务以及其他类似的义务。</w:t>
      </w:r>
    </w:p>
    <w:p w14:paraId="4C8E819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5</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政府采购政策支持</w:t>
      </w:r>
    </w:p>
    <w:p w14:paraId="2C20F45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5.1对列入财政部、</w:t>
      </w:r>
      <w:r>
        <w:rPr>
          <w:rFonts w:hint="eastAsia" w:ascii="宋体" w:hAnsi="宋体" w:cs="宋体"/>
          <w:color w:val="auto"/>
          <w:kern w:val="0"/>
          <w:sz w:val="24"/>
          <w:szCs w:val="24"/>
          <w:lang w:val="en-US" w:eastAsia="zh-CN"/>
        </w:rPr>
        <w:t>国家发展改革委</w:t>
      </w:r>
      <w:r>
        <w:rPr>
          <w:rFonts w:hint="eastAsia" w:ascii="宋体" w:hAnsi="宋体" w:eastAsia="宋体" w:cs="宋体"/>
          <w:color w:val="auto"/>
          <w:kern w:val="0"/>
          <w:sz w:val="24"/>
          <w:szCs w:val="24"/>
          <w:lang w:val="en-US" w:eastAsia="zh-CN"/>
        </w:rPr>
        <w:t xml:space="preserve">发布的《节能产品政府采购清单》且属于应当“强制采购的节能产品”，按照规定实行强制采购。 </w:t>
      </w:r>
    </w:p>
    <w:p w14:paraId="3428A34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5.2对列入财政部、</w:t>
      </w:r>
      <w:r>
        <w:rPr>
          <w:rFonts w:hint="eastAsia" w:ascii="宋体" w:hAnsi="宋体" w:cs="宋体"/>
          <w:color w:val="auto"/>
          <w:kern w:val="0"/>
          <w:sz w:val="24"/>
          <w:szCs w:val="24"/>
          <w:lang w:val="en-US" w:eastAsia="zh-CN"/>
        </w:rPr>
        <w:t>国家发展和改革委员会</w:t>
      </w:r>
      <w:r>
        <w:rPr>
          <w:rFonts w:hint="eastAsia" w:ascii="宋体" w:hAnsi="宋体" w:eastAsia="宋体" w:cs="宋体"/>
          <w:color w:val="auto"/>
          <w:kern w:val="0"/>
          <w:sz w:val="24"/>
          <w:szCs w:val="24"/>
          <w:lang w:val="en-US" w:eastAsia="zh-CN"/>
        </w:rPr>
        <w:t>发布的《节能产品政府采购清单》的“非强制采购节能产品”，财政部、</w:t>
      </w:r>
      <w:r>
        <w:rPr>
          <w:rFonts w:hint="eastAsia" w:ascii="宋体" w:hAnsi="宋体" w:cs="宋体"/>
          <w:color w:val="auto"/>
          <w:kern w:val="0"/>
          <w:sz w:val="24"/>
          <w:szCs w:val="24"/>
          <w:lang w:val="en-US" w:eastAsia="zh-CN"/>
        </w:rPr>
        <w:t>生态环境部</w:t>
      </w:r>
      <w:r>
        <w:rPr>
          <w:rFonts w:hint="eastAsia" w:ascii="宋体" w:hAnsi="宋体" w:eastAsia="宋体" w:cs="宋体"/>
          <w:color w:val="auto"/>
          <w:kern w:val="0"/>
          <w:sz w:val="24"/>
          <w:szCs w:val="24"/>
          <w:lang w:val="en-US" w:eastAsia="zh-CN"/>
        </w:rPr>
        <w:t>发布的《环境标志产品政府采购清单》的“环境标志产品”以及中小企业（监狱企业视同小型、微型企业），实行优先采购，按照省级以上财政部门有关政策规定，评审时进行价格扣除或者加分。</w:t>
      </w:r>
    </w:p>
    <w:p w14:paraId="71D52C3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5.3产品同时属于“非强制采购节能产品”、环境标志产品的，评审时只有其中一项能享受优先待遇（供应商自行选择，并在报价文件中填写相关信息及数据）。</w:t>
      </w:r>
    </w:p>
    <w:p w14:paraId="069CE28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5.4供应商有融资、担保需求的，具体办理流程按照财政厅及相关政策执行。</w:t>
      </w:r>
    </w:p>
    <w:p w14:paraId="2E10195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6</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费用承担</w:t>
      </w:r>
    </w:p>
    <w:p w14:paraId="79CFBCC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供应商准备和参加谈判活动发生的费用自理。</w:t>
      </w:r>
    </w:p>
    <w:p w14:paraId="3AC4DB3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7</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保密</w:t>
      </w:r>
    </w:p>
    <w:p w14:paraId="2B94FCF6">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参与谈判活动的各方应对谈判文件和响应文件的商业和技术等秘密保密，违者应对由此造成的后果承担法律责任。</w:t>
      </w:r>
    </w:p>
    <w:p w14:paraId="008DEBFB">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8</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语言文字</w:t>
      </w:r>
    </w:p>
    <w:p w14:paraId="7760B61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除专用术语外，与谈判文件有关的语言均使用中文；必要时专用术语应附有中文注释。</w:t>
      </w:r>
    </w:p>
    <w:p w14:paraId="6B94D59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9</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计量单位</w:t>
      </w:r>
    </w:p>
    <w:p w14:paraId="3618E77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所有计量均采用中华人民共和国法定计量单位。</w:t>
      </w:r>
    </w:p>
    <w:p w14:paraId="35E7D7E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10</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踏勘现场</w:t>
      </w:r>
    </w:p>
    <w:p w14:paraId="6C03625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不组织踏勘现场。</w:t>
      </w:r>
    </w:p>
    <w:p w14:paraId="29FB371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11</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偏离</w:t>
      </w:r>
    </w:p>
    <w:p w14:paraId="077DDCA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除供应商须知前附表另有规定外，供应商递交的响应文件不允许严重负偏离。</w:t>
      </w:r>
    </w:p>
    <w:p w14:paraId="0C5FC5B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jc w:val="center"/>
        <w:textAlignment w:val="auto"/>
        <w:rPr>
          <w:rFonts w:hint="eastAsia" w:ascii="宋体" w:hAnsi="宋体" w:eastAsia="宋体" w:cs="宋体"/>
          <w:b/>
          <w:bCs/>
          <w:color w:val="auto"/>
          <w:kern w:val="0"/>
          <w:sz w:val="24"/>
          <w:szCs w:val="24"/>
          <w:lang w:val="en-US" w:eastAsia="zh-CN"/>
        </w:rPr>
      </w:pPr>
      <w:bookmarkStart w:id="48" w:name="_Toc16823"/>
      <w:r>
        <w:rPr>
          <w:rFonts w:hint="eastAsia" w:ascii="宋体" w:hAnsi="宋体" w:eastAsia="宋体" w:cs="宋体"/>
          <w:b/>
          <w:bCs/>
          <w:color w:val="auto"/>
          <w:kern w:val="0"/>
          <w:sz w:val="24"/>
          <w:szCs w:val="24"/>
          <w:lang w:val="en-US" w:eastAsia="zh-CN"/>
        </w:rPr>
        <w:t>二、谈判文件</w:t>
      </w:r>
      <w:bookmarkEnd w:id="38"/>
      <w:bookmarkEnd w:id="39"/>
      <w:bookmarkEnd w:id="40"/>
      <w:bookmarkEnd w:id="41"/>
      <w:bookmarkEnd w:id="42"/>
      <w:bookmarkEnd w:id="43"/>
      <w:bookmarkEnd w:id="44"/>
      <w:bookmarkEnd w:id="45"/>
      <w:bookmarkEnd w:id="46"/>
      <w:bookmarkEnd w:id="47"/>
      <w:bookmarkEnd w:id="48"/>
    </w:p>
    <w:p w14:paraId="7F45A59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49" w:name="_Toc536202289"/>
      <w:bookmarkStart w:id="50" w:name="_Toc5801"/>
      <w:bookmarkStart w:id="51" w:name="_Toc18412199"/>
      <w:bookmarkStart w:id="52" w:name="_Toc35335256"/>
      <w:bookmarkStart w:id="53" w:name="_Toc23315660"/>
      <w:bookmarkStart w:id="54" w:name="_Toc32118"/>
      <w:bookmarkStart w:id="55" w:name="_Toc14189270"/>
      <w:bookmarkStart w:id="56" w:name="_Toc23316682"/>
      <w:bookmarkStart w:id="57" w:name="_Toc18709"/>
      <w:bookmarkStart w:id="58" w:name="_Toc14189407"/>
      <w:bookmarkStart w:id="59" w:name="_Toc23316584"/>
      <w:bookmarkStart w:id="60" w:name="_Toc23316520"/>
      <w:r>
        <w:rPr>
          <w:rFonts w:hint="eastAsia" w:ascii="宋体" w:hAnsi="宋体" w:eastAsia="宋体" w:cs="宋体"/>
          <w:b/>
          <w:bCs/>
          <w:color w:val="auto"/>
          <w:kern w:val="0"/>
          <w:sz w:val="24"/>
          <w:szCs w:val="24"/>
          <w:lang w:val="en-US" w:eastAsia="zh-CN"/>
        </w:rPr>
        <w:t>1</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竞争性谈判文件的构成</w:t>
      </w:r>
      <w:bookmarkEnd w:id="49"/>
      <w:bookmarkEnd w:id="50"/>
    </w:p>
    <w:p w14:paraId="024A52D6">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竞争性谈判文件是供应商准备响应文件和参加谈判的依据，同时也是评审的重要依据，具有标准法律文件性质。竞争性谈判文件用以阐明采购项目所需的</w:t>
      </w:r>
      <w:r>
        <w:rPr>
          <w:rFonts w:hint="eastAsia" w:ascii="宋体" w:hAnsi="宋体" w:cs="宋体"/>
          <w:color w:val="auto"/>
          <w:kern w:val="0"/>
          <w:sz w:val="24"/>
          <w:szCs w:val="24"/>
          <w:lang w:val="en-US" w:eastAsia="zh-CN"/>
        </w:rPr>
        <w:t>资格</w:t>
      </w:r>
      <w:r>
        <w:rPr>
          <w:rFonts w:hint="eastAsia" w:ascii="宋体" w:hAnsi="宋体" w:eastAsia="宋体" w:cs="宋体"/>
          <w:color w:val="auto"/>
          <w:kern w:val="0"/>
          <w:sz w:val="24"/>
          <w:szCs w:val="24"/>
          <w:lang w:val="en-US" w:eastAsia="zh-CN"/>
        </w:rPr>
        <w:t xml:space="preserve">、技术、服务、货物及报价等要求、谈判程序、有关规定和注意事项以及合同主要条款等。本竞争性谈判文件包括以下内容： </w:t>
      </w:r>
    </w:p>
    <w:p w14:paraId="4BEC324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eastAsia="zh-CN"/>
        </w:rPr>
        <w:t>竞争性谈判公告</w:t>
      </w:r>
      <w:bookmarkStart w:id="61" w:name="OLE_LINK27"/>
      <w:r>
        <w:rPr>
          <w:rFonts w:hint="eastAsia" w:ascii="宋体" w:hAnsi="宋体" w:eastAsia="宋体" w:cs="宋体"/>
          <w:color w:val="auto"/>
          <w:kern w:val="0"/>
          <w:sz w:val="24"/>
          <w:szCs w:val="24"/>
          <w:lang w:val="en-US" w:eastAsia="zh-CN"/>
        </w:rPr>
        <w:t>；</w:t>
      </w:r>
      <w:bookmarkEnd w:id="61"/>
    </w:p>
    <w:p w14:paraId="76A5A64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eastAsia="zh-CN"/>
        </w:rPr>
        <w:t>供应商须知；</w:t>
      </w:r>
    </w:p>
    <w:p w14:paraId="6476B9EA">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en-US" w:eastAsia="zh-CN"/>
        </w:rPr>
        <w:t>谈判内容及技术要求；</w:t>
      </w:r>
    </w:p>
    <w:p w14:paraId="7B975652">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lang w:val="en-US" w:eastAsia="zh-CN"/>
        </w:rPr>
        <w:t>合同主要条款；</w:t>
      </w:r>
    </w:p>
    <w:p w14:paraId="0897AE92">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lang w:val="en-US" w:eastAsia="zh-CN"/>
        </w:rPr>
        <w:t>响应文件格式。</w:t>
      </w:r>
    </w:p>
    <w:p w14:paraId="4B3070A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62" w:name="_Toc536202290"/>
      <w:r>
        <w:rPr>
          <w:rFonts w:hint="eastAsia" w:ascii="宋体" w:hAnsi="宋体" w:eastAsia="宋体" w:cs="宋体"/>
          <w:b/>
          <w:bCs/>
          <w:color w:val="auto"/>
          <w:kern w:val="0"/>
          <w:sz w:val="24"/>
          <w:szCs w:val="24"/>
          <w:lang w:val="en-US" w:eastAsia="zh-CN"/>
        </w:rPr>
        <w:t>2</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谈判文件的检查及阅读</w:t>
      </w:r>
      <w:bookmarkEnd w:id="62"/>
    </w:p>
    <w:p w14:paraId="63DF242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供应商应认真阅读和充分理解竞争性谈判文件中所有的事项、格式条款和规范要求。供应商没有对竞争性谈判文件全面作出实质性响应是供应商的风险。没有按照竞争性谈判文件要求作出实质性响应的响应文件应作废标处理。</w:t>
      </w:r>
    </w:p>
    <w:p w14:paraId="2FCE1CB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63" w:name="_Toc536202292"/>
      <w:r>
        <w:rPr>
          <w:rFonts w:hint="eastAsia" w:ascii="宋体" w:hAnsi="宋体" w:eastAsia="宋体" w:cs="宋体"/>
          <w:b/>
          <w:bCs/>
          <w:color w:val="auto"/>
          <w:kern w:val="0"/>
          <w:sz w:val="24"/>
          <w:szCs w:val="24"/>
          <w:lang w:val="en-US" w:eastAsia="zh-CN"/>
        </w:rPr>
        <w:t>3</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现场踏勘及谈判文件答疑</w:t>
      </w:r>
      <w:bookmarkEnd w:id="63"/>
    </w:p>
    <w:p w14:paraId="73CDD582">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招标代理机构将视情况确定是否有必要召开标前答疑会。如果召开标前答疑会，招标代理机构将通知所有已报名领取了谈判文件的潜在供应商。在规定的时间</w:t>
      </w:r>
      <w:r>
        <w:rPr>
          <w:rFonts w:hint="eastAsia" w:ascii="宋体" w:hAnsi="宋体" w:cs="宋体"/>
          <w:color w:val="auto"/>
          <w:kern w:val="0"/>
          <w:sz w:val="24"/>
          <w:szCs w:val="24"/>
          <w:lang w:val="en-US" w:eastAsia="zh-CN"/>
        </w:rPr>
        <w:t>内</w:t>
      </w:r>
      <w:r>
        <w:rPr>
          <w:rFonts w:hint="eastAsia" w:ascii="宋体" w:hAnsi="宋体" w:eastAsia="宋体" w:cs="宋体"/>
          <w:color w:val="auto"/>
          <w:kern w:val="0"/>
          <w:sz w:val="24"/>
          <w:szCs w:val="24"/>
          <w:lang w:val="en-US" w:eastAsia="zh-CN"/>
        </w:rPr>
        <w:t>，各供应商派技术、预算等相关人员进行现场踏勘和答疑，答疑的问题各供应商以书面形式提交。招标代理机构、采购人共同对各供应商提出的问题进行答复，形成答疑会议纪要。答疑会议纪要与谈判文件中不一致的内容，以答疑会议纪要为准。凡未参加答疑和现场踏勘的供应商，由此造成的偏差由各供应商自行负责。</w:t>
      </w:r>
    </w:p>
    <w:p w14:paraId="7C5F7795">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64" w:name="_Toc536202293"/>
      <w:bookmarkStart w:id="65" w:name="_Toc19797"/>
      <w:r>
        <w:rPr>
          <w:rFonts w:hint="eastAsia" w:ascii="宋体" w:hAnsi="宋体" w:eastAsia="宋体" w:cs="宋体"/>
          <w:b/>
          <w:bCs/>
          <w:color w:val="auto"/>
          <w:kern w:val="0"/>
          <w:sz w:val="24"/>
          <w:szCs w:val="24"/>
          <w:lang w:val="en-US" w:eastAsia="zh-CN"/>
        </w:rPr>
        <w:t>4</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竞争性谈判文件的澄清</w:t>
      </w:r>
      <w:bookmarkEnd w:id="64"/>
      <w:bookmarkEnd w:id="65"/>
      <w:r>
        <w:rPr>
          <w:rFonts w:hint="eastAsia" w:ascii="宋体" w:hAnsi="宋体" w:eastAsia="宋体" w:cs="宋体"/>
          <w:b/>
          <w:bCs/>
          <w:color w:val="auto"/>
          <w:kern w:val="0"/>
          <w:sz w:val="24"/>
          <w:szCs w:val="24"/>
          <w:lang w:val="en-US" w:eastAsia="zh-CN"/>
        </w:rPr>
        <w:t>和修改</w:t>
      </w:r>
    </w:p>
    <w:p w14:paraId="0FA6BA4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66" w:name="_Toc31188"/>
      <w:bookmarkStart w:id="67" w:name="_Toc536202295"/>
      <w:r>
        <w:rPr>
          <w:rFonts w:hint="eastAsia" w:ascii="宋体" w:hAnsi="宋体" w:eastAsia="宋体" w:cs="宋体"/>
          <w:color w:val="auto"/>
          <w:kern w:val="0"/>
          <w:sz w:val="24"/>
          <w:szCs w:val="24"/>
          <w:lang w:val="en-US" w:eastAsia="zh-CN"/>
        </w:rPr>
        <w:t>4.1采购人在谈判截止时间3个工作日前，可以以书面形式对竞争性谈判文件进行必要的澄清或修改，其内容均为竞争性谈判文件的组成部分，并对采购人及投标人起约束作用。</w:t>
      </w:r>
    </w:p>
    <w:p w14:paraId="129C469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4.2投标人对竞争性谈判文件如有疑问要求澄清，或认为有必要与采购人进行技术交流，应于谈判截止</w:t>
      </w:r>
      <w:r>
        <w:rPr>
          <w:rFonts w:hint="eastAsia" w:ascii="宋体" w:hAnsi="宋体" w:cs="宋体"/>
          <w:color w:val="auto"/>
          <w:kern w:val="0"/>
          <w:sz w:val="24"/>
          <w:szCs w:val="24"/>
          <w:lang w:val="en-US" w:eastAsia="zh-CN"/>
        </w:rPr>
        <w:t>时间</w:t>
      </w:r>
      <w:r>
        <w:rPr>
          <w:rFonts w:hint="eastAsia" w:ascii="宋体" w:hAnsi="宋体" w:eastAsia="宋体" w:cs="宋体"/>
          <w:color w:val="auto"/>
          <w:kern w:val="0"/>
          <w:sz w:val="24"/>
          <w:szCs w:val="24"/>
          <w:lang w:val="en-US" w:eastAsia="zh-CN"/>
        </w:rPr>
        <w:t>3个工作日前，以书面形式通知采购代理机构，采购代理机构以书面形式予以答复。</w:t>
      </w:r>
    </w:p>
    <w:p w14:paraId="7445FAC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4.3无论是采购代理机构主动对竞争性谈判文件进行必要的修改，或根据投标人的要求对竞争性谈判文件做出的澄清，都将于谈判</w:t>
      </w:r>
      <w:r>
        <w:rPr>
          <w:rFonts w:hint="eastAsia" w:ascii="宋体" w:hAnsi="宋体" w:cs="宋体"/>
          <w:color w:val="auto"/>
          <w:kern w:val="0"/>
          <w:sz w:val="24"/>
          <w:szCs w:val="24"/>
          <w:lang w:val="en-US" w:eastAsia="zh-CN"/>
        </w:rPr>
        <w:t>截至</w:t>
      </w:r>
      <w:r>
        <w:rPr>
          <w:rFonts w:hint="eastAsia" w:ascii="宋体" w:hAnsi="宋体" w:eastAsia="宋体" w:cs="宋体"/>
          <w:color w:val="auto"/>
          <w:kern w:val="0"/>
          <w:sz w:val="24"/>
          <w:szCs w:val="24"/>
          <w:lang w:val="en-US" w:eastAsia="zh-CN"/>
        </w:rPr>
        <w:t>3个工作日前以书面形式发送给所有合格的投标人。</w:t>
      </w:r>
    </w:p>
    <w:p w14:paraId="6054002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4.4竞争性谈判文件的澄清或修改内容均以书面形式明确的内容为准。当竞争性谈判文件的澄清、修改、补充等在同一内容的表述上不一致时，以最后发出的书面文件为准。所有补充文件将作为竞争性谈判文件的组成部分，对所有投标人具有约束力。</w:t>
      </w:r>
    </w:p>
    <w:p w14:paraId="70017AD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4.5根据采购工作进展实际情况，采购人可酌情延长递交竞争性谈判响应文件的截止时间，若延长将另行以书面形式通知各投标人。</w:t>
      </w:r>
    </w:p>
    <w:p w14:paraId="2CA10A7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5</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质疑</w:t>
      </w:r>
    </w:p>
    <w:p w14:paraId="48B1D51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供应商认为谈判文件、招标过程和中标结果使自己的权益受到损害的，可以</w:t>
      </w:r>
      <w:r>
        <w:rPr>
          <w:rFonts w:hint="eastAsia" w:ascii="宋体" w:hAnsi="宋体" w:cs="宋体"/>
          <w:color w:val="auto"/>
          <w:kern w:val="0"/>
          <w:sz w:val="24"/>
          <w:szCs w:val="24"/>
          <w:lang w:val="en-US" w:eastAsia="zh-CN"/>
        </w:rPr>
        <w:t>按照</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中华人民共和国政府采购法</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第五十二条</w:t>
      </w:r>
      <w:r>
        <w:rPr>
          <w:rFonts w:hint="eastAsia" w:ascii="宋体" w:hAnsi="宋体" w:eastAsia="宋体" w:cs="宋体"/>
          <w:color w:val="auto"/>
          <w:kern w:val="0"/>
          <w:sz w:val="24"/>
          <w:szCs w:val="24"/>
          <w:lang w:val="en-US" w:eastAsia="zh-CN"/>
        </w:rPr>
        <w:t>执行。</w:t>
      </w:r>
    </w:p>
    <w:p w14:paraId="0FEC78F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6</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竞争性谈判文件的获取</w:t>
      </w:r>
      <w:bookmarkEnd w:id="66"/>
      <w:bookmarkEnd w:id="67"/>
    </w:p>
    <w:p w14:paraId="126D069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供应商必须从代理机构</w:t>
      </w:r>
      <w:r>
        <w:rPr>
          <w:rFonts w:hint="eastAsia" w:ascii="宋体" w:hAnsi="宋体" w:cs="宋体"/>
          <w:color w:val="auto"/>
          <w:kern w:val="0"/>
          <w:sz w:val="24"/>
          <w:szCs w:val="24"/>
          <w:lang w:val="en-US" w:eastAsia="zh-CN"/>
        </w:rPr>
        <w:t>获取</w:t>
      </w:r>
      <w:r>
        <w:rPr>
          <w:rFonts w:hint="eastAsia" w:ascii="宋体" w:hAnsi="宋体" w:eastAsia="宋体" w:cs="宋体"/>
          <w:color w:val="auto"/>
          <w:kern w:val="0"/>
          <w:sz w:val="24"/>
          <w:szCs w:val="24"/>
          <w:lang w:val="en-US" w:eastAsia="zh-CN"/>
        </w:rPr>
        <w:t>竞争性谈判文件，供应商自行转让或复制竞争性谈判文件视为无效。竞争性谈判文件一经售出，一律不退，仅作为本次竞争性谈判使用。</w:t>
      </w:r>
    </w:p>
    <w:p w14:paraId="2359065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68" w:name="_Toc5095"/>
      <w:bookmarkStart w:id="69" w:name="_Toc536202296"/>
      <w:r>
        <w:rPr>
          <w:rFonts w:hint="eastAsia" w:ascii="宋体" w:hAnsi="宋体" w:eastAsia="宋体" w:cs="宋体"/>
          <w:b/>
          <w:bCs/>
          <w:color w:val="auto"/>
          <w:kern w:val="0"/>
          <w:sz w:val="24"/>
          <w:szCs w:val="24"/>
          <w:lang w:val="en-US" w:eastAsia="zh-CN"/>
        </w:rPr>
        <w:t>7</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竞争性谈判文件的解释权归代理机构</w:t>
      </w:r>
      <w:bookmarkEnd w:id="68"/>
      <w:bookmarkEnd w:id="69"/>
      <w:r>
        <w:rPr>
          <w:rFonts w:hint="eastAsia" w:ascii="宋体" w:hAnsi="宋体" w:eastAsia="宋体" w:cs="宋体"/>
          <w:color w:val="auto"/>
          <w:kern w:val="0"/>
          <w:sz w:val="24"/>
          <w:szCs w:val="24"/>
          <w:lang w:val="en-US" w:eastAsia="zh-CN"/>
        </w:rPr>
        <w:t>（ 如发现</w:t>
      </w:r>
      <w:r>
        <w:rPr>
          <w:rFonts w:hint="default" w:ascii="宋体" w:hAnsi="宋体" w:cs="宋体"/>
          <w:color w:val="auto"/>
          <w:kern w:val="0"/>
          <w:sz w:val="24"/>
          <w:szCs w:val="24"/>
          <w:lang w:eastAsia="zh-CN"/>
        </w:rPr>
        <w:t>谈判</w:t>
      </w:r>
      <w:r>
        <w:rPr>
          <w:rFonts w:hint="eastAsia" w:ascii="宋体" w:hAnsi="宋体" w:eastAsia="宋体" w:cs="宋体"/>
          <w:color w:val="auto"/>
          <w:kern w:val="0"/>
          <w:sz w:val="24"/>
          <w:szCs w:val="24"/>
          <w:lang w:val="en-US" w:eastAsia="zh-CN"/>
        </w:rPr>
        <w:t>文件内容与现行法律法规不相符的情况，以现行法律法规为准）</w:t>
      </w:r>
    </w:p>
    <w:bookmarkEnd w:id="51"/>
    <w:bookmarkEnd w:id="52"/>
    <w:bookmarkEnd w:id="53"/>
    <w:bookmarkEnd w:id="54"/>
    <w:bookmarkEnd w:id="55"/>
    <w:bookmarkEnd w:id="56"/>
    <w:bookmarkEnd w:id="57"/>
    <w:bookmarkEnd w:id="58"/>
    <w:bookmarkEnd w:id="59"/>
    <w:bookmarkEnd w:id="60"/>
    <w:p w14:paraId="1FFD4E0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jc w:val="center"/>
        <w:textAlignment w:val="auto"/>
        <w:rPr>
          <w:rFonts w:hint="eastAsia" w:ascii="宋体" w:hAnsi="宋体" w:eastAsia="宋体" w:cs="宋体"/>
          <w:b/>
          <w:bCs/>
          <w:color w:val="auto"/>
          <w:kern w:val="0"/>
          <w:sz w:val="24"/>
          <w:szCs w:val="24"/>
          <w:lang w:val="en-US" w:eastAsia="zh-CN"/>
        </w:rPr>
      </w:pPr>
      <w:bookmarkStart w:id="70" w:name="_Toc622"/>
      <w:bookmarkStart w:id="71" w:name="_Toc536429374"/>
      <w:bookmarkStart w:id="72" w:name="_Toc536202297"/>
      <w:bookmarkStart w:id="73" w:name="_Toc536202381"/>
      <w:bookmarkStart w:id="74" w:name="_Toc19543338"/>
      <w:bookmarkStart w:id="75" w:name="_Toc536429321"/>
      <w:bookmarkStart w:id="76" w:name="_Toc21904"/>
      <w:bookmarkStart w:id="77" w:name="_Toc214"/>
      <w:bookmarkStart w:id="78" w:name="_Toc23316588"/>
      <w:bookmarkStart w:id="79" w:name="_Toc23315664"/>
      <w:bookmarkStart w:id="80" w:name="_Toc23316686"/>
      <w:bookmarkStart w:id="81" w:name="_Toc11198"/>
      <w:bookmarkStart w:id="82" w:name="_Toc14189411"/>
      <w:bookmarkStart w:id="83" w:name="_Toc14189274"/>
      <w:bookmarkStart w:id="84" w:name="_Toc18412203"/>
      <w:bookmarkStart w:id="85" w:name="_Toc23316524"/>
      <w:bookmarkStart w:id="86" w:name="_Toc35335260"/>
      <w:r>
        <w:rPr>
          <w:rFonts w:hint="eastAsia" w:ascii="宋体" w:hAnsi="宋体" w:eastAsia="宋体" w:cs="宋体"/>
          <w:b/>
          <w:bCs/>
          <w:color w:val="auto"/>
          <w:kern w:val="0"/>
          <w:sz w:val="24"/>
          <w:szCs w:val="24"/>
          <w:lang w:val="en-US" w:eastAsia="zh-CN"/>
        </w:rPr>
        <w:t>三、</w:t>
      </w:r>
      <w:bookmarkEnd w:id="70"/>
      <w:bookmarkEnd w:id="71"/>
      <w:bookmarkEnd w:id="72"/>
      <w:bookmarkEnd w:id="73"/>
      <w:bookmarkEnd w:id="74"/>
      <w:bookmarkEnd w:id="75"/>
      <w:r>
        <w:rPr>
          <w:rFonts w:hint="eastAsia" w:ascii="宋体" w:hAnsi="宋体" w:eastAsia="宋体" w:cs="宋体"/>
          <w:b/>
          <w:bCs/>
          <w:color w:val="auto"/>
          <w:kern w:val="0"/>
          <w:sz w:val="24"/>
          <w:szCs w:val="24"/>
          <w:lang w:val="en-US" w:eastAsia="zh-CN"/>
        </w:rPr>
        <w:t>竞争性谈判响应文件及编制要求</w:t>
      </w:r>
      <w:bookmarkEnd w:id="76"/>
    </w:p>
    <w:p w14:paraId="65AC988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87" w:name="_Toc536202299"/>
      <w:r>
        <w:rPr>
          <w:rFonts w:hint="eastAsia" w:ascii="宋体" w:hAnsi="宋体" w:eastAsia="宋体" w:cs="宋体"/>
          <w:b/>
          <w:bCs/>
          <w:color w:val="auto"/>
          <w:kern w:val="0"/>
          <w:sz w:val="24"/>
          <w:szCs w:val="24"/>
          <w:lang w:val="en-US" w:eastAsia="zh-CN"/>
        </w:rPr>
        <w:t>1</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响应文件编制的原则</w:t>
      </w:r>
    </w:p>
    <w:p w14:paraId="021C1D8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88" w:name="_Toc23706"/>
      <w:r>
        <w:rPr>
          <w:rFonts w:hint="eastAsia" w:ascii="宋体" w:hAnsi="宋体" w:eastAsia="宋体" w:cs="宋体"/>
          <w:color w:val="auto"/>
          <w:kern w:val="0"/>
          <w:sz w:val="24"/>
          <w:szCs w:val="24"/>
          <w:lang w:val="en-US" w:eastAsia="zh-CN"/>
        </w:rPr>
        <w:t>1.1投标人应在认真阅读谈判文件所有内容的基础上，按照谈判文件的要求编制完整的响应文件。谈判文件中对响应文件格式有要求的，应按格式编制并逐项填写内容。投标文件中留有空项的或没有按格式制作的，将被视为不完整响应的投标文件，其投标将有可能被拒绝。</w:t>
      </w:r>
      <w:bookmarkEnd w:id="88"/>
    </w:p>
    <w:p w14:paraId="5CA932B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89" w:name="_Toc12399"/>
      <w:r>
        <w:rPr>
          <w:rFonts w:hint="eastAsia" w:ascii="宋体" w:hAnsi="宋体" w:eastAsia="宋体" w:cs="宋体"/>
          <w:color w:val="auto"/>
          <w:kern w:val="0"/>
          <w:sz w:val="24"/>
          <w:szCs w:val="24"/>
          <w:lang w:val="en-US" w:eastAsia="zh-CN"/>
        </w:rPr>
        <w:t>1.2投标人必须保证投标文件所提供的全部资料真实可靠，并接受对其中任何资料进一步审查的要求。</w:t>
      </w:r>
      <w:bookmarkEnd w:id="89"/>
    </w:p>
    <w:p w14:paraId="676416D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90" w:name="_Toc10247"/>
      <w:r>
        <w:rPr>
          <w:rFonts w:hint="eastAsia" w:ascii="宋体" w:hAnsi="宋体" w:eastAsia="宋体" w:cs="宋体"/>
          <w:color w:val="auto"/>
          <w:kern w:val="0"/>
          <w:sz w:val="24"/>
          <w:szCs w:val="24"/>
          <w:lang w:val="en-US" w:eastAsia="zh-CN"/>
        </w:rPr>
        <w:t>1.3</w:t>
      </w:r>
      <w:r>
        <w:rPr>
          <w:rFonts w:hint="default" w:ascii="宋体" w:hAnsi="宋体" w:cs="宋体"/>
          <w:color w:val="auto"/>
          <w:kern w:val="0"/>
          <w:sz w:val="24"/>
          <w:szCs w:val="24"/>
          <w:lang w:eastAsia="zh-CN"/>
        </w:rPr>
        <w:t>响应</w:t>
      </w:r>
      <w:r>
        <w:rPr>
          <w:rFonts w:hint="eastAsia" w:ascii="宋体" w:hAnsi="宋体" w:eastAsia="宋体" w:cs="宋体"/>
          <w:color w:val="auto"/>
          <w:kern w:val="0"/>
          <w:sz w:val="24"/>
          <w:szCs w:val="24"/>
          <w:lang w:val="en-US" w:eastAsia="zh-CN"/>
        </w:rPr>
        <w:t>文件须对</w:t>
      </w:r>
      <w:r>
        <w:rPr>
          <w:rFonts w:hint="default" w:ascii="宋体" w:hAnsi="宋体" w:cs="宋体"/>
          <w:color w:val="auto"/>
          <w:kern w:val="0"/>
          <w:sz w:val="24"/>
          <w:szCs w:val="24"/>
          <w:lang w:eastAsia="zh-CN"/>
        </w:rPr>
        <w:t>谈判</w:t>
      </w:r>
      <w:r>
        <w:rPr>
          <w:rFonts w:hint="eastAsia" w:ascii="宋体" w:hAnsi="宋体" w:eastAsia="宋体" w:cs="宋体"/>
          <w:color w:val="auto"/>
          <w:kern w:val="0"/>
          <w:sz w:val="24"/>
          <w:szCs w:val="24"/>
          <w:lang w:val="en-US" w:eastAsia="zh-CN"/>
        </w:rPr>
        <w:t>文件中的内容做出实质性和完整性的响应，否则其投标将被视为无效投标，按废标处理。</w:t>
      </w:r>
      <w:bookmarkEnd w:id="90"/>
    </w:p>
    <w:p w14:paraId="09F49B3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2</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响应文件构成和格式</w:t>
      </w:r>
    </w:p>
    <w:p w14:paraId="55B3C0E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91" w:name="_Toc28302"/>
      <w:r>
        <w:rPr>
          <w:rFonts w:hint="eastAsia" w:ascii="宋体" w:hAnsi="宋体" w:eastAsia="宋体" w:cs="宋体"/>
          <w:color w:val="auto"/>
          <w:kern w:val="0"/>
          <w:sz w:val="24"/>
          <w:szCs w:val="24"/>
          <w:lang w:val="en-US" w:eastAsia="zh-CN"/>
        </w:rPr>
        <w:t>投标人应按照本须知响应文件构成和格式及第五章提供的格式编写投标文件，不得缺少</w:t>
      </w:r>
      <w:r>
        <w:rPr>
          <w:rFonts w:hint="default" w:ascii="宋体" w:hAnsi="宋体" w:cs="宋体"/>
          <w:color w:val="auto"/>
          <w:kern w:val="0"/>
          <w:sz w:val="24"/>
          <w:szCs w:val="24"/>
          <w:lang w:eastAsia="zh-CN"/>
        </w:rPr>
        <w:t>谈判</w:t>
      </w:r>
      <w:r>
        <w:rPr>
          <w:rFonts w:hint="eastAsia" w:ascii="宋体" w:hAnsi="宋体" w:eastAsia="宋体" w:cs="宋体"/>
          <w:color w:val="auto"/>
          <w:kern w:val="0"/>
          <w:sz w:val="24"/>
          <w:szCs w:val="24"/>
          <w:lang w:val="en-US" w:eastAsia="zh-CN"/>
        </w:rPr>
        <w:t>文件要求填写的表格或提交的资料。</w:t>
      </w:r>
      <w:bookmarkEnd w:id="91"/>
    </w:p>
    <w:p w14:paraId="14E788D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3</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谈判报价</w:t>
      </w:r>
      <w:bookmarkEnd w:id="87"/>
    </w:p>
    <w:p w14:paraId="0B9B2416">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92" w:name="_Toc536202300"/>
      <w:bookmarkStart w:id="93" w:name="_Toc29200"/>
      <w:r>
        <w:rPr>
          <w:rFonts w:hint="eastAsia" w:ascii="宋体" w:hAnsi="宋体" w:eastAsia="宋体" w:cs="宋体"/>
          <w:color w:val="auto"/>
          <w:kern w:val="0"/>
          <w:sz w:val="24"/>
          <w:szCs w:val="24"/>
          <w:lang w:val="en-US" w:eastAsia="zh-CN"/>
        </w:rPr>
        <w:t>3.1谈判报价为完成本项目所要求全部采购内容的费用和国家按现行税收政策征收的一切税费（包括成交服务费）。</w:t>
      </w:r>
    </w:p>
    <w:p w14:paraId="28245D9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3.2供应商须对货物需求和服务要求进行完整报价。采购人拒绝只对部分货物进行报价的谈判。供应商应在谈判响应文件中的谈判分项报价表上标明对本次采购拟提供货物</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0"/>
          <w:sz w:val="24"/>
          <w:szCs w:val="24"/>
          <w:lang w:val="en-US" w:eastAsia="zh-CN"/>
        </w:rPr>
        <w:t>单价（以采购内容为准自行编制），任何有选择的报价将不予接受。</w:t>
      </w:r>
    </w:p>
    <w:p w14:paraId="48705C3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3.3所有根据合同或其他原因应由供应商支付的税款和其他应</w:t>
      </w:r>
      <w:r>
        <w:rPr>
          <w:rFonts w:hint="eastAsia" w:ascii="宋体" w:hAnsi="宋体" w:cs="宋体"/>
          <w:color w:val="auto"/>
          <w:kern w:val="0"/>
          <w:sz w:val="24"/>
          <w:szCs w:val="24"/>
          <w:lang w:val="en-US" w:eastAsia="zh-CN"/>
        </w:rPr>
        <w:t>缴纳</w:t>
      </w:r>
      <w:r>
        <w:rPr>
          <w:rFonts w:hint="eastAsia" w:ascii="宋体" w:hAnsi="宋体" w:eastAsia="宋体" w:cs="宋体"/>
          <w:color w:val="auto"/>
          <w:kern w:val="0"/>
          <w:sz w:val="24"/>
          <w:szCs w:val="24"/>
          <w:lang w:val="en-US" w:eastAsia="zh-CN"/>
        </w:rPr>
        <w:t>的费用都要包括在供应商提交的谈判报价中。</w:t>
      </w:r>
    </w:p>
    <w:p w14:paraId="7DD0A57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3.4</w:t>
      </w:r>
      <w:r>
        <w:rPr>
          <w:rFonts w:hint="eastAsia" w:ascii="宋体" w:hAnsi="宋体" w:eastAsia="宋体" w:cs="宋体"/>
          <w:color w:val="auto"/>
          <w:kern w:val="0"/>
          <w:sz w:val="24"/>
          <w:szCs w:val="24"/>
          <w:lang w:val="en-US" w:eastAsia="zh-CN"/>
        </w:rPr>
        <w:t>供应商不得以低于成本的报价参加谈判，供应商的投标报价明显低于其他投标供应商的报价，</w:t>
      </w:r>
      <w:r>
        <w:rPr>
          <w:rFonts w:hint="eastAsia" w:ascii="宋体" w:hAnsi="宋体" w:cs="宋体"/>
          <w:bCs/>
          <w:sz w:val="24"/>
          <w:szCs w:val="24"/>
        </w:rPr>
        <w:t>有可能影响产品质量或者不能诚信履约的，</w:t>
      </w:r>
      <w:r>
        <w:rPr>
          <w:rFonts w:hint="eastAsia" w:ascii="宋体" w:hAnsi="宋体" w:cs="宋体"/>
          <w:bCs/>
          <w:sz w:val="24"/>
          <w:szCs w:val="24"/>
          <w:lang w:val="en-US" w:eastAsia="zh-CN"/>
        </w:rPr>
        <w:t>谈判小组</w:t>
      </w:r>
      <w:r>
        <w:rPr>
          <w:rFonts w:hint="eastAsia" w:ascii="宋体" w:hAnsi="宋体" w:cs="宋体"/>
          <w:bCs/>
          <w:sz w:val="24"/>
          <w:szCs w:val="24"/>
        </w:rPr>
        <w:t>将按照《关于推动解决政府采购异常低价问题的通知》（财库〔2026〕2号）文件要求启动异常低价投标（响应）审查，相关</w:t>
      </w:r>
      <w:r>
        <w:rPr>
          <w:rFonts w:hint="eastAsia" w:ascii="宋体" w:hAnsi="宋体" w:cs="宋体"/>
          <w:bCs/>
          <w:sz w:val="24"/>
          <w:szCs w:val="24"/>
          <w:lang w:val="en-US" w:eastAsia="zh-CN"/>
        </w:rPr>
        <w:t>供应商</w:t>
      </w:r>
      <w:r>
        <w:rPr>
          <w:rFonts w:hint="eastAsia" w:ascii="宋体" w:hAnsi="宋体" w:cs="宋体"/>
          <w:bCs/>
          <w:sz w:val="24"/>
          <w:szCs w:val="24"/>
        </w:rPr>
        <w:t>在评审现场30分钟以内对投标价格作出解释并提供书面说明，必要时提交相关证明材料；投标人不能证明其报价合理性的，</w:t>
      </w:r>
      <w:r>
        <w:rPr>
          <w:rFonts w:hint="eastAsia" w:ascii="宋体" w:hAnsi="宋体" w:cs="宋体"/>
          <w:bCs/>
          <w:sz w:val="24"/>
          <w:szCs w:val="24"/>
          <w:lang w:val="en-US" w:eastAsia="zh-CN"/>
        </w:rPr>
        <w:t>谈判小组</w:t>
      </w:r>
      <w:r>
        <w:rPr>
          <w:rFonts w:hint="eastAsia" w:ascii="宋体" w:hAnsi="宋体" w:cs="宋体"/>
          <w:bCs/>
          <w:sz w:val="24"/>
          <w:szCs w:val="24"/>
        </w:rPr>
        <w:t>应当将其作为无效投标处理</w:t>
      </w:r>
      <w:r>
        <w:rPr>
          <w:rFonts w:hint="eastAsia" w:ascii="宋体" w:hAnsi="宋体" w:eastAsia="宋体" w:cs="宋体"/>
          <w:color w:val="auto"/>
          <w:kern w:val="0"/>
          <w:sz w:val="24"/>
          <w:szCs w:val="24"/>
          <w:lang w:val="en-US" w:eastAsia="zh-CN"/>
        </w:rPr>
        <w:t>。</w:t>
      </w:r>
    </w:p>
    <w:p w14:paraId="2FD1B3B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3.5</w:t>
      </w:r>
      <w:r>
        <w:rPr>
          <w:rFonts w:hint="eastAsia" w:ascii="宋体" w:hAnsi="宋体" w:eastAsia="宋体" w:cs="宋体"/>
          <w:color w:val="auto"/>
          <w:kern w:val="0"/>
          <w:sz w:val="24"/>
          <w:szCs w:val="24"/>
          <w:lang w:val="en-US" w:eastAsia="zh-CN"/>
        </w:rPr>
        <w:t>响应报价表应有法定代表人或被授权人的签字。</w:t>
      </w:r>
    </w:p>
    <w:p w14:paraId="288ADFE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4</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谈判货币</w:t>
      </w:r>
      <w:bookmarkEnd w:id="92"/>
      <w:bookmarkEnd w:id="93"/>
    </w:p>
    <w:p w14:paraId="2EFB5F3B">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采购人只接受人民币作为唯一谈判货币。以人民币为投标货币。以元为报价单位，保留小数点后两位。</w:t>
      </w:r>
    </w:p>
    <w:p w14:paraId="11A7C83A">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94" w:name="_Toc1311"/>
      <w:bookmarkStart w:id="95" w:name="_Toc536202301"/>
      <w:r>
        <w:rPr>
          <w:rFonts w:hint="eastAsia" w:ascii="宋体" w:hAnsi="宋体" w:eastAsia="宋体" w:cs="宋体"/>
          <w:b/>
          <w:bCs/>
          <w:color w:val="auto"/>
          <w:kern w:val="0"/>
          <w:sz w:val="24"/>
          <w:szCs w:val="24"/>
          <w:lang w:val="en-US" w:eastAsia="zh-CN"/>
        </w:rPr>
        <w:t>5</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谈判保证金</w:t>
      </w:r>
      <w:bookmarkEnd w:id="94"/>
      <w:bookmarkEnd w:id="95"/>
    </w:p>
    <w:p w14:paraId="752BD30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96" w:name="_Toc536202302"/>
      <w:r>
        <w:rPr>
          <w:rFonts w:hint="eastAsia" w:ascii="宋体" w:hAnsi="宋体" w:cs="宋体"/>
          <w:color w:val="auto"/>
          <w:kern w:val="0"/>
          <w:sz w:val="24"/>
          <w:szCs w:val="24"/>
          <w:lang w:val="en-US" w:eastAsia="zh-CN"/>
        </w:rPr>
        <w:t>本项目</w:t>
      </w:r>
      <w:r>
        <w:rPr>
          <w:rFonts w:hint="eastAsia" w:ascii="宋体" w:hAnsi="宋体" w:eastAsia="宋体" w:cs="宋体"/>
          <w:color w:val="auto"/>
          <w:kern w:val="0"/>
          <w:sz w:val="24"/>
          <w:szCs w:val="24"/>
          <w:lang w:val="en-US" w:eastAsia="zh-CN"/>
        </w:rPr>
        <w:t>不</w:t>
      </w:r>
      <w:r>
        <w:rPr>
          <w:rFonts w:hint="eastAsia" w:ascii="宋体" w:hAnsi="宋体" w:cs="宋体"/>
          <w:color w:val="auto"/>
          <w:kern w:val="0"/>
          <w:sz w:val="24"/>
          <w:szCs w:val="24"/>
          <w:lang w:val="en-US" w:eastAsia="zh-CN"/>
        </w:rPr>
        <w:t>设置</w:t>
      </w:r>
      <w:r>
        <w:rPr>
          <w:rFonts w:hint="eastAsia" w:ascii="宋体" w:hAnsi="宋体" w:eastAsia="宋体" w:cs="宋体"/>
          <w:color w:val="auto"/>
          <w:kern w:val="0"/>
          <w:sz w:val="24"/>
          <w:szCs w:val="24"/>
          <w:lang w:val="en-US" w:eastAsia="zh-CN"/>
        </w:rPr>
        <w:t>谈判保证金。</w:t>
      </w:r>
    </w:p>
    <w:p w14:paraId="50D771F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6</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响应有效期</w:t>
      </w:r>
      <w:bookmarkEnd w:id="96"/>
    </w:p>
    <w:p w14:paraId="1F2362C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响应文件有效期及法定代表人授权书有效期为递交响应文件截止时间起90个日历日，响应有效期短于此规定期限的响应文件，视为无效文件，其谈判将被拒绝。成交单位的响应文件有效期延长至合同执行完毕。</w:t>
      </w:r>
    </w:p>
    <w:p w14:paraId="7BC8DAF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97" w:name="_Toc536202303"/>
      <w:bookmarkStart w:id="98" w:name="_Toc24827"/>
      <w:r>
        <w:rPr>
          <w:rFonts w:hint="eastAsia" w:ascii="宋体" w:hAnsi="宋体" w:eastAsia="宋体" w:cs="宋体"/>
          <w:b/>
          <w:bCs/>
          <w:color w:val="auto"/>
          <w:kern w:val="0"/>
          <w:sz w:val="24"/>
          <w:szCs w:val="24"/>
          <w:lang w:val="en-US" w:eastAsia="zh-CN"/>
        </w:rPr>
        <w:t>7</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响应文件的格式、装订、密封和签署</w:t>
      </w:r>
      <w:bookmarkEnd w:id="97"/>
      <w:bookmarkEnd w:id="98"/>
    </w:p>
    <w:p w14:paraId="0D84B34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7.1供应商须依据竞争性谈判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1B92EB9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7.2响应文件的装订</w:t>
      </w:r>
    </w:p>
    <w:p w14:paraId="10D6AD4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响应文件正本壹份、副本</w:t>
      </w:r>
      <w:r>
        <w:rPr>
          <w:rFonts w:hint="eastAsia" w:ascii="宋体" w:hAnsi="宋体" w:cs="宋体"/>
          <w:color w:val="auto"/>
          <w:kern w:val="0"/>
          <w:sz w:val="24"/>
          <w:szCs w:val="24"/>
          <w:lang w:val="en-US" w:eastAsia="zh-CN"/>
        </w:rPr>
        <w:t>贰</w:t>
      </w:r>
      <w:r>
        <w:rPr>
          <w:rFonts w:hint="eastAsia" w:ascii="宋体" w:hAnsi="宋体" w:eastAsia="宋体" w:cs="宋体"/>
          <w:color w:val="auto"/>
          <w:kern w:val="0"/>
          <w:sz w:val="24"/>
          <w:szCs w:val="24"/>
          <w:lang w:val="en-US" w:eastAsia="zh-CN"/>
        </w:rPr>
        <w:t>份，分别胶装装订成册，且封面须清楚地标明“正本”或“副本”；若正本和副本不符，以正本书面文件为准；同时提供与正本内容一致的电子版（电子版包括：（1）word版投标文件；（2）投标文件正本签字盖章后的PDF格式扫描件，与正本具有同等法律效力），电子版放置“正本”密封袋内。</w:t>
      </w:r>
    </w:p>
    <w:p w14:paraId="35E8A0B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7.3响应文件的签署</w:t>
      </w:r>
    </w:p>
    <w:p w14:paraId="273923F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供应商应在</w:t>
      </w:r>
      <w:r>
        <w:rPr>
          <w:rFonts w:hint="eastAsia" w:ascii="宋体" w:hAnsi="宋体" w:cs="宋体"/>
          <w:color w:val="auto"/>
          <w:kern w:val="0"/>
          <w:sz w:val="24"/>
          <w:szCs w:val="24"/>
          <w:lang w:val="en-US" w:eastAsia="zh-CN"/>
        </w:rPr>
        <w:t>响应</w:t>
      </w:r>
      <w:r>
        <w:rPr>
          <w:rFonts w:hint="eastAsia" w:ascii="宋体" w:hAnsi="宋体" w:eastAsia="宋体" w:cs="宋体"/>
          <w:color w:val="auto"/>
          <w:kern w:val="0"/>
          <w:sz w:val="24"/>
          <w:szCs w:val="24"/>
          <w:lang w:val="en-US" w:eastAsia="zh-CN"/>
        </w:rPr>
        <w:t>文件正副本中指定的页面落款处填写供应商全称，并按要求加盖公章及签字（包括投标文件的封面）侧面还需加盖骑缝章。</w:t>
      </w:r>
    </w:p>
    <w:p w14:paraId="2A44DA30">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响应文件应字迹清楚、内容齐全、不得涂改或增删。如有修改和增删，必须有供应商公章及法定代表人或其授权代表签字。</w:t>
      </w:r>
    </w:p>
    <w:p w14:paraId="7B3C9F7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因响应文件字迹潦草或表达不清所引起的不利后果由供应商承担。</w:t>
      </w:r>
    </w:p>
    <w:p w14:paraId="62F3404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7.4响应文件的密封</w:t>
      </w:r>
    </w:p>
    <w:p w14:paraId="158C13C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资格证明文件、投标文件正本、副本分别密封装在单独的封袋中（封袋不得有破损），且在封袋正面标明“资格证明文件”“正本”“副本”，电子版放置“正本”密封袋内。封袋应加贴封条，并在封线处加盖供应商鲜章及在该处签署法定代表人或供应商代表的全名或加盖本人签名章。</w:t>
      </w:r>
    </w:p>
    <w:p w14:paraId="1D0F51F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标记要求：</w:t>
      </w:r>
    </w:p>
    <w:p w14:paraId="79ACB5C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 标明“安康尚昊招标代理有限公司”；</w:t>
      </w:r>
    </w:p>
    <w:p w14:paraId="354B35E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 注明项目名称、项目编号、标段号和“在    年   月  日    时之前不得启封”的字样；</w:t>
      </w:r>
    </w:p>
    <w:p w14:paraId="10A3D4F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 标明供应商名称和地址并加盖供应商公章；</w:t>
      </w:r>
    </w:p>
    <w:p w14:paraId="7E255FFB">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7.5本次谈判只接受简体中文文字的响应文件；如响应文件中出现外文资料，必须配以中文译文。否则，由此引发的一切责任由供应商自负。</w:t>
      </w:r>
    </w:p>
    <w:p w14:paraId="286742F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7.6拒绝接受以电话、传真、电子邮件形式的谈判。</w:t>
      </w:r>
    </w:p>
    <w:p w14:paraId="7F9D1D8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99" w:name="_Toc22752"/>
      <w:bookmarkStart w:id="100" w:name="_Toc536202304"/>
      <w:r>
        <w:rPr>
          <w:rFonts w:hint="eastAsia" w:ascii="宋体" w:hAnsi="宋体" w:eastAsia="宋体" w:cs="宋体"/>
          <w:b/>
          <w:bCs/>
          <w:color w:val="auto"/>
          <w:kern w:val="0"/>
          <w:sz w:val="24"/>
          <w:szCs w:val="24"/>
          <w:lang w:val="en-US" w:eastAsia="zh-CN"/>
        </w:rPr>
        <w:t>8.知识产权</w:t>
      </w:r>
      <w:bookmarkEnd w:id="99"/>
      <w:bookmarkEnd w:id="100"/>
    </w:p>
    <w:p w14:paraId="4922ED8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8.1供应商应保证在本项目使用的任何产品和服务（包括部分使用）时，不会产生因第三方提出侵犯其专利权、商标权或其它知识产权而引起的法律和经济纠纷，如因专利权、商标权或其他知识产权而引起法律纠纷和经济纠纷，由供应商承担所有相关责任。</w:t>
      </w:r>
    </w:p>
    <w:p w14:paraId="3F2F426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8.2采购人享有本项目在实施过程中产生的知识成果及知识产权。</w:t>
      </w:r>
    </w:p>
    <w:p w14:paraId="5269D40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1B2DF6EE">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bookmarkStart w:id="101" w:name="_Toc22646"/>
      <w:r>
        <w:rPr>
          <w:rFonts w:hint="eastAsia" w:ascii="宋体" w:hAnsi="宋体" w:eastAsia="宋体" w:cs="宋体"/>
          <w:color w:val="auto"/>
          <w:kern w:val="0"/>
          <w:sz w:val="24"/>
          <w:szCs w:val="24"/>
          <w:lang w:val="en-US" w:eastAsia="zh-CN"/>
        </w:rPr>
        <w:t>8.4如供应商所不拥有的知识产权，则在响应报价中必须包括合法获取该知识产权的相关费用。</w:t>
      </w:r>
      <w:bookmarkEnd w:id="101"/>
      <w:bookmarkStart w:id="102" w:name="_Toc536202382"/>
      <w:bookmarkStart w:id="103" w:name="_Toc536202305"/>
      <w:bookmarkStart w:id="104" w:name="_Toc4747"/>
      <w:bookmarkStart w:id="105" w:name="_Toc3565"/>
      <w:bookmarkStart w:id="106" w:name="_Toc536429375"/>
      <w:bookmarkStart w:id="107" w:name="_Toc536429322"/>
      <w:bookmarkStart w:id="108" w:name="_Toc19543339"/>
      <w:bookmarkStart w:id="109" w:name="_Toc3736"/>
    </w:p>
    <w:p w14:paraId="485CE46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jc w:val="center"/>
        <w:textAlignment w:val="auto"/>
        <w:rPr>
          <w:rFonts w:hint="eastAsia" w:ascii="宋体" w:hAnsi="宋体" w:eastAsia="宋体" w:cs="宋体"/>
          <w:color w:val="auto"/>
          <w:kern w:val="0"/>
          <w:sz w:val="24"/>
          <w:szCs w:val="24"/>
          <w:lang w:val="en-US" w:eastAsia="zh-CN"/>
        </w:rPr>
      </w:pPr>
      <w:bookmarkStart w:id="110" w:name="_Toc20490"/>
      <w:r>
        <w:rPr>
          <w:rFonts w:hint="eastAsia" w:ascii="宋体" w:hAnsi="宋体" w:eastAsia="宋体" w:cs="宋体"/>
          <w:b/>
          <w:bCs/>
          <w:color w:val="auto"/>
          <w:kern w:val="0"/>
          <w:sz w:val="24"/>
          <w:szCs w:val="24"/>
          <w:lang w:val="en-US" w:eastAsia="zh-CN"/>
        </w:rPr>
        <w:t>四、响应文件的递交</w:t>
      </w:r>
      <w:bookmarkEnd w:id="102"/>
      <w:bookmarkEnd w:id="103"/>
      <w:bookmarkEnd w:id="104"/>
      <w:bookmarkEnd w:id="105"/>
      <w:bookmarkEnd w:id="106"/>
      <w:bookmarkEnd w:id="107"/>
      <w:bookmarkEnd w:id="108"/>
      <w:r>
        <w:rPr>
          <w:rFonts w:hint="eastAsia" w:ascii="宋体" w:hAnsi="宋体" w:eastAsia="宋体" w:cs="宋体"/>
          <w:b/>
          <w:bCs/>
          <w:color w:val="auto"/>
          <w:kern w:val="0"/>
          <w:sz w:val="24"/>
          <w:szCs w:val="24"/>
          <w:lang w:val="en-US" w:eastAsia="zh-CN"/>
        </w:rPr>
        <w:t>、开启与解密</w:t>
      </w:r>
      <w:bookmarkEnd w:id="109"/>
      <w:bookmarkEnd w:id="110"/>
    </w:p>
    <w:p w14:paraId="3C7F12C9">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bookmarkStart w:id="111" w:name="_Toc536202306"/>
      <w:bookmarkStart w:id="112" w:name="_Toc3685"/>
      <w:r>
        <w:rPr>
          <w:rFonts w:hint="eastAsia" w:ascii="宋体" w:hAnsi="宋体" w:eastAsia="宋体" w:cs="宋体"/>
          <w:b/>
          <w:bCs/>
          <w:color w:val="auto"/>
          <w:kern w:val="0"/>
          <w:sz w:val="24"/>
          <w:szCs w:val="24"/>
          <w:lang w:val="en-US" w:eastAsia="zh-CN"/>
        </w:rPr>
        <w:t>1</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响应文件递交</w:t>
      </w:r>
      <w:bookmarkEnd w:id="111"/>
      <w:bookmarkEnd w:id="112"/>
    </w:p>
    <w:p w14:paraId="2D493B54">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供应商必须在竞争性谈判文件规定的响应文件递交截止时间之前，将全部响应文件递交至代理机构项目工作人员；代理机构项目承办人在竞争性谈判文件规定的响应文件递交截止时间前，只负责响应文件的接收、清点、造册登记工作，并请供应商代表签字确认，对其有效性不负任何责任。</w:t>
      </w:r>
    </w:p>
    <w:p w14:paraId="6D63F62F">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1.2代理机构在宣布递交响应文件时间截止之后，拒绝接收任何人送达、递交的响应文件及其他资料；</w:t>
      </w:r>
    </w:p>
    <w:p w14:paraId="4EACECF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1.3代理机构不接受邮寄的响应文件；</w:t>
      </w:r>
    </w:p>
    <w:p w14:paraId="0FC09C01">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1.4无论供应商成交与否，其响应文件恕不退还。</w:t>
      </w:r>
    </w:p>
    <w:bookmarkEnd w:id="77"/>
    <w:bookmarkEnd w:id="78"/>
    <w:bookmarkEnd w:id="79"/>
    <w:bookmarkEnd w:id="80"/>
    <w:bookmarkEnd w:id="81"/>
    <w:bookmarkEnd w:id="82"/>
    <w:bookmarkEnd w:id="83"/>
    <w:bookmarkEnd w:id="84"/>
    <w:bookmarkEnd w:id="85"/>
    <w:bookmarkEnd w:id="86"/>
    <w:p w14:paraId="46B23F22">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2</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提交竞争性谈判响应文件截止时间、签到、密封核实</w:t>
      </w:r>
    </w:p>
    <w:p w14:paraId="04D41BAA">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2.1竞争性谈判响应文件须按照竞争性谈判文件规定的时间、地点送达。在提交竞争性谈判响应文件截止时间以后送达的竞争性谈判响应文件，代理机构将拒绝接收投标人的竞争性谈判响应文件。</w:t>
      </w:r>
    </w:p>
    <w:p w14:paraId="15B108FD">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2.2参加报价的投标人代表须在报价投标人签到表中签到。</w:t>
      </w:r>
    </w:p>
    <w:p w14:paraId="5EC8ACC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2.3参加报价的投标人代表须在采购代理机构工作人员的主持下及监标人的监督下查验响应文件的密封情况并在报价投标人密封核实情况表中签字确认，投标人代表须对签字确认结果承担相应的法律责任。响应文件经确认无误后，由采购人或采购代理机构当众拆封竞争性谈判文件。</w:t>
      </w:r>
    </w:p>
    <w:p w14:paraId="67008D35">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2.4采购代理机构可以按本须知第二项“竞争性谈判文件”第4条规定，通知因修改竞争性谈判文件而适当延长谈判截止期。在此情况下，采购单位和投标人受谈判截止期制约的所有权利和义务均应延长至新的截止期。</w:t>
      </w:r>
    </w:p>
    <w:p w14:paraId="7193E87B">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3</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竞争性谈判响应文件的修改和撤回</w:t>
      </w:r>
    </w:p>
    <w:p w14:paraId="3479383C">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3.1投标人在递交竞争性谈判响应文件后，谈判截止时间前，可以修改或撤回其竞争性谈判响应文件。但投标人必须在规定的谈判截止期之前将修改或撤回的书面通知递交到采购代理机构。</w:t>
      </w:r>
    </w:p>
    <w:p w14:paraId="37581762">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3.2投标人的修改或撤回通知书应按本须知第三项第7条响应文件的格式、装订、密封和签署，并在内层封套上加注“修改”或“撤回”字样。</w:t>
      </w:r>
    </w:p>
    <w:p w14:paraId="31599F28">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3.3在谈判截止日期之后，投标人不得对其竞争性谈判响应文件做任何修改。从谈判截止期始至竞争性谈判文件确定的竞争性谈判响应文件有效期期满这段时间内，投标人不得撤回其竞争性谈判响应文件，否则其谈判保证金将被没收。</w:t>
      </w:r>
    </w:p>
    <w:p w14:paraId="57E1C1E7">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rPr>
      </w:pPr>
      <w:bookmarkStart w:id="113" w:name="_Toc23316528"/>
      <w:bookmarkStart w:id="114" w:name="_Toc23315668"/>
      <w:bookmarkStart w:id="115" w:name="_Toc23316592"/>
      <w:bookmarkStart w:id="116" w:name="_Toc8901"/>
      <w:bookmarkStart w:id="117" w:name="_Toc18412207"/>
      <w:bookmarkStart w:id="118" w:name="_Toc14189415"/>
      <w:bookmarkStart w:id="119" w:name="_Toc35335264"/>
      <w:bookmarkStart w:id="120" w:name="_Toc23900"/>
      <w:bookmarkStart w:id="121" w:name="_Toc23316690"/>
      <w:bookmarkStart w:id="122" w:name="_Toc14189282"/>
      <w:r>
        <w:rPr>
          <w:rFonts w:hint="eastAsia" w:ascii="宋体" w:hAnsi="宋体" w:eastAsia="宋体" w:cs="宋体"/>
          <w:b/>
          <w:bCs/>
          <w:color w:val="auto"/>
          <w:kern w:val="0"/>
          <w:sz w:val="24"/>
          <w:szCs w:val="24"/>
          <w:lang w:val="en-US" w:eastAsia="zh-CN"/>
        </w:rPr>
        <w:t>五、谈判、评审、定标</w:t>
      </w:r>
    </w:p>
    <w:p w14:paraId="77202B23">
      <w:pPr>
        <w:pStyle w:val="55"/>
        <w:keepNext w:val="0"/>
        <w:keepLines w:val="0"/>
        <w:pageBreakBefore w:val="0"/>
        <w:widowControl/>
        <w:kinsoku/>
        <w:wordWrap/>
        <w:overflowPunct/>
        <w:topLinePunct w:val="0"/>
        <w:autoSpaceDE/>
        <w:autoSpaceDN/>
        <w:bidi w:val="0"/>
        <w:adjustRightInd/>
        <w:spacing w:line="460" w:lineRule="exact"/>
        <w:ind w:left="0" w:leftChars="0" w:right="0" w:rightChars="0" w:firstLine="480"/>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1.谈判</w:t>
      </w:r>
    </w:p>
    <w:p w14:paraId="6791A1C0">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1.1采购代理机构按</w:t>
      </w:r>
      <w:r>
        <w:rPr>
          <w:rFonts w:hint="eastAsia" w:ascii="宋体" w:hAnsi="宋体" w:eastAsia="宋体" w:cs="宋体"/>
          <w:sz w:val="24"/>
          <w:szCs w:val="24"/>
          <w:lang w:eastAsia="zh-CN"/>
        </w:rPr>
        <w:t>谈判</w:t>
      </w:r>
      <w:r>
        <w:rPr>
          <w:rFonts w:hint="eastAsia" w:ascii="宋体" w:hAnsi="宋体" w:eastAsia="宋体" w:cs="宋体"/>
          <w:sz w:val="24"/>
          <w:szCs w:val="24"/>
        </w:rPr>
        <w:t>公告中规定的时间和地点接收供应商递交的响应文件，主持</w:t>
      </w:r>
      <w:r>
        <w:rPr>
          <w:rFonts w:hint="eastAsia" w:ascii="宋体" w:hAnsi="宋体" w:eastAsia="宋体" w:cs="宋体"/>
          <w:sz w:val="24"/>
          <w:szCs w:val="24"/>
          <w:lang w:eastAsia="zh-CN"/>
        </w:rPr>
        <w:t>谈判</w:t>
      </w:r>
      <w:r>
        <w:rPr>
          <w:rFonts w:hint="eastAsia" w:ascii="宋体" w:hAnsi="宋体" w:eastAsia="宋体" w:cs="宋体"/>
          <w:sz w:val="24"/>
          <w:szCs w:val="24"/>
        </w:rPr>
        <w:t>会议，邀请供应商代表</w:t>
      </w:r>
      <w:r>
        <w:rPr>
          <w:rFonts w:hint="eastAsia" w:ascii="宋体" w:hAnsi="宋体" w:eastAsia="宋体" w:cs="宋体"/>
          <w:sz w:val="24"/>
          <w:szCs w:val="24"/>
          <w:lang w:eastAsia="zh-CN"/>
        </w:rPr>
        <w:t>及采购人代表</w:t>
      </w:r>
      <w:r>
        <w:rPr>
          <w:rFonts w:hint="eastAsia" w:ascii="宋体" w:hAnsi="宋体" w:eastAsia="宋体" w:cs="宋体"/>
          <w:sz w:val="24"/>
          <w:szCs w:val="24"/>
        </w:rPr>
        <w:t>参加。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29C47103">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eastAsia="zh-CN"/>
        </w:rPr>
        <w:t>谈判</w:t>
      </w:r>
      <w:r>
        <w:rPr>
          <w:rFonts w:hint="eastAsia" w:ascii="宋体" w:hAnsi="宋体" w:eastAsia="宋体" w:cs="宋体"/>
          <w:sz w:val="24"/>
          <w:szCs w:val="24"/>
        </w:rPr>
        <w:t>时，当众查验投标文件密封情况，由投标人或者其推选的代表检查投标文件的密封情况，以确认各投标人的投标文件密封情况是否与递交时一致，没有被提前启封等异常情况。</w:t>
      </w:r>
    </w:p>
    <w:p w14:paraId="3E0DA4E6">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1.3经确认无误后，密封不合格的投标文件以及按照本须知“投标文件的修改和撤回”规定，提交了可接受的“撤回”通知书的投标文件将不予拆封。</w:t>
      </w:r>
    </w:p>
    <w:p w14:paraId="29D136B3">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1.4宣读投标人名称</w:t>
      </w:r>
      <w:r>
        <w:rPr>
          <w:rFonts w:hint="eastAsia" w:ascii="宋体" w:hAnsi="宋体" w:eastAsia="宋体" w:cs="宋体"/>
          <w:color w:val="000000"/>
          <w:sz w:val="24"/>
          <w:szCs w:val="24"/>
          <w:highlight w:val="none"/>
          <w:lang w:eastAsia="zh-CN"/>
        </w:rPr>
        <w:t>。</w:t>
      </w:r>
    </w:p>
    <w:p w14:paraId="322B9808">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1.5由</w:t>
      </w:r>
      <w:r>
        <w:rPr>
          <w:rFonts w:hint="eastAsia" w:ascii="宋体" w:hAnsi="宋体" w:eastAsia="宋体" w:cs="宋体"/>
          <w:color w:val="000000"/>
          <w:sz w:val="24"/>
          <w:szCs w:val="24"/>
          <w:highlight w:val="none"/>
          <w:lang w:eastAsia="zh-CN"/>
        </w:rPr>
        <w:t>专家小组</w:t>
      </w:r>
      <w:r>
        <w:rPr>
          <w:rFonts w:hint="eastAsia" w:ascii="宋体" w:hAnsi="宋体" w:eastAsia="宋体" w:cs="宋体"/>
          <w:color w:val="000000"/>
          <w:sz w:val="24"/>
          <w:szCs w:val="24"/>
          <w:highlight w:val="none"/>
        </w:rPr>
        <w:t>查验投标</w:t>
      </w:r>
      <w:r>
        <w:rPr>
          <w:rFonts w:hint="eastAsia" w:ascii="宋体" w:hAnsi="宋体" w:eastAsia="宋体" w:cs="宋体"/>
          <w:color w:val="000000"/>
          <w:sz w:val="24"/>
          <w:szCs w:val="24"/>
        </w:rPr>
        <w:t>人必备资格文件，未通过审查的按废标处理。</w:t>
      </w:r>
    </w:p>
    <w:p w14:paraId="55FEF0A8">
      <w:pPr>
        <w:pageBreakBefore w:val="0"/>
        <w:widowControl/>
        <w:tabs>
          <w:tab w:val="left" w:pos="0"/>
        </w:tabs>
        <w:wordWrap/>
        <w:topLinePunct w:val="0"/>
        <w:autoSpaceDE/>
        <w:autoSpaceDN/>
        <w:bidi w:val="0"/>
        <w:spacing w:line="336"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1.6采购代理机构对开标过程进行摄像、文字记录，并存档备查。</w:t>
      </w:r>
    </w:p>
    <w:p w14:paraId="0E2853B8">
      <w:pPr>
        <w:pageBreakBefore w:val="0"/>
        <w:kinsoku/>
        <w:wordWrap/>
        <w:overflowPunct/>
        <w:topLinePunct w:val="0"/>
        <w:bidi w:val="0"/>
        <w:spacing w:line="312"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谈判小组</w:t>
      </w:r>
    </w:p>
    <w:p w14:paraId="0D109E10">
      <w:pPr>
        <w:pageBreakBefore w:val="0"/>
        <w:wordWrap/>
        <w:topLinePunct w:val="0"/>
        <w:autoSpaceDE/>
        <w:autoSpaceDN/>
        <w:bidi w:val="0"/>
        <w:spacing w:line="336" w:lineRule="auto"/>
        <w:ind w:firstLine="480" w:firstLineChars="200"/>
        <w:textAlignment w:val="auto"/>
        <w:rPr>
          <w:rFonts w:hint="eastAsia" w:ascii="宋体" w:hAnsi="宋体" w:eastAsia="宋体" w:cs="宋体"/>
          <w:sz w:val="24"/>
          <w:szCs w:val="24"/>
        </w:rPr>
      </w:pPr>
      <w:bookmarkStart w:id="123" w:name="_Toc536202311"/>
      <w:bookmarkStart w:id="124" w:name="_Toc27940"/>
      <w:bookmarkStart w:id="125" w:name="_Toc28085"/>
      <w:bookmarkStart w:id="126" w:name="_Toc386129876"/>
      <w:bookmarkStart w:id="127" w:name="_Toc385958808"/>
      <w:bookmarkStart w:id="128" w:name="_Toc23315665"/>
      <w:bookmarkStart w:id="129" w:name="_Toc14189412"/>
      <w:bookmarkStart w:id="130" w:name="_Toc32697"/>
      <w:bookmarkStart w:id="131" w:name="_Toc6298"/>
      <w:bookmarkStart w:id="132" w:name="_Toc14189275"/>
      <w:bookmarkStart w:id="133" w:name="_Toc18412204"/>
      <w:bookmarkStart w:id="134" w:name="_Toc23316589"/>
      <w:bookmarkStart w:id="135" w:name="_Toc35335261"/>
      <w:bookmarkStart w:id="136" w:name="_Toc23316525"/>
      <w:bookmarkStart w:id="137" w:name="_Toc23316687"/>
      <w:r>
        <w:rPr>
          <w:rFonts w:hint="eastAsia" w:ascii="宋体" w:hAnsi="宋体" w:eastAsia="宋体" w:cs="宋体"/>
          <w:sz w:val="24"/>
          <w:szCs w:val="24"/>
        </w:rPr>
        <w:t>为确保</w:t>
      </w:r>
      <w:r>
        <w:rPr>
          <w:rFonts w:hint="eastAsia" w:ascii="宋体" w:hAnsi="宋体" w:eastAsia="宋体" w:cs="宋体"/>
          <w:sz w:val="24"/>
          <w:szCs w:val="24"/>
          <w:lang w:eastAsia="zh-CN"/>
        </w:rPr>
        <w:t>谈判</w:t>
      </w:r>
      <w:r>
        <w:rPr>
          <w:rFonts w:hint="eastAsia" w:ascii="宋体" w:hAnsi="宋体" w:eastAsia="宋体" w:cs="宋体"/>
          <w:sz w:val="24"/>
          <w:szCs w:val="24"/>
        </w:rPr>
        <w:t>工作公开、公平、公正，依法成立</w:t>
      </w:r>
      <w:r>
        <w:rPr>
          <w:rFonts w:hint="eastAsia" w:ascii="宋体" w:hAnsi="宋体" w:eastAsia="宋体" w:cs="宋体"/>
          <w:sz w:val="24"/>
          <w:szCs w:val="24"/>
          <w:lang w:eastAsia="zh-CN"/>
        </w:rPr>
        <w:t>谈判</w:t>
      </w:r>
      <w:r>
        <w:rPr>
          <w:rFonts w:hint="eastAsia" w:ascii="宋体" w:hAnsi="宋体" w:eastAsia="宋体" w:cs="宋体"/>
          <w:sz w:val="24"/>
          <w:szCs w:val="24"/>
        </w:rPr>
        <w:t>小组。</w:t>
      </w:r>
      <w:r>
        <w:rPr>
          <w:rFonts w:hint="eastAsia" w:ascii="宋体" w:hAnsi="宋体" w:eastAsia="宋体" w:cs="宋体"/>
          <w:sz w:val="24"/>
          <w:szCs w:val="24"/>
          <w:lang w:eastAsia="zh-CN"/>
        </w:rPr>
        <w:t>谈判</w:t>
      </w:r>
      <w:r>
        <w:rPr>
          <w:rFonts w:hint="eastAsia" w:ascii="宋体" w:hAnsi="宋体" w:eastAsia="宋体" w:cs="宋体"/>
          <w:sz w:val="24"/>
          <w:szCs w:val="24"/>
        </w:rPr>
        <w:t>小组由采购人及有关专家组成，其中技术方面的专家不少于</w:t>
      </w:r>
      <w:r>
        <w:rPr>
          <w:rFonts w:hint="eastAsia" w:ascii="宋体" w:hAnsi="宋体" w:eastAsia="宋体" w:cs="宋体"/>
          <w:sz w:val="24"/>
          <w:szCs w:val="24"/>
          <w:lang w:eastAsia="zh-CN"/>
        </w:rPr>
        <w:t>谈判</w:t>
      </w:r>
      <w:r>
        <w:rPr>
          <w:rFonts w:hint="eastAsia" w:ascii="宋体" w:hAnsi="宋体" w:eastAsia="宋体" w:cs="宋体"/>
          <w:sz w:val="24"/>
          <w:szCs w:val="24"/>
        </w:rPr>
        <w:t>小组成员总数的三分之二，专家名单由有关人员在财政部门设立的政府采购评审专家库中随机抽取，</w:t>
      </w:r>
      <w:r>
        <w:rPr>
          <w:rFonts w:hint="eastAsia" w:ascii="宋体" w:hAnsi="宋体" w:eastAsia="宋体" w:cs="宋体"/>
          <w:sz w:val="24"/>
          <w:szCs w:val="24"/>
          <w:lang w:eastAsia="zh-CN"/>
        </w:rPr>
        <w:t>谈判</w:t>
      </w:r>
      <w:r>
        <w:rPr>
          <w:rFonts w:hint="eastAsia" w:ascii="宋体" w:hAnsi="宋体" w:eastAsia="宋体" w:cs="宋体"/>
          <w:sz w:val="24"/>
          <w:szCs w:val="24"/>
        </w:rPr>
        <w:t>小组成员应当遵守并履行下列责任和义务：</w:t>
      </w:r>
    </w:p>
    <w:p w14:paraId="06B9BE18">
      <w:pPr>
        <w:pageBreakBefore w:val="0"/>
        <w:wordWrap/>
        <w:topLinePunct w:val="0"/>
        <w:autoSpaceDE/>
        <w:autoSpaceDN/>
        <w:bidi w:val="0"/>
        <w:spacing w:line="336" w:lineRule="auto"/>
        <w:ind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305E8329">
      <w:pPr>
        <w:pageBreakBefore w:val="0"/>
        <w:tabs>
          <w:tab w:val="left" w:pos="1200"/>
        </w:tabs>
        <w:wordWrap/>
        <w:topLinePunct w:val="0"/>
        <w:autoSpaceDE/>
        <w:autoSpaceDN/>
        <w:bidi w:val="0"/>
        <w:spacing w:line="336"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（2）对所有响应文件逐一进行资格性、符合性审查，并</w:t>
      </w:r>
      <w:r>
        <w:rPr>
          <w:rFonts w:hint="eastAsia" w:ascii="宋体" w:hAnsi="宋体" w:eastAsia="宋体" w:cs="宋体"/>
          <w:sz w:val="24"/>
          <w:szCs w:val="24"/>
          <w:lang w:eastAsia="zh-CN"/>
        </w:rPr>
        <w:t>作出评价</w:t>
      </w:r>
      <w:r>
        <w:rPr>
          <w:rFonts w:hint="eastAsia" w:ascii="宋体" w:hAnsi="宋体" w:eastAsia="宋体" w:cs="宋体"/>
          <w:sz w:val="24"/>
          <w:szCs w:val="24"/>
        </w:rPr>
        <w:t>；</w:t>
      </w:r>
    </w:p>
    <w:p w14:paraId="5CAB4173">
      <w:pPr>
        <w:pageBreakBefore w:val="0"/>
        <w:tabs>
          <w:tab w:val="left" w:pos="1200"/>
        </w:tabs>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（3）按</w:t>
      </w:r>
      <w:r>
        <w:rPr>
          <w:rFonts w:hint="eastAsia" w:ascii="宋体" w:hAnsi="宋体" w:eastAsia="宋体" w:cs="宋体"/>
          <w:sz w:val="24"/>
          <w:szCs w:val="24"/>
          <w:lang w:eastAsia="zh-CN"/>
        </w:rPr>
        <w:t>谈判</w:t>
      </w:r>
      <w:r>
        <w:rPr>
          <w:rFonts w:hint="eastAsia" w:ascii="宋体" w:hAnsi="宋体" w:eastAsia="宋体" w:cs="宋体"/>
          <w:sz w:val="24"/>
          <w:szCs w:val="24"/>
        </w:rPr>
        <w:t>文件规定的评审方法和标准，进行比较和评价；对供应商的价格分等客观评分项的评分应当一致；</w:t>
      </w:r>
    </w:p>
    <w:p w14:paraId="7337B2F1">
      <w:pPr>
        <w:pageBreakBefore w:val="0"/>
        <w:tabs>
          <w:tab w:val="left" w:pos="1200"/>
        </w:tabs>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（4）要求供应商对响应文件有关事项作出解释或澄清；</w:t>
      </w:r>
    </w:p>
    <w:p w14:paraId="4D7AD917">
      <w:pPr>
        <w:pageBreakBefore w:val="0"/>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（5）要依法独立评审，按照</w:t>
      </w:r>
      <w:r>
        <w:rPr>
          <w:rFonts w:hint="eastAsia" w:ascii="宋体" w:hAnsi="宋体" w:eastAsia="宋体" w:cs="宋体"/>
          <w:sz w:val="24"/>
          <w:szCs w:val="24"/>
          <w:lang w:eastAsia="zh-CN"/>
        </w:rPr>
        <w:t>谈判</w:t>
      </w:r>
      <w:r>
        <w:rPr>
          <w:rFonts w:hint="eastAsia" w:ascii="宋体" w:hAnsi="宋体" w:eastAsia="宋体" w:cs="宋体"/>
          <w:sz w:val="24"/>
          <w:szCs w:val="24"/>
        </w:rPr>
        <w:t>文件的要求和评标标准进行评标，推荐成交候选供应商名单，对评审意见承担个人责任；</w:t>
      </w:r>
    </w:p>
    <w:p w14:paraId="3D1DDB31">
      <w:pPr>
        <w:pageBreakBefore w:val="0"/>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（6）对需要共同认定的事项存在争议的，按照少数服从多数的原则</w:t>
      </w:r>
      <w:r>
        <w:rPr>
          <w:rFonts w:hint="eastAsia" w:ascii="宋体" w:hAnsi="宋体" w:eastAsia="宋体" w:cs="宋体"/>
          <w:sz w:val="24"/>
          <w:szCs w:val="24"/>
          <w:lang w:eastAsia="zh-CN"/>
        </w:rPr>
        <w:t>作出</w:t>
      </w:r>
      <w:r>
        <w:rPr>
          <w:rFonts w:hint="eastAsia" w:ascii="宋体" w:hAnsi="宋体" w:eastAsia="宋体" w:cs="宋体"/>
          <w:sz w:val="24"/>
          <w:szCs w:val="24"/>
        </w:rPr>
        <w:t>结论。持不同意见的</w:t>
      </w:r>
      <w:r>
        <w:rPr>
          <w:rFonts w:hint="eastAsia" w:ascii="宋体" w:hAnsi="宋体" w:eastAsia="宋体" w:cs="宋体"/>
          <w:sz w:val="24"/>
          <w:szCs w:val="24"/>
          <w:lang w:eastAsia="zh-CN"/>
        </w:rPr>
        <w:t>谈判</w:t>
      </w:r>
      <w:r>
        <w:rPr>
          <w:rFonts w:hint="eastAsia" w:ascii="宋体" w:hAnsi="宋体" w:eastAsia="宋体" w:cs="宋体"/>
          <w:sz w:val="24"/>
          <w:szCs w:val="24"/>
        </w:rPr>
        <w:t xml:space="preserve">小组成员应当在评审报告上签署不同意见并说明理由，否则视为同意； </w:t>
      </w:r>
    </w:p>
    <w:p w14:paraId="788C8D84">
      <w:pPr>
        <w:pageBreakBefore w:val="0"/>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（7）对评审情况以及在评审过程中获悉的国家秘密、商业秘密负有保密责任；</w:t>
      </w:r>
    </w:p>
    <w:p w14:paraId="796B50B6">
      <w:pPr>
        <w:pageBreakBefore w:val="0"/>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 配合财政部门的投诉处理工作；</w:t>
      </w:r>
    </w:p>
    <w:p w14:paraId="6084C438">
      <w:pPr>
        <w:pageBreakBefore w:val="0"/>
        <w:wordWrap/>
        <w:topLinePunct w:val="0"/>
        <w:autoSpaceDE/>
        <w:autoSpaceDN/>
        <w:bidi w:val="0"/>
        <w:spacing w:line="336" w:lineRule="auto"/>
        <w:ind w:left="22" w:leftChars="8" w:firstLine="458" w:firstLineChars="191"/>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）配合采购人、采购代理机构答复供应商提出的质疑。</w:t>
      </w:r>
    </w:p>
    <w:bookmarkEnd w:id="123"/>
    <w:bookmarkEnd w:id="124"/>
    <w:bookmarkEnd w:id="125"/>
    <w:bookmarkEnd w:id="126"/>
    <w:bookmarkEnd w:id="127"/>
    <w:p w14:paraId="44C7AA81">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lang w:eastAsia="zh-CN"/>
        </w:rPr>
      </w:pPr>
      <w:bookmarkStart w:id="138" w:name="_Toc30801"/>
      <w:bookmarkStart w:id="139" w:name="_Toc12371"/>
      <w:r>
        <w:rPr>
          <w:rFonts w:hint="eastAsia" w:ascii="宋体" w:hAnsi="宋体" w:eastAsia="宋体" w:cs="宋体"/>
          <w:sz w:val="24"/>
          <w:szCs w:val="24"/>
          <w:lang w:val="en-US" w:eastAsia="zh-CN"/>
        </w:rPr>
        <w:t>3.</w:t>
      </w:r>
      <w:r>
        <w:rPr>
          <w:rFonts w:hint="eastAsia" w:ascii="宋体" w:hAnsi="宋体" w:eastAsia="宋体" w:cs="宋体"/>
          <w:sz w:val="24"/>
          <w:szCs w:val="24"/>
        </w:rPr>
        <w:t>谈判方法及程序</w:t>
      </w:r>
      <w:bookmarkEnd w:id="128"/>
      <w:bookmarkEnd w:id="129"/>
      <w:bookmarkEnd w:id="130"/>
      <w:bookmarkEnd w:id="131"/>
      <w:bookmarkEnd w:id="132"/>
      <w:bookmarkEnd w:id="133"/>
      <w:bookmarkEnd w:id="134"/>
      <w:bookmarkEnd w:id="135"/>
      <w:bookmarkEnd w:id="136"/>
      <w:bookmarkEnd w:id="137"/>
      <w:bookmarkEnd w:id="138"/>
      <w:bookmarkEnd w:id="139"/>
    </w:p>
    <w:p w14:paraId="37AAAEF0">
      <w:pPr>
        <w:pageBreakBefore w:val="0"/>
        <w:tabs>
          <w:tab w:val="center" w:pos="4649"/>
        </w:tabs>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lang w:val="zh-CN"/>
        </w:rPr>
      </w:pPr>
      <w:bookmarkStart w:id="140" w:name="_Toc14189277"/>
      <w:bookmarkStart w:id="141" w:name="_Toc411064160"/>
      <w:r>
        <w:rPr>
          <w:rFonts w:hint="eastAsia" w:ascii="宋体" w:hAnsi="宋体" w:eastAsia="宋体" w:cs="宋体"/>
          <w:sz w:val="24"/>
          <w:szCs w:val="24"/>
          <w:lang w:val="en-US" w:eastAsia="zh-CN"/>
        </w:rPr>
        <w:t>3.1</w:t>
      </w:r>
      <w:r>
        <w:rPr>
          <w:rFonts w:hint="eastAsia" w:ascii="宋体" w:hAnsi="宋体" w:eastAsia="宋体" w:cs="宋体"/>
          <w:sz w:val="24"/>
          <w:szCs w:val="24"/>
          <w:lang w:val="zh-CN"/>
        </w:rPr>
        <w:t>初步评审</w:t>
      </w:r>
      <w:bookmarkEnd w:id="140"/>
      <w:bookmarkEnd w:id="141"/>
      <w:r>
        <w:rPr>
          <w:rFonts w:hint="eastAsia" w:ascii="宋体" w:hAnsi="宋体" w:eastAsia="宋体" w:cs="宋体"/>
          <w:sz w:val="24"/>
          <w:szCs w:val="24"/>
          <w:lang w:val="zh-CN"/>
        </w:rPr>
        <w:tab/>
      </w:r>
    </w:p>
    <w:p w14:paraId="68803F1E">
      <w:pPr>
        <w:pageBreakBefore w:val="0"/>
        <w:tabs>
          <w:tab w:val="left" w:pos="6935"/>
        </w:tabs>
        <w:kinsoku/>
        <w:wordWrap/>
        <w:overflowPunct/>
        <w:topLinePunct w:val="0"/>
        <w:autoSpaceDE w:val="0"/>
        <w:autoSpaceDN w:val="0"/>
        <w:bidi w:val="0"/>
        <w:spacing w:line="312"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第一阶段：资格性审查</w:t>
      </w:r>
      <w:r>
        <w:rPr>
          <w:rFonts w:hint="eastAsia" w:ascii="宋体" w:hAnsi="宋体" w:eastAsia="宋体" w:cs="宋体"/>
          <w:sz w:val="24"/>
          <w:szCs w:val="24"/>
          <w:lang w:val="zh-CN"/>
        </w:rPr>
        <w:tab/>
      </w:r>
    </w:p>
    <w:p w14:paraId="271EB79A">
      <w:pPr>
        <w:pageBreakBefore w:val="0"/>
        <w:kinsoku/>
        <w:wordWrap/>
        <w:overflowPunct/>
        <w:topLinePunct w:val="0"/>
        <w:autoSpaceDE w:val="0"/>
        <w:autoSpaceDN w:val="0"/>
        <w:bidi w:val="0"/>
        <w:spacing w:line="312"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谈判小组依据法律法规和谈判文件的规定，对所有供应商的商务部分中的资格证明（包括信用情况）进行审查，并确定供应商是否具备谈判资格，填写资格审查表并签字确认。</w:t>
      </w:r>
    </w:p>
    <w:p w14:paraId="2E683534">
      <w:pPr>
        <w:pageBreakBefore w:val="0"/>
        <w:tabs>
          <w:tab w:val="left" w:pos="3962"/>
        </w:tabs>
        <w:kinsoku/>
        <w:wordWrap/>
        <w:overflowPunct/>
        <w:topLinePunct w:val="0"/>
        <w:autoSpaceDE w:val="0"/>
        <w:autoSpaceDN w:val="0"/>
        <w:bidi w:val="0"/>
        <w:spacing w:line="312"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第二阶段：符合性审查</w:t>
      </w:r>
      <w:r>
        <w:rPr>
          <w:rFonts w:hint="eastAsia" w:ascii="宋体" w:hAnsi="宋体" w:eastAsia="宋体" w:cs="宋体"/>
          <w:sz w:val="24"/>
          <w:szCs w:val="24"/>
          <w:lang w:val="zh-CN"/>
        </w:rPr>
        <w:tab/>
      </w:r>
    </w:p>
    <w:p w14:paraId="2AC13E9C">
      <w:pPr>
        <w:pageBreakBefore w:val="0"/>
        <w:kinsoku/>
        <w:wordWrap/>
        <w:overflowPunct/>
        <w:topLinePunct w:val="0"/>
        <w:autoSpaceDE w:val="0"/>
        <w:autoSpaceDN w:val="0"/>
        <w:bidi w:val="0"/>
        <w:spacing w:line="312"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谈判小组依据谈判文件的规定，对供应商的响应文件的有效性、完整性以及对谈判文件的响应程度进行审查，以确定是否对谈判文件的实质性要求作出响应。</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361"/>
        <w:gridCol w:w="3765"/>
        <w:gridCol w:w="1005"/>
        <w:gridCol w:w="1495"/>
      </w:tblGrid>
      <w:tr w14:paraId="24E5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1953F6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7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E67C5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2027"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DE66D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2D5CA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803"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FE287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2EFC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5312B8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1</w:t>
            </w:r>
          </w:p>
        </w:tc>
        <w:tc>
          <w:tcPr>
            <w:tcW w:w="1271" w:type="pct"/>
            <w:tcBorders>
              <w:top w:val="single" w:color="auto" w:sz="4" w:space="0"/>
              <w:left w:val="single" w:color="auto" w:sz="4" w:space="0"/>
              <w:bottom w:val="single" w:color="auto" w:sz="4" w:space="0"/>
              <w:right w:val="single" w:color="auto" w:sz="4" w:space="0"/>
            </w:tcBorders>
            <w:vAlign w:val="top"/>
          </w:tcPr>
          <w:p w14:paraId="25C9A6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w:t>
            </w:r>
          </w:p>
        </w:tc>
        <w:tc>
          <w:tcPr>
            <w:tcW w:w="2027" w:type="pct"/>
            <w:tcBorders>
              <w:top w:val="single" w:color="auto" w:sz="4" w:space="0"/>
              <w:left w:val="single" w:color="auto" w:sz="4" w:space="0"/>
              <w:bottom w:val="single" w:color="auto" w:sz="4" w:space="0"/>
              <w:right w:val="single" w:color="auto" w:sz="4" w:space="0"/>
            </w:tcBorders>
            <w:vAlign w:val="center"/>
          </w:tcPr>
          <w:p w14:paraId="54F4E2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6CC06F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36ED48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268F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299F27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2</w:t>
            </w:r>
          </w:p>
        </w:tc>
        <w:tc>
          <w:tcPr>
            <w:tcW w:w="1271" w:type="pct"/>
            <w:tcBorders>
              <w:top w:val="single" w:color="auto" w:sz="4" w:space="0"/>
              <w:left w:val="single" w:color="auto" w:sz="4" w:space="0"/>
              <w:bottom w:val="single" w:color="auto" w:sz="4" w:space="0"/>
              <w:right w:val="single" w:color="auto" w:sz="4" w:space="0"/>
            </w:tcBorders>
            <w:vAlign w:val="center"/>
          </w:tcPr>
          <w:p w14:paraId="2C8FBF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2027" w:type="pct"/>
            <w:tcBorders>
              <w:top w:val="single" w:color="auto" w:sz="4" w:space="0"/>
              <w:left w:val="single" w:color="auto" w:sz="4" w:space="0"/>
              <w:bottom w:val="single" w:color="auto" w:sz="4" w:space="0"/>
              <w:right w:val="single" w:color="auto" w:sz="4" w:space="0"/>
            </w:tcBorders>
            <w:vAlign w:val="top"/>
          </w:tcPr>
          <w:p w14:paraId="35C48A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color w:val="auto"/>
                <w:sz w:val="24"/>
                <w:szCs w:val="24"/>
                <w:highlight w:val="none"/>
              </w:rPr>
              <w:t>文件要求签字、盖章。</w:t>
            </w:r>
          </w:p>
        </w:tc>
        <w:tc>
          <w:tcPr>
            <w:tcW w:w="541" w:type="pct"/>
            <w:tcBorders>
              <w:top w:val="single" w:color="auto" w:sz="4" w:space="0"/>
              <w:left w:val="single" w:color="auto" w:sz="4" w:space="0"/>
              <w:bottom w:val="single" w:color="auto" w:sz="4" w:space="0"/>
              <w:right w:val="single" w:color="auto" w:sz="4" w:space="0"/>
            </w:tcBorders>
            <w:vAlign w:val="top"/>
          </w:tcPr>
          <w:p w14:paraId="15C8A7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739809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71EA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50E9A5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3</w:t>
            </w:r>
          </w:p>
        </w:tc>
        <w:tc>
          <w:tcPr>
            <w:tcW w:w="1271" w:type="pct"/>
            <w:tcBorders>
              <w:top w:val="single" w:color="auto" w:sz="4" w:space="0"/>
              <w:left w:val="single" w:color="auto" w:sz="4" w:space="0"/>
              <w:bottom w:val="single" w:color="auto" w:sz="4" w:space="0"/>
              <w:right w:val="single" w:color="auto" w:sz="4" w:space="0"/>
            </w:tcBorders>
            <w:vAlign w:val="center"/>
          </w:tcPr>
          <w:p w14:paraId="23E7E5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red"/>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2027" w:type="pct"/>
            <w:tcBorders>
              <w:top w:val="single" w:color="auto" w:sz="4" w:space="0"/>
              <w:left w:val="single" w:color="auto" w:sz="4" w:space="0"/>
              <w:bottom w:val="single" w:color="auto" w:sz="4" w:space="0"/>
              <w:right w:val="single" w:color="auto" w:sz="4" w:space="0"/>
            </w:tcBorders>
            <w:vAlign w:val="top"/>
          </w:tcPr>
          <w:p w14:paraId="3C1AA6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color w:val="auto"/>
                <w:sz w:val="24"/>
                <w:szCs w:val="24"/>
                <w:highlight w:val="none"/>
              </w:rPr>
              <w:t>文件应包含以下内容：</w:t>
            </w:r>
          </w:p>
          <w:p w14:paraId="0F09D5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w:t>
            </w:r>
          </w:p>
          <w:p w14:paraId="6847E0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二、报价一览表</w:t>
            </w:r>
          </w:p>
          <w:p w14:paraId="65CA61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投标分项报价表</w:t>
            </w:r>
          </w:p>
          <w:p w14:paraId="75314A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资格证明文件</w:t>
            </w:r>
          </w:p>
          <w:p w14:paraId="5293B3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技术商务响应</w:t>
            </w:r>
            <w:r>
              <w:rPr>
                <w:rFonts w:hint="eastAsia" w:ascii="宋体" w:hAnsi="宋体" w:eastAsia="宋体" w:cs="宋体"/>
                <w:color w:val="auto"/>
                <w:sz w:val="24"/>
                <w:szCs w:val="24"/>
                <w:highlight w:val="none"/>
                <w:lang w:eastAsia="zh-CN"/>
              </w:rPr>
              <w:t>偏离表</w:t>
            </w:r>
          </w:p>
          <w:p w14:paraId="53EF4D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方案</w:t>
            </w:r>
          </w:p>
          <w:p w14:paraId="207EA9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red"/>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、投标单位拒绝政府采购领域商业贿赂承诺书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6C567E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1AC71E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0F9C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542F36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4</w:t>
            </w:r>
          </w:p>
        </w:tc>
        <w:tc>
          <w:tcPr>
            <w:tcW w:w="1271" w:type="pct"/>
            <w:tcBorders>
              <w:top w:val="single" w:color="auto" w:sz="4" w:space="0"/>
              <w:left w:val="single" w:color="auto" w:sz="4" w:space="0"/>
              <w:bottom w:val="single" w:color="auto" w:sz="4" w:space="0"/>
              <w:right w:val="single" w:color="auto" w:sz="4" w:space="0"/>
            </w:tcBorders>
            <w:vAlign w:val="center"/>
          </w:tcPr>
          <w:p w14:paraId="18DF31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2027" w:type="pct"/>
            <w:tcBorders>
              <w:top w:val="single" w:color="auto" w:sz="4" w:space="0"/>
              <w:left w:val="single" w:color="auto" w:sz="4" w:space="0"/>
              <w:bottom w:val="single" w:color="auto" w:sz="4" w:space="0"/>
              <w:right w:val="single" w:color="auto" w:sz="4" w:space="0"/>
            </w:tcBorders>
            <w:vAlign w:val="center"/>
          </w:tcPr>
          <w:p w14:paraId="5ABACF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color w:val="auto"/>
                <w:sz w:val="24"/>
                <w:szCs w:val="24"/>
                <w:highlight w:val="none"/>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3F209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6FF1AC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543C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4E7FB1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5</w:t>
            </w:r>
          </w:p>
        </w:tc>
        <w:tc>
          <w:tcPr>
            <w:tcW w:w="1271" w:type="pct"/>
            <w:tcBorders>
              <w:top w:val="single" w:color="auto" w:sz="4" w:space="0"/>
              <w:left w:val="single" w:color="auto" w:sz="4" w:space="0"/>
              <w:bottom w:val="single" w:color="auto" w:sz="4" w:space="0"/>
              <w:right w:val="single" w:color="auto" w:sz="4" w:space="0"/>
            </w:tcBorders>
            <w:vAlign w:val="center"/>
          </w:tcPr>
          <w:p w14:paraId="1C67AF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bCs/>
                <w:color w:val="auto"/>
                <w:kern w:val="0"/>
                <w:sz w:val="24"/>
                <w:szCs w:val="24"/>
                <w:highlight w:val="none"/>
              </w:rPr>
              <w:t>报价</w:t>
            </w:r>
          </w:p>
        </w:tc>
        <w:tc>
          <w:tcPr>
            <w:tcW w:w="2027" w:type="pct"/>
            <w:tcBorders>
              <w:top w:val="single" w:color="auto" w:sz="4" w:space="0"/>
              <w:left w:val="single" w:color="auto" w:sz="4" w:space="0"/>
              <w:bottom w:val="single" w:color="auto" w:sz="4" w:space="0"/>
              <w:right w:val="single" w:color="auto" w:sz="4" w:space="0"/>
            </w:tcBorders>
            <w:vAlign w:val="top"/>
          </w:tcPr>
          <w:p w14:paraId="486C09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bCs/>
                <w:color w:val="auto"/>
                <w:kern w:val="0"/>
                <w:sz w:val="24"/>
                <w:szCs w:val="24"/>
                <w:highlight w:val="none"/>
              </w:rPr>
              <w:t>报价符合唯一性要求：</w:t>
            </w:r>
          </w:p>
          <w:p w14:paraId="428F24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r>
              <w:rPr>
                <w:rFonts w:hint="eastAsia" w:ascii="宋体" w:hAnsi="宋体" w:eastAsia="宋体" w:cs="宋体"/>
                <w:bCs/>
                <w:color w:val="auto"/>
                <w:kern w:val="0"/>
                <w:sz w:val="24"/>
                <w:szCs w:val="24"/>
                <w:highlight w:val="none"/>
                <w:lang w:val="en-US" w:eastAsia="zh-CN"/>
              </w:rPr>
              <w:t>报价</w:t>
            </w:r>
            <w:r>
              <w:rPr>
                <w:rFonts w:hint="eastAsia" w:ascii="宋体" w:hAnsi="宋体" w:eastAsia="宋体" w:cs="宋体"/>
                <w:bCs/>
                <w:color w:val="auto"/>
                <w:kern w:val="0"/>
                <w:sz w:val="24"/>
                <w:szCs w:val="24"/>
                <w:highlight w:val="none"/>
              </w:rPr>
              <w:t>一览表填写符合要求；</w:t>
            </w:r>
          </w:p>
          <w:p w14:paraId="7EDA4F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（3）未超出采购预算或</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bCs/>
                <w:color w:val="auto"/>
                <w:kern w:val="0"/>
                <w:sz w:val="24"/>
                <w:szCs w:val="24"/>
                <w:highlight w:val="none"/>
              </w:rPr>
              <w:t>文件规定的最高限价</w:t>
            </w:r>
            <w:r>
              <w:rPr>
                <w:rFonts w:hint="eastAsia" w:ascii="宋体" w:hAnsi="宋体" w:eastAsia="宋体" w:cs="宋体"/>
                <w:bCs/>
                <w:color w:val="auto"/>
                <w:kern w:val="0"/>
                <w:sz w:val="24"/>
                <w:szCs w:val="24"/>
                <w:highlight w:val="none"/>
                <w:lang w:eastAsia="zh-CN"/>
              </w:rPr>
              <w:t>。</w:t>
            </w:r>
          </w:p>
        </w:tc>
        <w:tc>
          <w:tcPr>
            <w:tcW w:w="541" w:type="pct"/>
            <w:tcBorders>
              <w:top w:val="single" w:color="auto" w:sz="4" w:space="0"/>
              <w:left w:val="single" w:color="auto" w:sz="4" w:space="0"/>
              <w:bottom w:val="single" w:color="auto" w:sz="4" w:space="0"/>
              <w:right w:val="single" w:color="auto" w:sz="4" w:space="0"/>
            </w:tcBorders>
            <w:vAlign w:val="top"/>
          </w:tcPr>
          <w:p w14:paraId="415B53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E0F5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110C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37027C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6</w:t>
            </w:r>
          </w:p>
        </w:tc>
        <w:tc>
          <w:tcPr>
            <w:tcW w:w="1271" w:type="pct"/>
            <w:tcBorders>
              <w:top w:val="single" w:color="auto" w:sz="4" w:space="0"/>
              <w:left w:val="single" w:color="auto" w:sz="4" w:space="0"/>
              <w:bottom w:val="single" w:color="auto" w:sz="4" w:space="0"/>
              <w:right w:val="single" w:color="auto" w:sz="4" w:space="0"/>
            </w:tcBorders>
            <w:vAlign w:val="center"/>
          </w:tcPr>
          <w:p w14:paraId="76C29E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bCs/>
                <w:color w:val="auto"/>
                <w:kern w:val="0"/>
                <w:sz w:val="24"/>
                <w:szCs w:val="24"/>
                <w:highlight w:val="none"/>
              </w:rPr>
              <w:t>文件要求的实质性条款</w:t>
            </w:r>
          </w:p>
        </w:tc>
        <w:tc>
          <w:tcPr>
            <w:tcW w:w="2027" w:type="pct"/>
            <w:tcBorders>
              <w:top w:val="single" w:color="auto" w:sz="4" w:space="0"/>
              <w:left w:val="single" w:color="auto" w:sz="4" w:space="0"/>
              <w:bottom w:val="single" w:color="auto" w:sz="4" w:space="0"/>
              <w:right w:val="single" w:color="auto" w:sz="4" w:space="0"/>
            </w:tcBorders>
            <w:vAlign w:val="center"/>
          </w:tcPr>
          <w:p w14:paraId="68D675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color w:val="auto"/>
                <w:sz w:val="24"/>
                <w:szCs w:val="24"/>
                <w:highlight w:val="none"/>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7113A4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DA492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47F1B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6" w:type="pct"/>
            <w:tcBorders>
              <w:top w:val="single" w:color="auto" w:sz="4" w:space="0"/>
              <w:left w:val="single" w:color="auto" w:sz="4" w:space="0"/>
              <w:bottom w:val="single" w:color="auto" w:sz="4" w:space="0"/>
              <w:right w:val="single" w:color="auto" w:sz="4" w:space="0"/>
            </w:tcBorders>
            <w:vAlign w:val="center"/>
          </w:tcPr>
          <w:p w14:paraId="37B5A0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271" w:type="pct"/>
            <w:tcBorders>
              <w:top w:val="single" w:color="auto" w:sz="4" w:space="0"/>
              <w:left w:val="single" w:color="auto" w:sz="4" w:space="0"/>
              <w:bottom w:val="single" w:color="auto" w:sz="4" w:space="0"/>
              <w:right w:val="single" w:color="auto" w:sz="4" w:space="0"/>
            </w:tcBorders>
            <w:vAlign w:val="center"/>
          </w:tcPr>
          <w:p w14:paraId="1F11A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2027" w:type="pct"/>
            <w:tcBorders>
              <w:top w:val="single" w:color="auto" w:sz="4" w:space="0"/>
              <w:left w:val="single" w:color="auto" w:sz="4" w:space="0"/>
              <w:bottom w:val="single" w:color="auto" w:sz="4" w:space="0"/>
              <w:right w:val="single" w:color="auto" w:sz="4" w:space="0"/>
            </w:tcBorders>
            <w:vAlign w:val="center"/>
          </w:tcPr>
          <w:p w14:paraId="4C0564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w:t>
            </w:r>
            <w:r>
              <w:rPr>
                <w:rFonts w:hint="eastAsia" w:ascii="宋体" w:hAnsi="宋体" w:eastAsia="宋体" w:cs="宋体"/>
                <w:color w:val="auto"/>
                <w:sz w:val="24"/>
                <w:szCs w:val="24"/>
                <w:highlight w:val="none"/>
                <w:lang w:val="en-US" w:eastAsia="zh-CN"/>
              </w:rPr>
              <w:t>理解并接受</w:t>
            </w:r>
            <w:r>
              <w:rPr>
                <w:rFonts w:hint="eastAsia" w:ascii="宋体" w:hAnsi="宋体" w:eastAsia="宋体" w:cs="宋体"/>
                <w:bCs/>
                <w:color w:val="auto"/>
                <w:kern w:val="0"/>
                <w:sz w:val="24"/>
                <w:szCs w:val="24"/>
                <w:highlight w:val="none"/>
                <w:lang w:val="en-US" w:eastAsia="zh-CN"/>
              </w:rPr>
              <w:t>谈判</w:t>
            </w:r>
            <w:r>
              <w:rPr>
                <w:rFonts w:hint="eastAsia" w:ascii="宋体" w:hAnsi="宋体" w:eastAsia="宋体" w:cs="宋体"/>
                <w:color w:val="auto"/>
                <w:sz w:val="24"/>
                <w:szCs w:val="24"/>
                <w:highlight w:val="none"/>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586F70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c>
          <w:tcPr>
            <w:tcW w:w="803" w:type="pct"/>
            <w:tcBorders>
              <w:top w:val="single" w:color="auto" w:sz="4" w:space="0"/>
              <w:left w:val="single" w:color="auto" w:sz="4" w:space="0"/>
              <w:bottom w:val="single" w:color="auto" w:sz="4" w:space="0"/>
              <w:right w:val="single" w:color="auto" w:sz="4" w:space="0"/>
            </w:tcBorders>
            <w:vAlign w:val="top"/>
          </w:tcPr>
          <w:p w14:paraId="58D4A2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both"/>
              <w:textAlignment w:val="auto"/>
              <w:outlineLvl w:val="9"/>
              <w:rPr>
                <w:rFonts w:hint="eastAsia" w:ascii="宋体" w:hAnsi="宋体" w:eastAsia="宋体" w:cs="宋体"/>
                <w:b/>
                <w:bCs/>
                <w:color w:val="auto"/>
                <w:kern w:val="0"/>
                <w:sz w:val="24"/>
                <w:szCs w:val="24"/>
                <w:highlight w:val="none"/>
              </w:rPr>
            </w:pPr>
          </w:p>
        </w:tc>
      </w:tr>
      <w:tr w14:paraId="4B51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7C282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200"/>
              <w:jc w:val="left"/>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谈判</w:t>
            </w:r>
            <w:r>
              <w:rPr>
                <w:rFonts w:hint="eastAsia" w:ascii="宋体" w:hAnsi="宋体" w:eastAsia="宋体" w:cs="宋体"/>
                <w:b/>
                <w:bCs/>
                <w:color w:val="auto"/>
                <w:kern w:val="0"/>
                <w:sz w:val="24"/>
                <w:szCs w:val="24"/>
                <w:highlight w:val="none"/>
                <w:lang w:eastAsia="zh-CN"/>
              </w:rPr>
              <w:t>小组</w:t>
            </w:r>
            <w:r>
              <w:rPr>
                <w:rFonts w:hint="eastAsia" w:ascii="宋体" w:hAnsi="宋体" w:eastAsia="宋体" w:cs="宋体"/>
                <w:b/>
                <w:bCs/>
                <w:color w:val="auto"/>
                <w:kern w:val="0"/>
                <w:sz w:val="24"/>
                <w:szCs w:val="24"/>
                <w:highlight w:val="none"/>
              </w:rPr>
              <w:t>成员：（签字或盖章）</w:t>
            </w:r>
          </w:p>
        </w:tc>
      </w:tr>
    </w:tbl>
    <w:p w14:paraId="2595AE13">
      <w:pPr>
        <w:pageBreakBefore w:val="0"/>
        <w:kinsoku/>
        <w:wordWrap/>
        <w:overflowPunct/>
        <w:topLinePunct w:val="0"/>
        <w:autoSpaceDE w:val="0"/>
        <w:autoSpaceDN w:val="0"/>
        <w:bidi w:val="0"/>
        <w:spacing w:line="312" w:lineRule="auto"/>
        <w:ind w:firstLine="482"/>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在资格性和符合性审查同时，对属于不合格或者报价无效的供应商，谈判小组必须提出不合格或者报价无效的事实依据，并出具不合格或者报价无效说明，供应商签字确认，供应商拒绝签字确认的不影响谈判小组作出的不合格或无效报价裁定。</w:t>
      </w:r>
    </w:p>
    <w:p w14:paraId="00A6A8B0">
      <w:pPr>
        <w:pageBreakBefore w:val="0"/>
        <w:kinsoku/>
        <w:wordWrap/>
        <w:overflowPunct/>
        <w:topLinePunct w:val="0"/>
        <w:bidi w:val="0"/>
        <w:spacing w:line="312" w:lineRule="auto"/>
        <w:ind w:firstLine="472" w:firstLineChars="197"/>
        <w:textAlignment w:val="auto"/>
        <w:outlineLvl w:val="9"/>
        <w:rPr>
          <w:rFonts w:hint="eastAsia" w:ascii="宋体" w:hAnsi="宋体" w:eastAsia="宋体" w:cs="宋体"/>
          <w:sz w:val="24"/>
          <w:szCs w:val="24"/>
        </w:rPr>
      </w:pPr>
      <w:bookmarkStart w:id="142" w:name="_Toc411064163"/>
      <w:bookmarkStart w:id="143" w:name="_Toc16355"/>
      <w:bookmarkStart w:id="144" w:name="_Toc14790"/>
      <w:bookmarkStart w:id="145" w:name="_Toc14189280"/>
      <w:r>
        <w:rPr>
          <w:rFonts w:hint="eastAsia" w:ascii="宋体" w:hAnsi="宋体" w:eastAsia="宋体" w:cs="宋体"/>
          <w:sz w:val="24"/>
          <w:szCs w:val="24"/>
          <w:lang w:val="en-US" w:eastAsia="zh-CN"/>
        </w:rPr>
        <w:t>3.2</w:t>
      </w:r>
      <w:r>
        <w:rPr>
          <w:rFonts w:hint="eastAsia" w:ascii="宋体" w:hAnsi="宋体" w:eastAsia="宋体" w:cs="宋体"/>
          <w:sz w:val="24"/>
          <w:szCs w:val="24"/>
        </w:rPr>
        <w:t>按照《政府采购非招标采购方式管理办法》（财政部第74号令）有关规定，对响应文件中的供应商进行审查。出现下列情形的，响应文件将被视为</w:t>
      </w:r>
      <w:r>
        <w:rPr>
          <w:rFonts w:hint="eastAsia" w:ascii="宋体" w:hAnsi="宋体" w:eastAsia="宋体" w:cs="宋体"/>
          <w:sz w:val="24"/>
          <w:szCs w:val="24"/>
          <w:lang w:val="en-US" w:eastAsia="zh-CN"/>
        </w:rPr>
        <w:t>无效文件</w:t>
      </w:r>
      <w:r>
        <w:rPr>
          <w:rFonts w:hint="eastAsia" w:ascii="宋体" w:hAnsi="宋体" w:eastAsia="宋体" w:cs="宋体"/>
          <w:sz w:val="24"/>
          <w:szCs w:val="24"/>
        </w:rPr>
        <w:t>：</w:t>
      </w:r>
    </w:p>
    <w:p w14:paraId="6F93A8A5">
      <w:pPr>
        <w:pageBreakBefore w:val="0"/>
        <w:kinsoku/>
        <w:wordWrap/>
        <w:overflowPunct/>
        <w:topLinePunct w:val="0"/>
        <w:bidi w:val="0"/>
        <w:spacing w:line="312" w:lineRule="auto"/>
        <w:ind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（1）未按照谈判文件规定要求格式制作响应文件、签署、盖章的；</w:t>
      </w:r>
    </w:p>
    <w:p w14:paraId="06609F37">
      <w:pPr>
        <w:pageBreakBefore w:val="0"/>
        <w:kinsoku/>
        <w:wordWrap/>
        <w:overflowPunct/>
        <w:topLinePunct w:val="0"/>
        <w:bidi w:val="0"/>
        <w:spacing w:line="312" w:lineRule="auto"/>
        <w:ind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（2）不具备谈判文件中规定要求的。如果谈判小组认为供应商的响应文件存在疑点，可以要求其现场提供原件进行核查，两者出现不同或在规定的时间内未能及时提供原件的，响应文件视为无效；</w:t>
      </w:r>
    </w:p>
    <w:p w14:paraId="6C8112F8">
      <w:pPr>
        <w:pageBreakBefore w:val="0"/>
        <w:kinsoku/>
        <w:wordWrap/>
        <w:overflowPunct/>
        <w:topLinePunct w:val="0"/>
        <w:bidi w:val="0"/>
        <w:spacing w:line="312" w:lineRule="auto"/>
        <w:ind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（3）响应文件中无投标有效期或有效期达不到谈判文件要求的；</w:t>
      </w:r>
    </w:p>
    <w:p w14:paraId="1A1DCEE0">
      <w:pPr>
        <w:pageBreakBefore w:val="0"/>
        <w:kinsoku/>
        <w:wordWrap/>
        <w:overflowPunct/>
        <w:topLinePunct w:val="0"/>
        <w:bidi w:val="0"/>
        <w:spacing w:line="312" w:lineRule="auto"/>
        <w:ind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（4）响应文件的构成缺少其中一项或某项达不到谈判文件要求的；</w:t>
      </w:r>
    </w:p>
    <w:p w14:paraId="3ACF192D">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（5）供应商单位负责人为同一人或者存在直接控股、管理关系的不同供应商，参加同一合同项下的政府采购活动的；</w:t>
      </w:r>
    </w:p>
    <w:p w14:paraId="488E2087">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（6）投标报价子目出现漏项或数量与谈判文件要求不符的；</w:t>
      </w:r>
    </w:p>
    <w:p w14:paraId="3B5A5943">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（7）投标报价与市场价偏离较大，低于成本，形成不正当竞争的；</w:t>
      </w:r>
    </w:p>
    <w:p w14:paraId="38668F4D">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（8）投标内容与谈判文件要求的采购标的、规格型号、采购数量、技术和服务要求等实质性内容出现重大负偏差的；</w:t>
      </w:r>
    </w:p>
    <w:p w14:paraId="77352C6E">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（9）提供虚假技术性能指标的（出现技术指标前后矛盾的，以国家职能部门认定的指标为准）；</w:t>
      </w:r>
    </w:p>
    <w:p w14:paraId="02FECBBA">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（10）响应文件在款项结算、质量保证、验收条件等方面的响应与谈判文件要求不一致或附加了采购人和评标委员会难以接受的条件的；</w:t>
      </w:r>
    </w:p>
    <w:p w14:paraId="19D94C9B">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（11）未响应谈判文件合同主要条款的；</w:t>
      </w:r>
    </w:p>
    <w:p w14:paraId="6B06EC9F">
      <w:pPr>
        <w:pStyle w:val="92"/>
        <w:pageBreakBefore w:val="0"/>
        <w:kinsoku/>
        <w:wordWrap/>
        <w:overflowPunct/>
        <w:topLinePunct w:val="0"/>
        <w:bidi w:val="0"/>
        <w:spacing w:line="312" w:lineRule="auto"/>
        <w:ind w:left="0" w:leftChars="0" w:firstLine="240" w:firstLineChars="100"/>
        <w:textAlignment w:val="auto"/>
        <w:outlineLvl w:val="9"/>
        <w:rPr>
          <w:rFonts w:hint="eastAsia" w:ascii="宋体" w:hAnsi="宋体" w:eastAsia="宋体" w:cs="宋体"/>
          <w:sz w:val="24"/>
          <w:szCs w:val="24"/>
        </w:rPr>
      </w:pPr>
      <w:r>
        <w:rPr>
          <w:rFonts w:hint="eastAsia" w:ascii="宋体" w:hAnsi="宋体" w:eastAsia="宋体" w:cs="宋体"/>
          <w:sz w:val="24"/>
          <w:szCs w:val="24"/>
        </w:rPr>
        <w:t>（12）政府采购法律法规规定的其他情形。</w:t>
      </w:r>
    </w:p>
    <w:p w14:paraId="0F12CEF5">
      <w:pPr>
        <w:pageBreakBefore w:val="0"/>
        <w:kinsoku/>
        <w:wordWrap/>
        <w:overflowPunct/>
        <w:topLinePunct w:val="0"/>
        <w:bidi w:val="0"/>
        <w:spacing w:line="312" w:lineRule="auto"/>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有下列情形之一的，视为供应商串通投标，其投标无效：</w:t>
      </w:r>
    </w:p>
    <w:p w14:paraId="6A98A3DF">
      <w:pPr>
        <w:pageBreakBefore w:val="0"/>
        <w:kinsoku/>
        <w:wordWrap/>
        <w:overflowPunct/>
        <w:topLinePunct w:val="0"/>
        <w:bidi w:val="0"/>
        <w:spacing w:line="312" w:lineRule="auto"/>
        <w:ind w:firstLine="360" w:firstLineChars="150"/>
        <w:textAlignment w:val="auto"/>
        <w:outlineLvl w:val="9"/>
        <w:rPr>
          <w:rFonts w:hint="eastAsia" w:ascii="宋体" w:hAnsi="宋体" w:eastAsia="宋体" w:cs="宋体"/>
          <w:sz w:val="24"/>
          <w:szCs w:val="24"/>
        </w:rPr>
      </w:pPr>
      <w:r>
        <w:rPr>
          <w:rFonts w:hint="eastAsia" w:ascii="宋体" w:hAnsi="宋体" w:eastAsia="宋体" w:cs="宋体"/>
          <w:sz w:val="24"/>
          <w:szCs w:val="24"/>
        </w:rPr>
        <w:t>（1）不同供应商的响应文件由同一单位或者个人编制；</w:t>
      </w:r>
    </w:p>
    <w:p w14:paraId="161BF4A0">
      <w:pPr>
        <w:pageBreakBefore w:val="0"/>
        <w:kinsoku/>
        <w:wordWrap/>
        <w:overflowPunct/>
        <w:topLinePunct w:val="0"/>
        <w:bidi w:val="0"/>
        <w:spacing w:line="312" w:lineRule="auto"/>
        <w:ind w:firstLine="360" w:firstLineChars="150"/>
        <w:textAlignment w:val="auto"/>
        <w:outlineLvl w:val="9"/>
        <w:rPr>
          <w:rFonts w:hint="eastAsia" w:ascii="宋体" w:hAnsi="宋体" w:eastAsia="宋体" w:cs="宋体"/>
          <w:sz w:val="24"/>
          <w:szCs w:val="24"/>
        </w:rPr>
      </w:pPr>
      <w:r>
        <w:rPr>
          <w:rFonts w:hint="eastAsia" w:ascii="宋体" w:hAnsi="宋体" w:eastAsia="宋体" w:cs="宋体"/>
          <w:sz w:val="24"/>
          <w:szCs w:val="24"/>
        </w:rPr>
        <w:t>（2）不同供应商委托同一单位或者个人办理响应事宜；</w:t>
      </w:r>
    </w:p>
    <w:p w14:paraId="5E36C582">
      <w:pPr>
        <w:pageBreakBefore w:val="0"/>
        <w:kinsoku/>
        <w:wordWrap/>
        <w:overflowPunct/>
        <w:topLinePunct w:val="0"/>
        <w:bidi w:val="0"/>
        <w:spacing w:line="312" w:lineRule="auto"/>
        <w:ind w:firstLine="360" w:firstLineChars="150"/>
        <w:textAlignment w:val="auto"/>
        <w:outlineLvl w:val="9"/>
        <w:rPr>
          <w:rFonts w:hint="eastAsia" w:ascii="宋体" w:hAnsi="宋体" w:eastAsia="宋体" w:cs="宋体"/>
          <w:sz w:val="24"/>
          <w:szCs w:val="24"/>
        </w:rPr>
      </w:pPr>
      <w:r>
        <w:rPr>
          <w:rFonts w:hint="eastAsia" w:ascii="宋体" w:hAnsi="宋体" w:eastAsia="宋体" w:cs="宋体"/>
          <w:sz w:val="24"/>
          <w:szCs w:val="24"/>
        </w:rPr>
        <w:t>（3）不同供应商的响应文件载明的项目管理成员或者联系人员为同一人；</w:t>
      </w:r>
    </w:p>
    <w:p w14:paraId="31ECE7C3">
      <w:pPr>
        <w:pageBreakBefore w:val="0"/>
        <w:kinsoku/>
        <w:wordWrap/>
        <w:overflowPunct/>
        <w:topLinePunct w:val="0"/>
        <w:bidi w:val="0"/>
        <w:spacing w:line="312" w:lineRule="auto"/>
        <w:ind w:firstLine="360" w:firstLineChars="150"/>
        <w:textAlignment w:val="auto"/>
        <w:outlineLvl w:val="9"/>
        <w:rPr>
          <w:rFonts w:hint="eastAsia" w:ascii="宋体" w:hAnsi="宋体" w:eastAsia="宋体" w:cs="宋体"/>
          <w:sz w:val="24"/>
          <w:szCs w:val="24"/>
        </w:rPr>
      </w:pPr>
      <w:r>
        <w:rPr>
          <w:rFonts w:hint="eastAsia" w:ascii="宋体" w:hAnsi="宋体" w:eastAsia="宋体" w:cs="宋体"/>
          <w:sz w:val="24"/>
          <w:szCs w:val="24"/>
        </w:rPr>
        <w:t>（4）不同供应商的响应文件异常一致或者响应报价呈规律性差异；</w:t>
      </w:r>
    </w:p>
    <w:p w14:paraId="46AB1ADC">
      <w:pPr>
        <w:pageBreakBefore w:val="0"/>
        <w:kinsoku/>
        <w:wordWrap/>
        <w:overflowPunct/>
        <w:topLinePunct w:val="0"/>
        <w:bidi w:val="0"/>
        <w:spacing w:line="312" w:lineRule="auto"/>
        <w:ind w:firstLine="360" w:firstLineChars="150"/>
        <w:textAlignment w:val="auto"/>
        <w:outlineLvl w:val="9"/>
        <w:rPr>
          <w:rFonts w:hint="eastAsia" w:ascii="宋体" w:hAnsi="宋体" w:eastAsia="宋体" w:cs="宋体"/>
          <w:sz w:val="24"/>
          <w:szCs w:val="24"/>
        </w:rPr>
      </w:pPr>
      <w:r>
        <w:rPr>
          <w:rFonts w:hint="eastAsia" w:ascii="宋体" w:hAnsi="宋体" w:eastAsia="宋体" w:cs="宋体"/>
          <w:sz w:val="24"/>
          <w:szCs w:val="24"/>
        </w:rPr>
        <w:t>（5）不同供应商的响应文件相互混装；</w:t>
      </w:r>
    </w:p>
    <w:p w14:paraId="1843BB71">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lang w:val="zh-CN"/>
        </w:rPr>
      </w:pPr>
      <w:bookmarkStart w:id="146" w:name="_Toc14189278"/>
      <w:bookmarkStart w:id="147" w:name="_Toc411064161"/>
      <w:r>
        <w:rPr>
          <w:rFonts w:hint="eastAsia" w:ascii="宋体" w:hAnsi="宋体" w:eastAsia="宋体" w:cs="宋体"/>
          <w:sz w:val="24"/>
          <w:szCs w:val="24"/>
          <w:lang w:val="en-US" w:eastAsia="zh-CN"/>
        </w:rPr>
        <w:t>3.4</w:t>
      </w:r>
      <w:r>
        <w:rPr>
          <w:rFonts w:hint="eastAsia" w:ascii="宋体" w:hAnsi="宋体" w:eastAsia="宋体" w:cs="宋体"/>
          <w:sz w:val="24"/>
          <w:szCs w:val="24"/>
          <w:lang w:val="zh-CN"/>
        </w:rPr>
        <w:t>澄清</w:t>
      </w:r>
      <w:bookmarkEnd w:id="146"/>
      <w:bookmarkEnd w:id="147"/>
    </w:p>
    <w:p w14:paraId="0804A2EC">
      <w:pPr>
        <w:pStyle w:val="33"/>
        <w:pageBreakBefore w:val="0"/>
        <w:widowControl w:val="0"/>
        <w:shd w:val="clear" w:color="auto" w:fill="FFFFFF"/>
        <w:kinsoku/>
        <w:wordWrap/>
        <w:overflowPunct/>
        <w:topLinePunct w:val="0"/>
        <w:bidi w:val="0"/>
        <w:spacing w:beforeAutospacing="0" w:afterAutospacing="0" w:line="312" w:lineRule="auto"/>
        <w:ind w:firstLine="480" w:firstLineChars="200"/>
        <w:textAlignment w:val="auto"/>
        <w:outlineLvl w:val="9"/>
        <w:rPr>
          <w:rFonts w:hint="eastAsia" w:ascii="宋体" w:hAnsi="宋体" w:eastAsia="宋体" w:cs="宋体"/>
          <w:szCs w:val="24"/>
          <w:lang w:val="zh-CN"/>
        </w:rPr>
      </w:pPr>
      <w:r>
        <w:rPr>
          <w:rFonts w:hint="eastAsia" w:ascii="宋体" w:hAnsi="宋体" w:eastAsia="宋体" w:cs="宋体"/>
          <w:szCs w:val="24"/>
          <w:lang w:val="zh-CN"/>
        </w:rPr>
        <w:t>（</w:t>
      </w:r>
      <w:r>
        <w:rPr>
          <w:rFonts w:hint="eastAsia" w:ascii="宋体" w:hAnsi="宋体" w:eastAsia="宋体" w:cs="宋体"/>
          <w:szCs w:val="24"/>
          <w:lang w:val="en-US" w:eastAsia="zh-CN"/>
        </w:rPr>
        <w:t>1</w:t>
      </w:r>
      <w:r>
        <w:rPr>
          <w:rFonts w:hint="eastAsia" w:ascii="宋体" w:hAnsi="宋体" w:eastAsia="宋体" w:cs="宋体"/>
          <w:szCs w:val="24"/>
          <w:lang w:val="zh-CN"/>
        </w:rPr>
        <w:t>）谈判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310DC9F">
      <w:pPr>
        <w:pageBreakBefore w:val="0"/>
        <w:kinsoku/>
        <w:wordWrap/>
        <w:overflowPunct/>
        <w:topLinePunct w:val="0"/>
        <w:autoSpaceDE w:val="0"/>
        <w:autoSpaceDN w:val="0"/>
        <w:bidi w:val="0"/>
        <w:spacing w:line="312"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B23115F">
      <w:pPr>
        <w:pStyle w:val="33"/>
        <w:pageBreakBefore w:val="0"/>
        <w:shd w:val="clear" w:color="auto" w:fill="FFFFFF"/>
        <w:kinsoku/>
        <w:wordWrap/>
        <w:overflowPunct/>
        <w:topLinePunct w:val="0"/>
        <w:bidi w:val="0"/>
        <w:spacing w:beforeAutospacing="0" w:afterAutospacing="0" w:line="312" w:lineRule="auto"/>
        <w:ind w:firstLine="480" w:firstLineChars="200"/>
        <w:textAlignment w:val="auto"/>
        <w:outlineLvl w:val="9"/>
        <w:rPr>
          <w:rFonts w:hint="eastAsia" w:ascii="宋体" w:hAnsi="宋体" w:eastAsia="宋体" w:cs="宋体"/>
          <w:szCs w:val="24"/>
          <w:lang w:val="zh-CN"/>
        </w:rPr>
      </w:pPr>
      <w:r>
        <w:rPr>
          <w:rFonts w:hint="eastAsia" w:ascii="宋体" w:hAnsi="宋体" w:eastAsia="宋体" w:cs="宋体"/>
          <w:szCs w:val="24"/>
          <w:lang w:val="zh-CN"/>
        </w:rPr>
        <w:t>（</w:t>
      </w:r>
      <w:r>
        <w:rPr>
          <w:rFonts w:hint="eastAsia" w:ascii="宋体" w:hAnsi="宋体" w:eastAsia="宋体" w:cs="宋体"/>
          <w:szCs w:val="24"/>
          <w:lang w:val="en-US" w:eastAsia="zh-CN"/>
        </w:rPr>
        <w:t>3</w:t>
      </w:r>
      <w:r>
        <w:rPr>
          <w:rFonts w:hint="eastAsia" w:ascii="宋体" w:hAnsi="宋体" w:eastAsia="宋体" w:cs="宋体"/>
          <w:szCs w:val="24"/>
          <w:lang w:val="zh-CN"/>
        </w:rPr>
        <w:t>）谈判小组判断响应文件的响应性仅基于响应文件本身而不靠外部因素。未响应实质性条款的，谈判小组有权确定其报价无效，供应商不能通过修正、撤销或者澄清不符之处而使其报价成为实质性响应的报价。</w:t>
      </w:r>
    </w:p>
    <w:p w14:paraId="67A82BF5">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lang w:val="zh-CN"/>
        </w:rPr>
      </w:pPr>
      <w:bookmarkStart w:id="148" w:name="_Toc411064162"/>
      <w:bookmarkStart w:id="149" w:name="_Toc14189279"/>
      <w:r>
        <w:rPr>
          <w:rFonts w:hint="eastAsia" w:ascii="宋体" w:hAnsi="宋体" w:eastAsia="宋体" w:cs="宋体"/>
          <w:sz w:val="24"/>
          <w:szCs w:val="24"/>
          <w:lang w:val="en-US" w:eastAsia="zh-CN"/>
        </w:rPr>
        <w:t>3.5</w:t>
      </w:r>
      <w:r>
        <w:rPr>
          <w:rFonts w:hint="eastAsia" w:ascii="宋体" w:hAnsi="宋体" w:eastAsia="宋体" w:cs="宋体"/>
          <w:sz w:val="24"/>
          <w:szCs w:val="24"/>
          <w:lang w:val="zh-CN"/>
        </w:rPr>
        <w:t>谈判</w:t>
      </w:r>
      <w:bookmarkEnd w:id="148"/>
      <w:bookmarkEnd w:id="149"/>
    </w:p>
    <w:p w14:paraId="4D1054E1">
      <w:pPr>
        <w:pageBreakBefore w:val="0"/>
        <w:kinsoku/>
        <w:wordWrap/>
        <w:overflowPunct/>
        <w:topLinePunct w:val="0"/>
        <w:bidi w:val="0"/>
        <w:spacing w:line="312" w:lineRule="auto"/>
        <w:ind w:firstLine="482"/>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rPr>
        <w:t>）谈判小组所有成员集中与实质性响应谈判文件的单一供应商分别进行谈判，并给予所有参加谈判的供应商平等的谈判机会。谈判小组通过随机方式确定参加谈判供应商的谈判顺序。在谈判中，谈判的任何一方不得透露与谈判有关的其他供应商的技术资料、价格和其他信息。</w:t>
      </w:r>
    </w:p>
    <w:p w14:paraId="3E1A9E72">
      <w:pPr>
        <w:pageBreakBefore w:val="0"/>
        <w:shd w:val="clear" w:color="auto" w:fill="FFFFFF"/>
        <w:kinsoku/>
        <w:wordWrap/>
        <w:overflowPunct/>
        <w:topLinePunct w:val="0"/>
        <w:bidi w:val="0"/>
        <w:spacing w:line="312" w:lineRule="auto"/>
        <w:ind w:firstLine="465"/>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）谈判文件应详细列明采购标的的技术、服务要求，谈判结束后，谈判小组应当要求所有继续参加谈判的供应商在规定时间内提交最终报价，最终报价是供应商响应文件的有效组成部分。</w:t>
      </w:r>
    </w:p>
    <w:p w14:paraId="794484A8">
      <w:pPr>
        <w:pageBreakBefore w:val="0"/>
        <w:shd w:val="clear" w:color="auto" w:fill="FFFFFF"/>
        <w:kinsoku/>
        <w:wordWrap/>
        <w:overflowPunct/>
        <w:topLinePunct w:val="0"/>
        <w:bidi w:val="0"/>
        <w:spacing w:line="312" w:lineRule="auto"/>
        <w:ind w:firstLine="465"/>
        <w:jc w:val="left"/>
        <w:textAlignment w:val="auto"/>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val="zh-CN"/>
        </w:rPr>
        <w:t>）供应商标书内的报价一览表为第一轮报价（即首轮报价）。参加谈判的供应商后一轮报价不得高于其前一轮报价，否则谈判小组有权据此确定其为无效报价，提交最终报价的供应商不得少于三家。</w:t>
      </w:r>
    </w:p>
    <w:p w14:paraId="1AFC61E9">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确定成交供应商</w:t>
      </w:r>
      <w:bookmarkEnd w:id="142"/>
      <w:bookmarkEnd w:id="143"/>
      <w:bookmarkEnd w:id="144"/>
      <w:bookmarkEnd w:id="145"/>
    </w:p>
    <w:p w14:paraId="0D17ED80">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kern w:val="0"/>
          <w:sz w:val="24"/>
          <w:szCs w:val="24"/>
          <w:lang w:val="zh-CN"/>
        </w:rPr>
      </w:pPr>
      <w:r>
        <w:rPr>
          <w:rFonts w:hint="eastAsia" w:ascii="宋体" w:hAnsi="宋体" w:eastAsia="宋体" w:cs="宋体"/>
          <w:kern w:val="0"/>
          <w:sz w:val="24"/>
          <w:szCs w:val="24"/>
          <w:lang w:val="en-US" w:eastAsia="zh-CN"/>
        </w:rPr>
        <w:t>4.1</w:t>
      </w:r>
      <w:r>
        <w:rPr>
          <w:rFonts w:hint="eastAsia" w:ascii="宋体" w:hAnsi="宋体" w:eastAsia="宋体" w:cs="宋体"/>
          <w:kern w:val="0"/>
          <w:sz w:val="24"/>
          <w:szCs w:val="24"/>
          <w:lang w:val="zh-CN"/>
        </w:rPr>
        <w:t>谈判小组从质量和服务均能满足谈判文件实质性响应要求的供应商中，确定最终报价最低的供应商作为成交供应商。</w:t>
      </w:r>
    </w:p>
    <w:p w14:paraId="354ECC10">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sz w:val="24"/>
          <w:szCs w:val="24"/>
          <w:lang w:val="en-GB"/>
        </w:rPr>
      </w:pPr>
      <w:r>
        <w:rPr>
          <w:rFonts w:hint="eastAsia" w:ascii="宋体" w:hAnsi="宋体" w:eastAsia="宋体" w:cs="宋体"/>
          <w:kern w:val="0"/>
          <w:sz w:val="24"/>
          <w:szCs w:val="24"/>
          <w:lang w:val="zh-CN"/>
        </w:rPr>
        <w:t>若两家及以上供应商在最终轮次报价中相同且最低的，以货物质量更优者为成交供应商。</w:t>
      </w:r>
    </w:p>
    <w:p w14:paraId="7BE2DD74">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宋体" w:hAnsi="宋体" w:eastAsia="宋体" w:cs="宋体"/>
          <w:color w:val="auto"/>
          <w:kern w:val="0"/>
          <w:sz w:val="24"/>
          <w:szCs w:val="24"/>
          <w:lang w:val="zh-CN"/>
        </w:rPr>
      </w:pPr>
      <w:r>
        <w:rPr>
          <w:rFonts w:hint="eastAsia" w:ascii="宋体" w:hAnsi="宋体" w:eastAsia="宋体" w:cs="宋体"/>
          <w:color w:val="auto"/>
          <w:sz w:val="24"/>
          <w:szCs w:val="24"/>
          <w:lang w:val="en-US" w:eastAsia="zh-CN"/>
        </w:rPr>
        <w:t>供应商提交的报价，谈判小组</w:t>
      </w:r>
      <w:r>
        <w:rPr>
          <w:rFonts w:hint="eastAsia" w:ascii="宋体" w:hAnsi="宋体" w:eastAsia="宋体" w:cs="宋体"/>
          <w:color w:val="auto"/>
          <w:sz w:val="24"/>
          <w:szCs w:val="24"/>
          <w:lang w:val="zh-CN" w:eastAsia="zh-CN"/>
        </w:rPr>
        <w:t>认为</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的报价明显低于其他通过符合性审查</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的报价，有可能影响产品质量或者不能诚信履约的，谈判小组将</w:t>
      </w:r>
      <w:r>
        <w:rPr>
          <w:rFonts w:hint="eastAsia" w:ascii="宋体" w:hAnsi="宋体" w:eastAsia="宋体" w:cs="宋体"/>
          <w:color w:val="auto"/>
          <w:sz w:val="24"/>
          <w:szCs w:val="24"/>
          <w:lang w:val="en-US" w:eastAsia="zh-CN"/>
        </w:rPr>
        <w:t>按照《关于推动解决政府采购异常低价问题的通知》（财库〔2026〕2号）文件要求</w:t>
      </w:r>
      <w:r>
        <w:rPr>
          <w:rFonts w:hint="eastAsia" w:ascii="宋体" w:hAnsi="宋体" w:eastAsia="宋体" w:cs="宋体"/>
          <w:color w:val="auto"/>
          <w:sz w:val="24"/>
          <w:szCs w:val="24"/>
          <w:lang w:val="zh-CN" w:eastAsia="zh-CN"/>
        </w:rPr>
        <w:t>启动异常低价投标（响应）审查，</w:t>
      </w:r>
      <w:r>
        <w:rPr>
          <w:rFonts w:hint="eastAsia" w:ascii="宋体" w:hAnsi="宋体" w:eastAsia="宋体" w:cs="宋体"/>
          <w:color w:val="auto"/>
          <w:sz w:val="24"/>
          <w:szCs w:val="24"/>
          <w:lang w:val="zh-CN"/>
        </w:rPr>
        <w:t>相关</w:t>
      </w:r>
      <w:r>
        <w:rPr>
          <w:rFonts w:hint="eastAsia" w:ascii="宋体" w:hAnsi="宋体" w:eastAsia="宋体" w:cs="宋体"/>
          <w:color w:val="auto"/>
          <w:sz w:val="24"/>
          <w:szCs w:val="24"/>
          <w:lang w:val="en-US" w:eastAsia="zh-CN"/>
        </w:rPr>
        <w:t>投标供应商应</w:t>
      </w:r>
      <w:r>
        <w:rPr>
          <w:rFonts w:hint="eastAsia" w:ascii="宋体" w:hAnsi="宋体" w:eastAsia="宋体" w:cs="宋体"/>
          <w:color w:val="auto"/>
          <w:sz w:val="24"/>
          <w:szCs w:val="24"/>
          <w:lang w:val="zh-CN"/>
        </w:rPr>
        <w:t>在评审现场30分钟</w:t>
      </w:r>
      <w:r>
        <w:rPr>
          <w:rFonts w:hint="eastAsia" w:ascii="宋体" w:hAnsi="宋体" w:eastAsia="宋体" w:cs="宋体"/>
          <w:color w:val="auto"/>
          <w:sz w:val="24"/>
          <w:szCs w:val="24"/>
          <w:lang w:val="en-US" w:eastAsia="zh-CN"/>
        </w:rPr>
        <w:t>以</w:t>
      </w:r>
      <w:r>
        <w:rPr>
          <w:rFonts w:hint="eastAsia" w:ascii="宋体" w:hAnsi="宋体" w:eastAsia="宋体" w:cs="宋体"/>
          <w:color w:val="auto"/>
          <w:sz w:val="24"/>
          <w:szCs w:val="24"/>
          <w:lang w:val="zh-CN"/>
        </w:rPr>
        <w:t>内对</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val="zh-CN"/>
        </w:rPr>
        <w:t>价格作出解释</w:t>
      </w:r>
      <w:r>
        <w:rPr>
          <w:rFonts w:hint="eastAsia" w:ascii="宋体" w:hAnsi="宋体" w:eastAsia="宋体" w:cs="宋体"/>
          <w:color w:val="auto"/>
          <w:sz w:val="24"/>
          <w:szCs w:val="24"/>
          <w:lang w:val="en-US" w:eastAsia="zh-CN"/>
        </w:rPr>
        <w:t>并</w:t>
      </w:r>
      <w:r>
        <w:rPr>
          <w:rFonts w:hint="eastAsia" w:ascii="宋体" w:hAnsi="宋体" w:eastAsia="宋体" w:cs="宋体"/>
          <w:color w:val="auto"/>
          <w:sz w:val="24"/>
          <w:szCs w:val="24"/>
          <w:lang w:val="zh-CN" w:eastAsia="zh-CN"/>
        </w:rPr>
        <w:t>提供书面说明，必要时提交相关证明材料；投标供应商不能证明其报价合理性的，谈判小组应当将其作为无效投标处理</w:t>
      </w:r>
      <w:r>
        <w:rPr>
          <w:rFonts w:hint="eastAsia" w:ascii="宋体" w:hAnsi="宋体" w:eastAsia="宋体" w:cs="宋体"/>
          <w:color w:val="auto"/>
          <w:kern w:val="0"/>
          <w:sz w:val="24"/>
          <w:szCs w:val="24"/>
          <w:lang w:val="zh-CN"/>
        </w:rPr>
        <w:t>，按照最终报价由低到高的顺序排在后面的供应商递补，以此类推。</w:t>
      </w:r>
    </w:p>
    <w:p w14:paraId="557E0308">
      <w:pPr>
        <w:keepNext w:val="0"/>
        <w:keepLines w:val="0"/>
        <w:pageBreakBefore w:val="0"/>
        <w:widowControl/>
        <w:kinsoku/>
        <w:wordWrap/>
        <w:overflowPunct/>
        <w:topLinePunct w:val="0"/>
        <w:autoSpaceDE w:val="0"/>
        <w:autoSpaceDN w:val="0"/>
        <w:bidi w:val="0"/>
        <w:snapToGrid/>
        <w:spacing w:line="360" w:lineRule="auto"/>
        <w:ind w:firstLine="480" w:firstLineChars="200"/>
        <w:textAlignment w:val="auto"/>
        <w:outlineLvl w:val="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 xml:space="preserve">4.2 </w:t>
      </w:r>
      <w:r>
        <w:rPr>
          <w:rFonts w:hint="eastAsia" w:ascii="宋体" w:hAnsi="宋体" w:eastAsia="宋体" w:cs="宋体"/>
          <w:color w:val="auto"/>
          <w:kern w:val="0"/>
          <w:sz w:val="24"/>
          <w:szCs w:val="24"/>
          <w:lang w:val="en-US" w:eastAsia="zh-CN" w:bidi="ar-SA"/>
        </w:rPr>
        <w:t>采用最低评标价法的采购项目，提供相同品牌产品（单一产品或核心产品品牌相同。核心产品超过一种产品的，核心产品中只要有一种产品为相同品牌，即认定为核心产品为相同品牌）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5D6735B">
      <w:pPr>
        <w:keepNext w:val="0"/>
        <w:keepLines w:val="0"/>
        <w:pageBreakBefore w:val="0"/>
        <w:widowControl/>
        <w:kinsoku/>
        <w:wordWrap/>
        <w:overflowPunct/>
        <w:topLinePunct w:val="0"/>
        <w:autoSpaceDE w:val="0"/>
        <w:autoSpaceDN w:val="0"/>
        <w:bidi w:val="0"/>
        <w:snapToGrid/>
        <w:spacing w:line="360" w:lineRule="auto"/>
        <w:ind w:firstLine="480" w:firstLineChars="200"/>
        <w:textAlignment w:val="auto"/>
        <w:outlineLvl w:val="9"/>
        <w:rPr>
          <w:rFonts w:hint="eastAsia" w:ascii="宋体" w:hAnsi="宋体" w:eastAsia="宋体" w:cs="宋体"/>
          <w:sz w:val="24"/>
          <w:szCs w:val="24"/>
          <w:lang w:val="zh-CN"/>
        </w:rPr>
      </w:pPr>
      <w:r>
        <w:rPr>
          <w:rFonts w:hint="eastAsia" w:ascii="宋体" w:hAnsi="宋体" w:eastAsia="宋体" w:cs="宋体"/>
          <w:kern w:val="0"/>
          <w:sz w:val="24"/>
          <w:szCs w:val="24"/>
          <w:lang w:val="en-US" w:eastAsia="zh-CN"/>
        </w:rPr>
        <w:t xml:space="preserve">4.3 </w:t>
      </w:r>
      <w:r>
        <w:rPr>
          <w:rFonts w:hint="eastAsia" w:ascii="宋体" w:hAnsi="宋体" w:eastAsia="宋体" w:cs="宋体"/>
          <w:sz w:val="24"/>
          <w:szCs w:val="24"/>
          <w:lang w:val="zh-CN"/>
        </w:rPr>
        <w:t>成交供应商除因法定不可抗力外不得随意放弃成交资格，否则承担相应法律责任。成交供应商确因不可抗力不能履行政府采购合同，或因被查实存在影响成交结果的违法行为等情形，不符合成交条件的，应予以废标，由采购人依法重新组织采购。</w:t>
      </w:r>
    </w:p>
    <w:p w14:paraId="4175031F">
      <w:pPr>
        <w:pageBreakBefore w:val="0"/>
        <w:kinsoku/>
        <w:wordWrap/>
        <w:overflowPunct/>
        <w:topLinePunct w:val="0"/>
        <w:bidi w:val="0"/>
        <w:spacing w:line="312" w:lineRule="auto"/>
        <w:ind w:firstLine="482" w:firstLineChars="200"/>
        <w:textAlignment w:val="auto"/>
        <w:outlineLvl w:val="9"/>
        <w:rPr>
          <w:rFonts w:hint="eastAsia" w:ascii="宋体" w:hAnsi="宋体" w:eastAsia="宋体" w:cs="宋体"/>
          <w:b/>
          <w:bCs/>
          <w:kern w:val="2"/>
          <w:sz w:val="24"/>
          <w:szCs w:val="24"/>
          <w:lang w:val="zh-CN" w:eastAsia="zh-CN" w:bidi="ar-SA"/>
        </w:rPr>
      </w:pPr>
      <w:r>
        <w:rPr>
          <w:rFonts w:hint="eastAsia" w:ascii="宋体" w:hAnsi="宋体" w:eastAsia="宋体" w:cs="宋体"/>
          <w:b/>
          <w:bCs/>
          <w:kern w:val="2"/>
          <w:sz w:val="24"/>
          <w:szCs w:val="24"/>
          <w:lang w:val="en-US" w:eastAsia="zh-CN" w:bidi="ar-SA"/>
        </w:rPr>
        <w:t>5.</w:t>
      </w:r>
      <w:r>
        <w:rPr>
          <w:rFonts w:hint="eastAsia" w:ascii="宋体" w:hAnsi="宋体" w:eastAsia="宋体" w:cs="宋体"/>
          <w:b/>
          <w:bCs/>
          <w:kern w:val="2"/>
          <w:sz w:val="24"/>
          <w:szCs w:val="24"/>
          <w:lang w:val="zh-CN" w:eastAsia="zh-CN" w:bidi="ar-SA"/>
        </w:rPr>
        <w:t>编写评审报告</w:t>
      </w:r>
    </w:p>
    <w:p w14:paraId="34609A6D">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谈判小组根据谈判情况编制评审报告，谈判小组成员对评审报告有异议的，应当在评审报告上签署不同意见，并说明理由，否则视为同意。对拒绝说明理由的，须报政府采购监管部门处理，并将其评审情况如实</w:t>
      </w:r>
      <w:r>
        <w:rPr>
          <w:rFonts w:hint="eastAsia" w:ascii="宋体" w:hAnsi="宋体" w:eastAsia="宋体" w:cs="宋体"/>
          <w:sz w:val="24"/>
          <w:szCs w:val="24"/>
          <w:lang w:eastAsia="zh-CN"/>
        </w:rPr>
        <w:t>记入</w:t>
      </w:r>
      <w:r>
        <w:rPr>
          <w:rFonts w:hint="eastAsia" w:ascii="宋体" w:hAnsi="宋体" w:eastAsia="宋体" w:cs="宋体"/>
          <w:sz w:val="24"/>
          <w:szCs w:val="24"/>
        </w:rPr>
        <w:t>考核表。</w:t>
      </w:r>
    </w:p>
    <w:p w14:paraId="2A5B2742">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bookmarkStart w:id="150" w:name="_Toc23315667"/>
      <w:bookmarkStart w:id="151" w:name="_Toc23316591"/>
      <w:bookmarkStart w:id="152" w:name="_Toc14189414"/>
      <w:bookmarkStart w:id="153" w:name="_Toc18412206"/>
      <w:bookmarkStart w:id="154" w:name="_Toc14189281"/>
      <w:bookmarkStart w:id="155" w:name="_Toc22281"/>
      <w:bookmarkStart w:id="156" w:name="_Toc30952"/>
      <w:bookmarkStart w:id="157" w:name="_Toc23316689"/>
      <w:bookmarkStart w:id="158" w:name="_Toc23316527"/>
      <w:bookmarkStart w:id="159" w:name="_Toc35335263"/>
      <w:bookmarkStart w:id="160" w:name="_Toc23939"/>
      <w:bookmarkStart w:id="161" w:name="_Toc1055"/>
      <w:r>
        <w:rPr>
          <w:rFonts w:hint="eastAsia" w:ascii="宋体" w:hAnsi="宋体" w:eastAsia="宋体" w:cs="宋体"/>
          <w:sz w:val="24"/>
          <w:szCs w:val="24"/>
          <w:lang w:val="en-US" w:eastAsia="zh-CN"/>
        </w:rPr>
        <w:t>6.</w:t>
      </w:r>
      <w:r>
        <w:rPr>
          <w:rFonts w:hint="eastAsia" w:ascii="宋体" w:hAnsi="宋体" w:eastAsia="宋体" w:cs="宋体"/>
          <w:sz w:val="24"/>
          <w:szCs w:val="24"/>
        </w:rPr>
        <w:t>定标</w:t>
      </w:r>
      <w:bookmarkEnd w:id="150"/>
      <w:bookmarkEnd w:id="151"/>
      <w:bookmarkEnd w:id="152"/>
      <w:bookmarkEnd w:id="153"/>
      <w:bookmarkEnd w:id="154"/>
      <w:bookmarkEnd w:id="155"/>
      <w:bookmarkEnd w:id="156"/>
      <w:bookmarkEnd w:id="157"/>
      <w:bookmarkEnd w:id="158"/>
      <w:bookmarkEnd w:id="159"/>
      <w:bookmarkEnd w:id="160"/>
      <w:bookmarkEnd w:id="161"/>
    </w:p>
    <w:p w14:paraId="45D19C75">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6.1</w:t>
      </w:r>
      <w:r>
        <w:rPr>
          <w:rFonts w:hint="eastAsia" w:ascii="宋体" w:hAnsi="宋体" w:eastAsia="宋体" w:cs="宋体"/>
          <w:sz w:val="24"/>
          <w:szCs w:val="24"/>
        </w:rPr>
        <w:t>招标代理机构在评审工作结束后，对评审报告进行审核，在2个工作日内，将评审报告送采购人确认。</w:t>
      </w:r>
    </w:p>
    <w:p w14:paraId="3F4A89DF">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6.2</w:t>
      </w:r>
      <w:r>
        <w:rPr>
          <w:rFonts w:hint="eastAsia" w:ascii="宋体" w:hAnsi="宋体" w:eastAsia="宋体" w:cs="宋体"/>
          <w:sz w:val="24"/>
          <w:szCs w:val="24"/>
        </w:rPr>
        <w:t>采购人在收到评审报告后5个工作日内，按照评审报告中推荐的成交候选供应商排序第一的确定为成交供应商，也可以书面授权谈判小组直接确定成交供应商。采购人逾期未确定成交供应商且不提出异议的，视为确定评审报告提出的排序第一的供应商为成交供应商。</w:t>
      </w:r>
    </w:p>
    <w:p w14:paraId="7244D5A6">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6.3</w:t>
      </w:r>
      <w:r>
        <w:rPr>
          <w:rFonts w:hint="eastAsia" w:ascii="宋体" w:hAnsi="宋体" w:eastAsia="宋体" w:cs="宋体"/>
          <w:color w:val="auto"/>
          <w:sz w:val="24"/>
          <w:szCs w:val="24"/>
        </w:rPr>
        <w:t>在确定成交供应商后，招标代理机构发布成交公告，向确定的成交供应商发出“成交通知书”。</w:t>
      </w:r>
    </w:p>
    <w:p w14:paraId="46C6B0A7">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6.4</w:t>
      </w:r>
      <w:r>
        <w:rPr>
          <w:rFonts w:hint="eastAsia" w:ascii="宋体" w:hAnsi="宋体" w:eastAsia="宋体" w:cs="宋体"/>
          <w:bCs/>
          <w:sz w:val="24"/>
          <w:szCs w:val="24"/>
        </w:rPr>
        <w:t>招标代理机构不做未成交原因的解释。</w:t>
      </w:r>
    </w:p>
    <w:p w14:paraId="693A36AB">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6.5</w:t>
      </w:r>
      <w:r>
        <w:rPr>
          <w:rFonts w:hint="eastAsia" w:ascii="宋体" w:hAnsi="宋体" w:eastAsia="宋体" w:cs="宋体"/>
          <w:bCs/>
          <w:sz w:val="24"/>
          <w:szCs w:val="24"/>
        </w:rPr>
        <w:t>成交人应在接到招标代理机构通知之日起七日内领取成交通知书。</w:t>
      </w:r>
    </w:p>
    <w:p w14:paraId="719B60D1">
      <w:pPr>
        <w:pageBreakBefore w:val="0"/>
        <w:kinsoku/>
        <w:wordWrap/>
        <w:overflowPunct/>
        <w:topLinePunct w:val="0"/>
        <w:bidi w:val="0"/>
        <w:spacing w:line="312" w:lineRule="auto"/>
        <w:jc w:val="center"/>
        <w:textAlignment w:val="auto"/>
        <w:outlineLvl w:val="9"/>
        <w:rPr>
          <w:rFonts w:hint="eastAsia" w:ascii="宋体" w:hAnsi="宋体" w:eastAsia="宋体" w:cs="宋体"/>
          <w:b/>
          <w:bCs/>
          <w:sz w:val="24"/>
          <w:szCs w:val="24"/>
        </w:rPr>
      </w:pPr>
      <w:bookmarkStart w:id="162" w:name="_Toc29818"/>
      <w:bookmarkStart w:id="163" w:name="_Toc5001"/>
      <w:r>
        <w:rPr>
          <w:rFonts w:hint="eastAsia" w:ascii="宋体" w:hAnsi="宋体" w:eastAsia="宋体" w:cs="宋体"/>
          <w:b/>
          <w:bCs/>
          <w:sz w:val="24"/>
          <w:szCs w:val="24"/>
          <w:lang w:eastAsia="zh-CN"/>
        </w:rPr>
        <w:t>六</w:t>
      </w:r>
      <w:r>
        <w:rPr>
          <w:rFonts w:hint="eastAsia" w:ascii="宋体" w:hAnsi="宋体" w:eastAsia="宋体" w:cs="宋体"/>
          <w:b/>
          <w:bCs/>
          <w:sz w:val="24"/>
          <w:szCs w:val="24"/>
        </w:rPr>
        <w:t>、签订政府采购合同</w:t>
      </w:r>
      <w:bookmarkEnd w:id="113"/>
      <w:bookmarkEnd w:id="114"/>
      <w:bookmarkEnd w:id="115"/>
      <w:bookmarkEnd w:id="116"/>
      <w:bookmarkEnd w:id="117"/>
      <w:bookmarkEnd w:id="118"/>
      <w:bookmarkEnd w:id="119"/>
      <w:bookmarkEnd w:id="120"/>
      <w:bookmarkEnd w:id="121"/>
      <w:bookmarkEnd w:id="122"/>
      <w:bookmarkEnd w:id="162"/>
      <w:bookmarkEnd w:id="163"/>
    </w:p>
    <w:p w14:paraId="18ADFFE5">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采购人与成交供应商应当在成交通知书发出之日起</w:t>
      </w:r>
      <w:r>
        <w:rPr>
          <w:rFonts w:hint="eastAsia" w:ascii="宋体" w:hAnsi="宋体" w:eastAsia="宋体" w:cs="宋体"/>
          <w:sz w:val="24"/>
          <w:szCs w:val="24"/>
          <w:lang w:val="en-US" w:eastAsia="zh-CN"/>
        </w:rPr>
        <w:t>25</w:t>
      </w:r>
      <w:r>
        <w:rPr>
          <w:rFonts w:hint="eastAsia" w:ascii="宋体" w:hAnsi="宋体" w:eastAsia="宋体" w:cs="宋体"/>
          <w:sz w:val="24"/>
          <w:szCs w:val="24"/>
        </w:rPr>
        <w:t>日内，按照谈判文件确定的合同文本签订政府采购合同。</w:t>
      </w:r>
    </w:p>
    <w:p w14:paraId="12173D1A">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采购人不得向成交供应商提出超出谈判文件以外的任何要求作为签订合同的条件，不得与成交供应商订立背离谈判文件确定的合同文本以及采购服务要求实质性内容的协议。</w:t>
      </w:r>
    </w:p>
    <w:p w14:paraId="0FA5761B">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成交供应商拒绝与采购人签订合同的，采购人可以按照评审报告推荐的成交候选人名单排序，确定下一候选人为成交供应商，也可以重新开展政府采购活动。</w:t>
      </w:r>
    </w:p>
    <w:p w14:paraId="02E6B3C7">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政府采购合同在执行过程中，确需修改、变更时，应当按照相应的审核批准程序办理。</w:t>
      </w:r>
    </w:p>
    <w:p w14:paraId="6A29ED7A">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谈判文件、响应文件、澄清等为政府采购合同的组成部分，具有同等法律效力。</w:t>
      </w:r>
    </w:p>
    <w:p w14:paraId="0FF8BEF1">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采购人按有关规定将政府采购合同报送监管机构备案。</w:t>
      </w:r>
    </w:p>
    <w:p w14:paraId="6A2FF272">
      <w:pPr>
        <w:pageBreakBefore w:val="0"/>
        <w:kinsoku/>
        <w:wordWrap/>
        <w:overflowPunct/>
        <w:topLinePunct w:val="0"/>
        <w:bidi w:val="0"/>
        <w:spacing w:line="312" w:lineRule="auto"/>
        <w:jc w:val="center"/>
        <w:textAlignment w:val="auto"/>
        <w:outlineLvl w:val="9"/>
        <w:rPr>
          <w:rFonts w:hint="eastAsia" w:ascii="宋体" w:hAnsi="宋体" w:eastAsia="宋体" w:cs="宋体"/>
          <w:b/>
          <w:bCs/>
          <w:sz w:val="24"/>
          <w:szCs w:val="24"/>
        </w:rPr>
      </w:pPr>
      <w:bookmarkStart w:id="164" w:name="_Toc22563"/>
      <w:bookmarkStart w:id="165" w:name="_Toc20160"/>
      <w:bookmarkStart w:id="166" w:name="_Toc35335265"/>
      <w:bookmarkStart w:id="167" w:name="_Toc14189416"/>
      <w:bookmarkStart w:id="168" w:name="_Toc22843"/>
      <w:bookmarkStart w:id="169" w:name="_Toc23315669"/>
      <w:bookmarkStart w:id="170" w:name="_Toc23316691"/>
      <w:bookmarkStart w:id="171" w:name="_Toc23316593"/>
      <w:bookmarkStart w:id="172" w:name="_Toc30985"/>
      <w:bookmarkStart w:id="173" w:name="_Toc23316529"/>
      <w:bookmarkStart w:id="174" w:name="_Toc18412208"/>
      <w:bookmarkStart w:id="175" w:name="_Toc14189283"/>
      <w:r>
        <w:rPr>
          <w:rFonts w:hint="eastAsia" w:ascii="宋体" w:hAnsi="宋体" w:eastAsia="宋体" w:cs="宋体"/>
          <w:b/>
          <w:bCs/>
          <w:sz w:val="24"/>
          <w:szCs w:val="24"/>
          <w:lang w:eastAsia="zh-CN"/>
        </w:rPr>
        <w:t>七</w:t>
      </w:r>
      <w:r>
        <w:rPr>
          <w:rFonts w:hint="eastAsia" w:ascii="宋体" w:hAnsi="宋体" w:eastAsia="宋体" w:cs="宋体"/>
          <w:b/>
          <w:bCs/>
          <w:sz w:val="24"/>
          <w:szCs w:val="24"/>
        </w:rPr>
        <w:t>、招标服务费</w:t>
      </w:r>
      <w:bookmarkEnd w:id="164"/>
      <w:bookmarkEnd w:id="165"/>
      <w:bookmarkEnd w:id="166"/>
      <w:bookmarkEnd w:id="167"/>
      <w:bookmarkEnd w:id="168"/>
      <w:bookmarkEnd w:id="169"/>
      <w:bookmarkEnd w:id="170"/>
      <w:bookmarkEnd w:id="171"/>
      <w:bookmarkEnd w:id="172"/>
      <w:bookmarkEnd w:id="173"/>
      <w:bookmarkEnd w:id="174"/>
      <w:bookmarkEnd w:id="175"/>
    </w:p>
    <w:p w14:paraId="6EFA8391">
      <w:pPr>
        <w:pageBreakBefore w:val="0"/>
        <w:numPr>
          <w:ilvl w:val="0"/>
          <w:numId w:val="0"/>
        </w:numPr>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1.代理服务费参照国家计委关于印发《招标代理服务收费管理暂行办法》的通知（计价格〔2002〕1980号）、《国家发展改革委员会办公厅关于招标代理服务收费有关问题的通知》（发改办价格〔2003〕857号）规定</w:t>
      </w:r>
      <w:r>
        <w:rPr>
          <w:rFonts w:hint="eastAsia" w:ascii="宋体" w:hAnsi="宋体" w:eastAsia="宋体" w:cs="宋体"/>
          <w:color w:val="auto"/>
          <w:sz w:val="24"/>
          <w:szCs w:val="24"/>
          <w:lang w:val="en-US" w:eastAsia="zh-CN"/>
        </w:rPr>
        <w:t>收取。（采购代理机构开户名称：安康尚昊招标代理有限公司  开户行名称：中国建设银行股份有限公司安康分行营业部  账号：61050166371100000492）</w:t>
      </w:r>
    </w:p>
    <w:p w14:paraId="01E72745">
      <w:pPr>
        <w:pageBreakBefore w:val="0"/>
        <w:numPr>
          <w:ilvl w:val="0"/>
          <w:numId w:val="0"/>
        </w:numPr>
        <w:kinsoku/>
        <w:wordWrap/>
        <w:overflowPunct/>
        <w:topLinePunct w:val="0"/>
        <w:autoSpaceDE/>
        <w:autoSpaceDN/>
        <w:bidi w:val="0"/>
        <w:spacing w:line="312" w:lineRule="auto"/>
        <w:ind w:firstLine="480" w:firstLineChars="200"/>
        <w:jc w:val="left"/>
        <w:textAlignment w:val="auto"/>
        <w:outlineLvl w:val="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2.由成交供应商</w:t>
      </w:r>
      <w:r>
        <w:rPr>
          <w:rFonts w:hint="eastAsia" w:ascii="宋体" w:hAnsi="宋体" w:eastAsia="宋体" w:cs="宋体"/>
          <w:color w:val="auto"/>
          <w:sz w:val="24"/>
          <w:szCs w:val="24"/>
        </w:rPr>
        <w:t>向采购代理机构一次性支付招标代理服务费；代理服务费以转账、电汇或现金等形式交纳</w:t>
      </w:r>
      <w:r>
        <w:rPr>
          <w:rFonts w:hint="eastAsia" w:ascii="宋体" w:hAnsi="宋体" w:eastAsia="宋体" w:cs="宋体"/>
          <w:color w:val="auto"/>
          <w:sz w:val="24"/>
          <w:szCs w:val="24"/>
          <w:lang w:val="en-US" w:eastAsia="zh-CN"/>
        </w:rPr>
        <w:t>。本项目按5000.00元收取。</w:t>
      </w:r>
    </w:p>
    <w:p w14:paraId="1DF24AC5">
      <w:pPr>
        <w:pageBreakBefore w:val="0"/>
        <w:kinsoku/>
        <w:wordWrap/>
        <w:overflowPunct/>
        <w:topLinePunct w:val="0"/>
        <w:bidi w:val="0"/>
        <w:adjustRightInd w:val="0"/>
        <w:snapToGrid w:val="0"/>
        <w:spacing w:line="312" w:lineRule="auto"/>
        <w:ind w:firstLine="482" w:firstLineChars="200"/>
        <w:jc w:val="center"/>
        <w:textAlignment w:val="auto"/>
        <w:outlineLvl w:val="9"/>
        <w:rPr>
          <w:rFonts w:hint="eastAsia" w:ascii="宋体" w:hAnsi="宋体" w:eastAsia="宋体" w:cs="宋体"/>
          <w:b/>
          <w:kern w:val="0"/>
          <w:sz w:val="24"/>
          <w:szCs w:val="24"/>
          <w:lang w:val="zh-CN" w:eastAsia="zh-CN"/>
        </w:rPr>
      </w:pPr>
    </w:p>
    <w:p w14:paraId="6D25B3A0">
      <w:pPr>
        <w:pageBreakBefore w:val="0"/>
        <w:kinsoku/>
        <w:wordWrap/>
        <w:overflowPunct/>
        <w:topLinePunct w:val="0"/>
        <w:bidi w:val="0"/>
        <w:adjustRightInd w:val="0"/>
        <w:snapToGrid w:val="0"/>
        <w:spacing w:line="312" w:lineRule="auto"/>
        <w:ind w:firstLine="482" w:firstLineChars="200"/>
        <w:jc w:val="center"/>
        <w:textAlignment w:val="auto"/>
        <w:outlineLvl w:val="9"/>
        <w:rPr>
          <w:rFonts w:hint="eastAsia" w:ascii="宋体" w:hAnsi="宋体" w:eastAsia="宋体" w:cs="宋体"/>
          <w:b/>
          <w:kern w:val="0"/>
          <w:sz w:val="24"/>
          <w:szCs w:val="24"/>
          <w:lang w:val="zh-CN" w:eastAsia="zh-CN"/>
        </w:rPr>
      </w:pPr>
      <w:r>
        <w:rPr>
          <w:rFonts w:hint="eastAsia" w:ascii="宋体" w:hAnsi="宋体" w:eastAsia="宋体" w:cs="宋体"/>
          <w:b/>
          <w:kern w:val="0"/>
          <w:sz w:val="24"/>
          <w:szCs w:val="24"/>
          <w:lang w:val="zh-CN" w:eastAsia="zh-CN"/>
        </w:rPr>
        <w:t>八、政府采购政策</w:t>
      </w:r>
    </w:p>
    <w:p w14:paraId="5781B7E7">
      <w:pPr>
        <w:pageBreakBefore w:val="0"/>
        <w:kinsoku/>
        <w:wordWrap/>
        <w:overflowPunct/>
        <w:topLinePunct w:val="0"/>
        <w:autoSpaceDE w:val="0"/>
        <w:autoSpaceDN w:val="0"/>
        <w:bidi w:val="0"/>
        <w:adjustRightInd w:val="0"/>
        <w:snapToGrid w:val="0"/>
        <w:spacing w:line="312" w:lineRule="auto"/>
        <w:ind w:firstLine="482" w:firstLineChars="200"/>
        <w:textAlignment w:val="auto"/>
        <w:outlineLvl w:val="9"/>
        <w:rPr>
          <w:rFonts w:hint="eastAsia" w:ascii="宋体" w:hAnsi="宋体" w:eastAsia="宋体" w:cs="宋体"/>
          <w:b/>
          <w:sz w:val="24"/>
          <w:lang w:val="zh-CN"/>
        </w:rPr>
      </w:pPr>
      <w:r>
        <w:rPr>
          <w:rFonts w:hint="eastAsia" w:ascii="宋体" w:hAnsi="宋体" w:eastAsia="宋体" w:cs="宋体"/>
          <w:b/>
          <w:sz w:val="24"/>
          <w:lang w:val="en-US" w:eastAsia="zh-CN"/>
        </w:rPr>
        <w:t>1.</w:t>
      </w:r>
      <w:r>
        <w:rPr>
          <w:rFonts w:hint="eastAsia" w:ascii="宋体" w:hAnsi="宋体" w:eastAsia="宋体" w:cs="宋体"/>
          <w:b/>
          <w:sz w:val="24"/>
          <w:lang w:val="zh-CN"/>
        </w:rPr>
        <w:t>投标企业政府采购政策</w:t>
      </w:r>
    </w:p>
    <w:p w14:paraId="50539986">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bookmarkStart w:id="176" w:name="_Toc19543343"/>
      <w:bookmarkStart w:id="177" w:name="_Toc536202317"/>
      <w:bookmarkStart w:id="178" w:name="_Toc21849"/>
      <w:bookmarkStart w:id="179" w:name="_Toc664"/>
      <w:bookmarkStart w:id="180" w:name="_Toc536429379"/>
      <w:bookmarkStart w:id="181" w:name="_Toc536202386"/>
      <w:bookmarkStart w:id="182" w:name="_Toc536429326"/>
      <w:bookmarkStart w:id="183" w:name="_Toc11491"/>
      <w:r>
        <w:rPr>
          <w:rFonts w:hint="eastAsia" w:ascii="宋体" w:hAnsi="宋体" w:eastAsia="宋体" w:cs="宋体"/>
          <w:b w:val="0"/>
          <w:bCs w:val="0"/>
          <w:kern w:val="0"/>
          <w:sz w:val="24"/>
          <w:szCs w:val="24"/>
          <w:lang w:eastAsia="zh-CN"/>
        </w:rPr>
        <w:t>根据《政府采购促进中小企业发展管理办法》（财库〔2020〕46号）和《陕西省财政厅关于加快推进我省中小企业政府采购信用融资工作的通知》（陕财办采〔2020〕15 号）有关要求，对政府采购相关政策落实如下：</w:t>
      </w:r>
    </w:p>
    <w:p w14:paraId="48F899A4">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（1）根据《政府采购促进中小企业发展管理办法》（财库〔2020〕46号）的有关规定，</w:t>
      </w:r>
      <w:r>
        <w:rPr>
          <w:rFonts w:hint="eastAsia" w:ascii="宋体" w:hAnsi="宋体" w:eastAsia="宋体" w:cs="宋体"/>
          <w:b w:val="0"/>
          <w:bCs w:val="0"/>
          <w:kern w:val="0"/>
          <w:sz w:val="24"/>
          <w:szCs w:val="24"/>
          <w:lang w:val="en-US" w:eastAsia="zh-CN"/>
        </w:rPr>
        <w:t>小微</w:t>
      </w:r>
      <w:r>
        <w:rPr>
          <w:rFonts w:hint="eastAsia" w:ascii="宋体" w:hAnsi="宋体" w:eastAsia="宋体" w:cs="宋体"/>
          <w:b w:val="0"/>
          <w:bCs w:val="0"/>
          <w:kern w:val="0"/>
          <w:sz w:val="24"/>
          <w:szCs w:val="24"/>
          <w:lang w:eastAsia="zh-CN"/>
        </w:rPr>
        <w:t>企业提供本企业制造的货物、承担的工程或者服务，或者提供其他</w:t>
      </w:r>
      <w:r>
        <w:rPr>
          <w:rFonts w:hint="eastAsia" w:ascii="宋体" w:hAnsi="宋体" w:eastAsia="宋体" w:cs="宋体"/>
          <w:b w:val="0"/>
          <w:bCs w:val="0"/>
          <w:kern w:val="0"/>
          <w:sz w:val="24"/>
          <w:szCs w:val="24"/>
          <w:lang w:val="en-US" w:eastAsia="zh-CN"/>
        </w:rPr>
        <w:t>小微</w:t>
      </w:r>
      <w:r>
        <w:rPr>
          <w:rFonts w:hint="eastAsia" w:ascii="宋体" w:hAnsi="宋体" w:eastAsia="宋体" w:cs="宋体"/>
          <w:b w:val="0"/>
          <w:bCs w:val="0"/>
          <w:kern w:val="0"/>
          <w:sz w:val="24"/>
          <w:szCs w:val="24"/>
          <w:lang w:eastAsia="zh-CN"/>
        </w:rPr>
        <w:t xml:space="preserve">企业制造的货物（不包括使用大型、中型企业注册商标的货物）参与政府采购活动时对小型和微型企业产品的价格给予6%—10%的价格扣除，用扣除后的价格参与评标。  </w:t>
      </w:r>
    </w:p>
    <w:p w14:paraId="6A7B4A98">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2）根据财政部、司法部联合下发的《关于政府采购支持监狱企业发展有关问题的通知》（财库〔2014〕68号）的规定，监狱企业视同小型、微型企业。评标时，对监狱企业给予6%—10%的价格扣除，用扣除后的价格参与评审；</w:t>
      </w:r>
    </w:p>
    <w:p w14:paraId="6F2ADB89">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(3) 根据财政部、民政部、中国残疾人联合会下发的《关于促进残疾人就业政府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0155CFCC">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注：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default" w:ascii="宋体" w:hAnsi="宋体" w:eastAsia="宋体" w:cs="宋体"/>
          <w:b w:val="0"/>
          <w:bCs w:val="0"/>
          <w:kern w:val="0"/>
          <w:sz w:val="24"/>
          <w:szCs w:val="24"/>
          <w:lang w:eastAsia="zh-CN"/>
        </w:rPr>
        <w:t>谈判</w:t>
      </w:r>
      <w:r>
        <w:rPr>
          <w:rFonts w:hint="eastAsia" w:ascii="宋体" w:hAnsi="宋体" w:eastAsia="宋体" w:cs="宋体"/>
          <w:b w:val="0"/>
          <w:bCs w:val="0"/>
          <w:kern w:val="0"/>
          <w:sz w:val="24"/>
          <w:szCs w:val="24"/>
          <w:lang w:eastAsia="zh-CN"/>
        </w:rPr>
        <w:t>文件规定的价格扣除，但不影响投标文件的有效性，对既属于监狱企业、福利企业，同时又满足中小微企业规定的投标单位，其价格扣除仅适用一次。</w:t>
      </w:r>
    </w:p>
    <w:p w14:paraId="09F14A54">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①根据财政部、国家发展改革委《关于印发〈节能产品政府采购实施意见〉的通知》（财库〔2004〕185号）所投产品属于节能产品政府采购清单所列产品，在技术、服务同等的条件下，应当优先采用清单中的节能产品；</w:t>
      </w:r>
    </w:p>
    <w:p w14:paraId="0F9AA337">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②所投产品为“环境标志产品政府采购清单”所列产品，在性能、技术、服务等指标同等的条件下，应当优先采用；</w:t>
      </w:r>
    </w:p>
    <w:p w14:paraId="77E80460">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③节能产品根据《国务院办公厅关于建立政府强制采购节能产品制度的通知》国办发〔2007〕51号的规定，以中国政府采购网（http://www.ccgp.gov.cn/）公布的最新一期节能产品政府采购清单为准；</w:t>
      </w:r>
    </w:p>
    <w:p w14:paraId="1EA50CD1">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④环境标志产品根据《环境标志产品政府采购实施的意见》（财库〔2006〕90号）的规定，以中国政府采购网（http://www.ccgp.gov.cn/）公布的最新一期环境标志产品政府采购清单为准；</w:t>
      </w:r>
    </w:p>
    <w:p w14:paraId="32B9B0A2">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⑤若节能、环保、环境标志清单内的产品仅是构成投标产品的部件、组件或零件的，则该投标产品不享受鼓励优惠政策；</w:t>
      </w:r>
    </w:p>
    <w:p w14:paraId="41F3CE8F">
      <w:pPr>
        <w:pageBreakBefore w:val="0"/>
        <w:numPr>
          <w:ilvl w:val="0"/>
          <w:numId w:val="0"/>
        </w:numPr>
        <w:kinsoku/>
        <w:wordWrap/>
        <w:overflowPunct/>
        <w:topLinePunct w:val="0"/>
        <w:bidi w:val="0"/>
        <w:spacing w:line="480" w:lineRule="exact"/>
        <w:ind w:firstLine="480" w:firstLineChars="200"/>
        <w:outlineLvl w:val="9"/>
        <w:rPr>
          <w:rFonts w:hint="eastAsia" w:ascii="宋体" w:hAnsi="宋体" w:eastAsia="宋体" w:cs="Times New Roman"/>
          <w:color w:val="auto"/>
          <w:sz w:val="24"/>
          <w:szCs w:val="24"/>
          <w:lang w:val="en-US" w:eastAsia="zh-CN"/>
        </w:rPr>
      </w:pPr>
      <w:r>
        <w:rPr>
          <w:rFonts w:hint="eastAsia" w:ascii="宋体" w:hAnsi="宋体" w:eastAsia="宋体" w:cs="Times New Roman"/>
          <w:color w:val="auto"/>
          <w:kern w:val="2"/>
          <w:sz w:val="24"/>
          <w:szCs w:val="24"/>
          <w:lang w:val="en-US" w:eastAsia="zh-CN" w:bidi="ar-SA"/>
        </w:rPr>
        <w:t>（4）</w:t>
      </w:r>
      <w:r>
        <w:rPr>
          <w:rFonts w:hint="eastAsia" w:ascii="宋体" w:hAnsi="宋体" w:eastAsia="宋体" w:cs="Times New Roman"/>
          <w:color w:val="auto"/>
          <w:sz w:val="24"/>
          <w:szCs w:val="24"/>
          <w:lang w:val="en-US" w:eastAsia="zh-CN"/>
        </w:rPr>
        <w:t>依据《国务院办公厅关于在政府采购中实施本国产品标准及相关政策的通知》（国办发〔2025〕34号）</w:t>
      </w:r>
      <w:r>
        <w:rPr>
          <w:rFonts w:hint="eastAsia" w:ascii="宋体" w:hAnsi="宋体" w:eastAsia="宋体" w:cs="Times New Roman"/>
          <w:color w:val="auto"/>
          <w:sz w:val="24"/>
          <w:szCs w:val="24"/>
        </w:rPr>
        <w:t>的有关规定，</w:t>
      </w:r>
      <w:r>
        <w:rPr>
          <w:rFonts w:hint="eastAsia" w:ascii="宋体" w:hAnsi="宋体" w:eastAsia="宋体" w:cs="Times New Roman"/>
          <w:color w:val="auto"/>
          <w:sz w:val="24"/>
          <w:szCs w:val="24"/>
          <w:lang w:eastAsia="zh-CN"/>
        </w:rPr>
        <w:t>政府采购货物项目和服务项目中涉及的货物，</w:t>
      </w:r>
      <w:r>
        <w:rPr>
          <w:rFonts w:hint="eastAsia" w:ascii="宋体" w:hAnsi="宋体" w:eastAsia="宋体" w:cs="Times New Roman"/>
          <w:color w:val="auto"/>
          <w:sz w:val="24"/>
          <w:szCs w:val="24"/>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BD3A81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30" w:beforeAutospacing="0" w:after="30" w:afterAutospacing="0" w:line="560" w:lineRule="atLeast"/>
        <w:ind w:left="0" w:right="0" w:firstLine="420"/>
        <w:textAlignment w:val="baseline"/>
        <w:outlineLvl w:val="9"/>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本国产品标准的适用范围</w:t>
      </w:r>
    </w:p>
    <w:p w14:paraId="015C675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30" w:beforeAutospacing="0" w:after="30" w:afterAutospacing="0" w:line="560" w:lineRule="atLeast"/>
        <w:ind w:left="0" w:right="0" w:firstLine="420"/>
        <w:textAlignment w:val="baseline"/>
        <w:outlineLvl w:val="9"/>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09D22A">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5</w:t>
      </w:r>
      <w:r>
        <w:rPr>
          <w:rFonts w:hint="eastAsia" w:ascii="宋体" w:hAnsi="宋体" w:eastAsia="宋体" w:cs="宋体"/>
          <w:b w:val="0"/>
          <w:bCs w:val="0"/>
          <w:kern w:val="0"/>
          <w:sz w:val="24"/>
          <w:szCs w:val="24"/>
          <w:lang w:eastAsia="zh-CN"/>
        </w:rPr>
        <w:t>）关于信用记录的查询和使用</w:t>
      </w:r>
    </w:p>
    <w:p w14:paraId="634469F2">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1.采购人将在资格审查阶段通过【</w:t>
      </w:r>
      <w:r>
        <w:rPr>
          <w:rFonts w:hint="eastAsia" w:ascii="宋体" w:hAnsi="宋体" w:eastAsia="宋体" w:cs="宋体"/>
          <w:b w:val="0"/>
          <w:bCs w:val="0"/>
          <w:kern w:val="0"/>
          <w:sz w:val="24"/>
          <w:szCs w:val="24"/>
          <w:lang w:eastAsia="zh-CN"/>
        </w:rPr>
        <w:fldChar w:fldCharType="begin"/>
      </w:r>
      <w:r>
        <w:rPr>
          <w:rFonts w:hint="eastAsia" w:ascii="宋体" w:hAnsi="宋体" w:eastAsia="宋体" w:cs="宋体"/>
          <w:b w:val="0"/>
          <w:bCs w:val="0"/>
          <w:kern w:val="0"/>
          <w:sz w:val="24"/>
          <w:szCs w:val="24"/>
          <w:lang w:eastAsia="zh-CN"/>
        </w:rPr>
        <w:instrText xml:space="preserve"> HYPERLINK "http://www.creditchina.gov.cn" </w:instrText>
      </w:r>
      <w:r>
        <w:rPr>
          <w:rFonts w:hint="eastAsia" w:ascii="宋体" w:hAnsi="宋体" w:eastAsia="宋体" w:cs="宋体"/>
          <w:b w:val="0"/>
          <w:bCs w:val="0"/>
          <w:kern w:val="0"/>
          <w:sz w:val="24"/>
          <w:szCs w:val="24"/>
          <w:lang w:eastAsia="zh-CN"/>
        </w:rPr>
        <w:fldChar w:fldCharType="separate"/>
      </w:r>
      <w:r>
        <w:rPr>
          <w:rFonts w:hint="eastAsia" w:ascii="宋体" w:hAnsi="宋体" w:eastAsia="宋体" w:cs="宋体"/>
          <w:b w:val="0"/>
          <w:bCs w:val="0"/>
          <w:kern w:val="0"/>
          <w:sz w:val="24"/>
          <w:szCs w:val="24"/>
          <w:lang w:eastAsia="zh-CN"/>
        </w:rPr>
        <w:t>信用中国</w:t>
      </w:r>
      <w:r>
        <w:rPr>
          <w:rFonts w:hint="eastAsia" w:ascii="宋体" w:hAnsi="宋体" w:eastAsia="宋体" w:cs="宋体"/>
          <w:b w:val="0"/>
          <w:bCs w:val="0"/>
          <w:kern w:val="0"/>
          <w:sz w:val="24"/>
          <w:szCs w:val="24"/>
          <w:lang w:eastAsia="zh-CN"/>
        </w:rPr>
        <w:fldChar w:fldCharType="end"/>
      </w:r>
      <w:r>
        <w:rPr>
          <w:rFonts w:hint="eastAsia" w:ascii="宋体" w:hAnsi="宋体" w:eastAsia="宋体" w:cs="宋体"/>
          <w:b w:val="0"/>
          <w:bCs w:val="0"/>
          <w:kern w:val="0"/>
          <w:sz w:val="24"/>
          <w:szCs w:val="24"/>
          <w:lang w:eastAsia="zh-CN"/>
        </w:rPr>
        <w:t>（www.creditchina.gov.cn）】、【</w:t>
      </w:r>
      <w:r>
        <w:rPr>
          <w:rFonts w:hint="eastAsia" w:ascii="宋体" w:hAnsi="宋体" w:eastAsia="宋体" w:cs="宋体"/>
          <w:b w:val="0"/>
          <w:bCs w:val="0"/>
          <w:kern w:val="0"/>
          <w:sz w:val="24"/>
          <w:szCs w:val="24"/>
          <w:lang w:eastAsia="zh-CN"/>
        </w:rPr>
        <w:fldChar w:fldCharType="begin"/>
      </w:r>
      <w:r>
        <w:rPr>
          <w:rFonts w:hint="eastAsia" w:ascii="宋体" w:hAnsi="宋体" w:eastAsia="宋体" w:cs="宋体"/>
          <w:b w:val="0"/>
          <w:bCs w:val="0"/>
          <w:kern w:val="0"/>
          <w:sz w:val="24"/>
          <w:szCs w:val="24"/>
          <w:lang w:eastAsia="zh-CN"/>
        </w:rPr>
        <w:instrText xml:space="preserve"> HYPERLINK "http://www.ccgp.gov.cn/cr/list" </w:instrText>
      </w:r>
      <w:r>
        <w:rPr>
          <w:rFonts w:hint="eastAsia" w:ascii="宋体" w:hAnsi="宋体" w:eastAsia="宋体" w:cs="宋体"/>
          <w:b w:val="0"/>
          <w:bCs w:val="0"/>
          <w:kern w:val="0"/>
          <w:sz w:val="24"/>
          <w:szCs w:val="24"/>
          <w:lang w:eastAsia="zh-CN"/>
        </w:rPr>
        <w:fldChar w:fldCharType="separate"/>
      </w:r>
      <w:r>
        <w:rPr>
          <w:rFonts w:hint="eastAsia" w:ascii="宋体" w:hAnsi="宋体" w:eastAsia="宋体" w:cs="宋体"/>
          <w:b w:val="0"/>
          <w:bCs w:val="0"/>
          <w:kern w:val="0"/>
          <w:sz w:val="24"/>
          <w:szCs w:val="24"/>
          <w:lang w:eastAsia="zh-CN"/>
        </w:rPr>
        <w:t>中国政府采购网</w:t>
      </w:r>
      <w:r>
        <w:rPr>
          <w:rFonts w:hint="eastAsia" w:ascii="宋体" w:hAnsi="宋体" w:eastAsia="宋体" w:cs="宋体"/>
          <w:b w:val="0"/>
          <w:bCs w:val="0"/>
          <w:kern w:val="0"/>
          <w:sz w:val="24"/>
          <w:szCs w:val="24"/>
          <w:lang w:eastAsia="zh-CN"/>
        </w:rPr>
        <w:fldChar w:fldCharType="end"/>
      </w:r>
      <w:r>
        <w:rPr>
          <w:rFonts w:hint="eastAsia" w:ascii="宋体" w:hAnsi="宋体" w:eastAsia="宋体" w:cs="宋体"/>
          <w:b w:val="0"/>
          <w:bCs w:val="0"/>
          <w:kern w:val="0"/>
          <w:sz w:val="24"/>
          <w:szCs w:val="24"/>
          <w:lang w:eastAsia="zh-CN"/>
        </w:rPr>
        <w:t>（www.ccgp.gov.cn）】网站对投标文件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29AABABF">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2.投标人在参加政府采购活动前3年内因违法经营被禁止在一定期限内参加政府采购活动，期限届满的，可以参加政府采购活动的，但投标人应提供相关证明材料；</w:t>
      </w:r>
    </w:p>
    <w:p w14:paraId="5CECC8CC">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3.信用记录查询的截止时点为“</w:t>
      </w:r>
      <w:r>
        <w:rPr>
          <w:rFonts w:hint="eastAsia" w:ascii="宋体" w:hAnsi="宋体" w:eastAsia="宋体" w:cs="宋体"/>
          <w:b w:val="0"/>
          <w:bCs w:val="0"/>
          <w:kern w:val="0"/>
          <w:sz w:val="24"/>
          <w:szCs w:val="24"/>
          <w:lang w:val="en-US" w:eastAsia="zh-CN"/>
        </w:rPr>
        <w:t>谈判</w:t>
      </w:r>
      <w:r>
        <w:rPr>
          <w:rFonts w:hint="eastAsia" w:ascii="宋体" w:hAnsi="宋体" w:eastAsia="宋体" w:cs="宋体"/>
          <w:b w:val="0"/>
          <w:bCs w:val="0"/>
          <w:kern w:val="0"/>
          <w:sz w:val="24"/>
          <w:szCs w:val="24"/>
          <w:lang w:eastAsia="zh-CN"/>
        </w:rPr>
        <w:t>文件</w:t>
      </w:r>
      <w:r>
        <w:rPr>
          <w:rFonts w:hint="eastAsia" w:ascii="宋体" w:hAnsi="宋体" w:eastAsia="宋体" w:cs="宋体"/>
          <w:b w:val="0"/>
          <w:bCs w:val="0"/>
          <w:kern w:val="0"/>
          <w:sz w:val="24"/>
          <w:szCs w:val="24"/>
          <w:lang w:val="en-US" w:eastAsia="zh-CN"/>
        </w:rPr>
        <w:t>发出</w:t>
      </w:r>
      <w:r>
        <w:rPr>
          <w:rFonts w:hint="eastAsia" w:ascii="宋体" w:hAnsi="宋体" w:eastAsia="宋体" w:cs="宋体"/>
          <w:b w:val="0"/>
          <w:bCs w:val="0"/>
          <w:kern w:val="0"/>
          <w:sz w:val="24"/>
          <w:szCs w:val="24"/>
          <w:lang w:eastAsia="zh-CN"/>
        </w:rPr>
        <w:t>之日起至投标截止日前”。信用记录查询的结果，将以纸质截图或将截图保存至电子介质的形式留存。投标人未如实填报《投标人书面声明函》的，视为“投标人提供虚假材料谋取中标、成交的”行为。</w:t>
      </w:r>
    </w:p>
    <w:p w14:paraId="08886C58">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val="zh-CN" w:eastAsia="zh-CN"/>
        </w:rPr>
      </w:pPr>
      <w:r>
        <w:rPr>
          <w:rFonts w:hint="eastAsia" w:ascii="宋体" w:hAnsi="宋体" w:eastAsia="宋体" w:cs="宋体"/>
          <w:b w:val="0"/>
          <w:bCs w:val="0"/>
          <w:kern w:val="0"/>
          <w:sz w:val="24"/>
          <w:szCs w:val="24"/>
          <w:lang w:val="zh-CN" w:eastAsia="zh-CN"/>
        </w:rPr>
        <w:t>（</w:t>
      </w:r>
      <w:r>
        <w:rPr>
          <w:rFonts w:hint="eastAsia" w:ascii="宋体" w:hAnsi="宋体" w:eastAsia="宋体" w:cs="宋体"/>
          <w:b w:val="0"/>
          <w:bCs w:val="0"/>
          <w:kern w:val="0"/>
          <w:sz w:val="24"/>
          <w:szCs w:val="24"/>
          <w:lang w:val="en-US" w:eastAsia="zh-CN"/>
        </w:rPr>
        <w:t>6</w:t>
      </w:r>
      <w:r>
        <w:rPr>
          <w:rFonts w:hint="eastAsia" w:ascii="宋体" w:hAnsi="宋体" w:eastAsia="宋体" w:cs="宋体"/>
          <w:b w:val="0"/>
          <w:bCs w:val="0"/>
          <w:kern w:val="0"/>
          <w:sz w:val="24"/>
          <w:szCs w:val="24"/>
          <w:lang w:val="zh-CN" w:eastAsia="zh-CN"/>
        </w:rPr>
        <w:t>）融资政策</w:t>
      </w:r>
    </w:p>
    <w:p w14:paraId="76FC2BE4">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val="zh-CN" w:eastAsia="zh-CN"/>
        </w:rPr>
      </w:pPr>
      <w:r>
        <w:rPr>
          <w:rFonts w:hint="eastAsia" w:ascii="宋体" w:hAnsi="宋体" w:eastAsia="宋体" w:cs="宋体"/>
          <w:b w:val="0"/>
          <w:bCs w:val="0"/>
          <w:kern w:val="0"/>
          <w:sz w:val="24"/>
          <w:szCs w:val="24"/>
          <w:lang w:val="zh-CN" w:eastAsia="zh-CN"/>
        </w:rPr>
        <w:t>根据《陕西省财政厅关于加快推进我省中小企业政府采购信用融资工作的通知》（陕财办采</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zh-CN" w:eastAsia="zh-CN"/>
        </w:rPr>
        <w:t>2020</w:t>
      </w: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zh-CN" w:eastAsia="zh-CN"/>
        </w:rPr>
        <w:t>15号）文件精神，有融资需求的</w:t>
      </w:r>
      <w:r>
        <w:rPr>
          <w:rFonts w:hint="eastAsia" w:ascii="宋体" w:hAnsi="宋体" w:eastAsia="宋体" w:cs="宋体"/>
          <w:b w:val="0"/>
          <w:bCs w:val="0"/>
          <w:kern w:val="0"/>
          <w:sz w:val="24"/>
          <w:szCs w:val="24"/>
          <w:lang w:eastAsia="zh-CN"/>
        </w:rPr>
        <w:t>中标（成交）人</w:t>
      </w:r>
      <w:r>
        <w:rPr>
          <w:rFonts w:hint="eastAsia" w:ascii="宋体" w:hAnsi="宋体" w:eastAsia="宋体" w:cs="宋体"/>
          <w:b w:val="0"/>
          <w:bCs w:val="0"/>
          <w:kern w:val="0"/>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b w:val="0"/>
          <w:bCs w:val="0"/>
          <w:kern w:val="0"/>
          <w:sz w:val="24"/>
          <w:szCs w:val="24"/>
          <w:lang w:val="zh-CN" w:eastAsia="zh-CN"/>
        </w:rPr>
        <w:fldChar w:fldCharType="begin"/>
      </w:r>
      <w:r>
        <w:rPr>
          <w:rFonts w:hint="eastAsia" w:ascii="宋体" w:hAnsi="宋体" w:eastAsia="宋体" w:cs="宋体"/>
          <w:b w:val="0"/>
          <w:bCs w:val="0"/>
          <w:kern w:val="0"/>
          <w:sz w:val="24"/>
          <w:szCs w:val="24"/>
          <w:lang w:val="zh-CN" w:eastAsia="zh-CN"/>
        </w:rPr>
        <w:instrText xml:space="preserve"> HYPERLINK "http://www.ccgp-shaanxi.gov.cn/zcdservice/zcd/shanxi/s" </w:instrText>
      </w:r>
      <w:r>
        <w:rPr>
          <w:rFonts w:hint="eastAsia" w:ascii="宋体" w:hAnsi="宋体" w:eastAsia="宋体" w:cs="宋体"/>
          <w:b w:val="0"/>
          <w:bCs w:val="0"/>
          <w:kern w:val="0"/>
          <w:sz w:val="24"/>
          <w:szCs w:val="24"/>
          <w:lang w:val="zh-CN" w:eastAsia="zh-CN"/>
        </w:rPr>
        <w:fldChar w:fldCharType="separate"/>
      </w:r>
      <w:r>
        <w:rPr>
          <w:rStyle w:val="49"/>
          <w:rFonts w:hint="eastAsia" w:ascii="宋体" w:hAnsi="宋体" w:eastAsia="宋体" w:cs="宋体"/>
          <w:b w:val="0"/>
          <w:bCs w:val="0"/>
          <w:kern w:val="0"/>
          <w:sz w:val="24"/>
          <w:szCs w:val="24"/>
          <w:lang w:val="zh-CN" w:eastAsia="zh-CN"/>
        </w:rPr>
        <w:t>http://www.ccgp-shaanxi.gov.cn/zcdservice/zcd/shanxi/s</w:t>
      </w:r>
      <w:r>
        <w:rPr>
          <w:rFonts w:hint="eastAsia" w:ascii="宋体" w:hAnsi="宋体" w:eastAsia="宋体" w:cs="宋体"/>
          <w:b w:val="0"/>
          <w:bCs w:val="0"/>
          <w:kern w:val="0"/>
          <w:sz w:val="24"/>
          <w:szCs w:val="24"/>
          <w:lang w:val="zh-CN" w:eastAsia="zh-CN"/>
        </w:rPr>
        <w:fldChar w:fldCharType="end"/>
      </w:r>
    </w:p>
    <w:p w14:paraId="566498EE">
      <w:pPr>
        <w:pageBreakBefore w:val="0"/>
        <w:kinsoku/>
        <w:wordWrap/>
        <w:overflowPunct/>
        <w:topLinePunct w:val="0"/>
        <w:bidi w:val="0"/>
        <w:spacing w:line="460" w:lineRule="exact"/>
        <w:ind w:firstLine="482" w:firstLineChars="200"/>
        <w:textAlignment w:val="auto"/>
        <w:outlineLvl w:val="9"/>
        <w:rPr>
          <w:rFonts w:hint="eastAsia" w:ascii="宋体" w:hAnsi="宋体" w:eastAsia="宋体" w:cs="宋体"/>
          <w:b/>
          <w:sz w:val="24"/>
          <w:lang w:val="zh-CN"/>
        </w:rPr>
      </w:pPr>
      <w:r>
        <w:rPr>
          <w:rFonts w:hint="eastAsia" w:ascii="宋体" w:hAnsi="宋体" w:eastAsia="宋体" w:cs="宋体"/>
          <w:b/>
          <w:sz w:val="24"/>
          <w:lang w:val="en-US" w:eastAsia="zh-CN"/>
        </w:rPr>
        <w:t>2.</w:t>
      </w:r>
      <w:r>
        <w:rPr>
          <w:rFonts w:hint="eastAsia" w:ascii="宋体" w:hAnsi="宋体" w:eastAsia="宋体" w:cs="宋体"/>
          <w:b/>
          <w:sz w:val="24"/>
          <w:lang w:val="zh-CN"/>
        </w:rPr>
        <w:t>价格优惠比例</w:t>
      </w:r>
    </w:p>
    <w:p w14:paraId="4B75D5EA">
      <w:pPr>
        <w:pageBreakBefore w:val="0"/>
        <w:kinsoku/>
        <w:wordWrap/>
        <w:overflowPunct/>
        <w:topLinePunct w:val="0"/>
        <w:bidi w:val="0"/>
        <w:spacing w:line="460" w:lineRule="exact"/>
        <w:ind w:firstLine="470" w:firstLineChars="196"/>
        <w:textAlignment w:val="auto"/>
        <w:outlineLvl w:val="9"/>
        <w:rPr>
          <w:rFonts w:hint="eastAsia" w:ascii="宋体" w:hAnsi="宋体" w:eastAsia="宋体" w:cs="宋体"/>
          <w:b w:val="0"/>
          <w:bCs/>
          <w:sz w:val="24"/>
        </w:rPr>
      </w:pPr>
      <w:r>
        <w:rPr>
          <w:rFonts w:hint="eastAsia" w:ascii="宋体" w:hAnsi="宋体" w:eastAsia="宋体" w:cs="宋体"/>
          <w:b w:val="0"/>
          <w:bCs/>
          <w:sz w:val="24"/>
        </w:rPr>
        <w:t>（1）</w:t>
      </w:r>
      <w:r>
        <w:rPr>
          <w:rFonts w:hint="eastAsia" w:ascii="宋体" w:hAnsi="宋体" w:eastAsia="宋体" w:cs="宋体"/>
          <w:b w:val="0"/>
          <w:bCs/>
          <w:sz w:val="24"/>
          <w:lang w:val="zh-CN"/>
        </w:rPr>
        <w:t>投标企业优惠比例</w:t>
      </w:r>
    </w:p>
    <w:p w14:paraId="4E5C6F4C">
      <w:pPr>
        <w:pageBreakBefore w:val="0"/>
        <w:kinsoku/>
        <w:wordWrap/>
        <w:overflowPunct/>
        <w:topLinePunct w:val="0"/>
        <w:bidi w:val="0"/>
        <w:spacing w:line="460" w:lineRule="exact"/>
        <w:ind w:firstLine="470" w:firstLineChars="196"/>
        <w:textAlignment w:val="auto"/>
        <w:outlineLvl w:val="9"/>
        <w:rPr>
          <w:rFonts w:hint="eastAsia" w:ascii="宋体" w:hAnsi="宋体" w:eastAsia="宋体" w:cs="宋体"/>
          <w:b w:val="0"/>
          <w:bCs/>
          <w:sz w:val="24"/>
          <w:lang w:val="zh-CN"/>
        </w:rPr>
      </w:pPr>
      <w:r>
        <w:rPr>
          <w:rFonts w:hint="eastAsia" w:ascii="宋体" w:hAnsi="宋体" w:eastAsia="宋体" w:cs="宋体"/>
          <w:b w:val="0"/>
          <w:bCs/>
          <w:sz w:val="24"/>
          <w:lang w:val="zh-CN"/>
        </w:rPr>
        <w:t>符合谈判文件规定的小微企业、监狱企业或</w:t>
      </w:r>
      <w:r>
        <w:rPr>
          <w:rFonts w:hint="eastAsia" w:ascii="宋体" w:hAnsi="宋体" w:eastAsia="宋体" w:cs="宋体"/>
          <w:b w:val="0"/>
          <w:bCs/>
          <w:sz w:val="24"/>
        </w:rPr>
        <w:t>残疾人福利性单位</w:t>
      </w:r>
      <w:r>
        <w:rPr>
          <w:rFonts w:hint="eastAsia" w:ascii="宋体" w:hAnsi="宋体" w:eastAsia="宋体" w:cs="宋体"/>
          <w:b w:val="0"/>
          <w:bCs/>
          <w:sz w:val="24"/>
          <w:lang w:val="zh-CN"/>
        </w:rPr>
        <w:t>优惠条件的供应商，价格给予</w:t>
      </w:r>
      <w:r>
        <w:rPr>
          <w:rFonts w:hint="eastAsia" w:ascii="宋体" w:hAnsi="宋体" w:eastAsia="宋体" w:cs="宋体"/>
          <w:b w:val="0"/>
          <w:bCs/>
          <w:sz w:val="24"/>
          <w:lang w:val="en-US" w:eastAsia="zh-CN"/>
        </w:rPr>
        <w:t>10</w:t>
      </w:r>
      <w:r>
        <w:rPr>
          <w:rFonts w:hint="eastAsia" w:ascii="宋体" w:hAnsi="宋体" w:eastAsia="宋体" w:cs="宋体"/>
          <w:b w:val="0"/>
          <w:bCs/>
          <w:sz w:val="24"/>
          <w:lang w:val="zh-CN"/>
        </w:rPr>
        <w:t>%的扣除（不重复优惠，最高为</w:t>
      </w:r>
      <w:r>
        <w:rPr>
          <w:rFonts w:hint="eastAsia" w:ascii="宋体" w:hAnsi="宋体" w:eastAsia="宋体" w:cs="宋体"/>
          <w:b w:val="0"/>
          <w:bCs/>
          <w:sz w:val="24"/>
          <w:lang w:val="en-US" w:eastAsia="zh-CN"/>
        </w:rPr>
        <w:t>10</w:t>
      </w:r>
      <w:r>
        <w:rPr>
          <w:rFonts w:hint="eastAsia" w:ascii="宋体" w:hAnsi="宋体" w:eastAsia="宋体" w:cs="宋体"/>
          <w:b w:val="0"/>
          <w:bCs/>
          <w:sz w:val="24"/>
          <w:lang w:val="zh-CN"/>
        </w:rPr>
        <w:t>%），用扣除后的价格参与评审。</w:t>
      </w:r>
    </w:p>
    <w:p w14:paraId="4F112410">
      <w:pPr>
        <w:pageBreakBefore w:val="0"/>
        <w:kinsoku/>
        <w:wordWrap/>
        <w:overflowPunct/>
        <w:topLinePunct w:val="0"/>
        <w:bidi w:val="0"/>
        <w:spacing w:line="460" w:lineRule="exact"/>
        <w:ind w:firstLine="470" w:firstLineChars="196"/>
        <w:textAlignment w:val="auto"/>
        <w:outlineLvl w:val="9"/>
        <w:rPr>
          <w:rFonts w:hint="eastAsia" w:ascii="宋体" w:hAnsi="宋体" w:eastAsia="宋体" w:cs="宋体"/>
          <w:b w:val="0"/>
          <w:bCs/>
          <w:sz w:val="24"/>
          <w:lang w:val="zh-CN"/>
        </w:rPr>
      </w:pPr>
      <w:r>
        <w:rPr>
          <w:rFonts w:hint="eastAsia" w:ascii="宋体" w:hAnsi="宋体" w:eastAsia="宋体" w:cs="宋体"/>
          <w:b w:val="0"/>
          <w:bCs/>
          <w:sz w:val="24"/>
        </w:rPr>
        <w:t>（2）</w:t>
      </w:r>
      <w:r>
        <w:rPr>
          <w:rFonts w:hint="eastAsia" w:ascii="宋体" w:hAnsi="宋体" w:eastAsia="宋体" w:cs="宋体"/>
          <w:b w:val="0"/>
          <w:bCs/>
          <w:sz w:val="24"/>
          <w:lang w:val="zh-CN"/>
        </w:rPr>
        <w:t>投标产品优惠比例</w:t>
      </w:r>
    </w:p>
    <w:p w14:paraId="76B93C08">
      <w:pPr>
        <w:pageBreakBefore w:val="0"/>
        <w:kinsoku/>
        <w:wordWrap/>
        <w:overflowPunct/>
        <w:topLinePunct w:val="0"/>
        <w:bidi w:val="0"/>
        <w:spacing w:line="460" w:lineRule="exact"/>
        <w:ind w:firstLine="470" w:firstLineChars="196"/>
        <w:textAlignment w:val="auto"/>
        <w:outlineLvl w:val="9"/>
        <w:rPr>
          <w:rFonts w:hint="eastAsia" w:ascii="宋体" w:hAnsi="宋体" w:eastAsia="宋体" w:cs="宋体"/>
          <w:b w:val="0"/>
          <w:bCs/>
          <w:sz w:val="24"/>
          <w:lang w:val="zh-CN"/>
        </w:rPr>
      </w:pPr>
      <w:r>
        <w:rPr>
          <w:rFonts w:hint="eastAsia" w:ascii="宋体" w:hAnsi="宋体" w:eastAsia="宋体" w:cs="宋体"/>
          <w:b w:val="0"/>
          <w:bCs/>
          <w:sz w:val="24"/>
          <w:lang w:val="zh-CN"/>
        </w:rPr>
        <w:t>投标产品为节能、环保、环境标志产品清单中的产品，符合谈判文件要求的，价格给予</w:t>
      </w:r>
      <w:r>
        <w:rPr>
          <w:rFonts w:hint="eastAsia" w:ascii="宋体" w:hAnsi="宋体" w:eastAsia="宋体" w:cs="宋体"/>
          <w:b w:val="0"/>
          <w:bCs/>
          <w:sz w:val="24"/>
          <w:lang w:val="en-US" w:eastAsia="zh-CN"/>
        </w:rPr>
        <w:t>10</w:t>
      </w:r>
      <w:r>
        <w:rPr>
          <w:rFonts w:hint="eastAsia" w:ascii="宋体" w:hAnsi="宋体" w:eastAsia="宋体" w:cs="宋体"/>
          <w:b w:val="0"/>
          <w:bCs/>
          <w:sz w:val="24"/>
          <w:lang w:val="zh-CN"/>
        </w:rPr>
        <w:t>%的扣除（不重复优惠，最高为</w:t>
      </w:r>
      <w:r>
        <w:rPr>
          <w:rFonts w:hint="eastAsia" w:ascii="宋体" w:hAnsi="宋体" w:eastAsia="宋体" w:cs="宋体"/>
          <w:b w:val="0"/>
          <w:bCs/>
          <w:sz w:val="24"/>
          <w:lang w:val="en-US" w:eastAsia="zh-CN"/>
        </w:rPr>
        <w:t>10</w:t>
      </w:r>
      <w:r>
        <w:rPr>
          <w:rFonts w:hint="eastAsia" w:ascii="宋体" w:hAnsi="宋体" w:eastAsia="宋体" w:cs="宋体"/>
          <w:b w:val="0"/>
          <w:bCs/>
          <w:sz w:val="24"/>
          <w:lang w:val="zh-CN"/>
        </w:rPr>
        <w:t>%），用扣除后的价格参与评审。</w:t>
      </w:r>
    </w:p>
    <w:p w14:paraId="36A9950B">
      <w:pPr>
        <w:pageBreakBefore w:val="0"/>
        <w:kinsoku/>
        <w:wordWrap/>
        <w:overflowPunct/>
        <w:topLinePunct w:val="0"/>
        <w:bidi w:val="0"/>
        <w:spacing w:line="460" w:lineRule="exact"/>
        <w:ind w:firstLine="470" w:firstLineChars="196"/>
        <w:textAlignment w:val="auto"/>
        <w:outlineLvl w:val="9"/>
        <w:rPr>
          <w:rFonts w:hint="default"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投标产品</w:t>
      </w:r>
      <w:r>
        <w:rPr>
          <w:rFonts w:hint="eastAsia" w:ascii="宋体" w:hAnsi="宋体" w:eastAsia="宋体" w:cs="Times New Roman"/>
          <w:color w:val="auto"/>
          <w:sz w:val="24"/>
          <w:szCs w:val="24"/>
          <w:lang w:val="en-US" w:eastAsia="zh-CN"/>
        </w:rPr>
        <w:t>符合本国产品标准的，依法对本国产品给予价格评审优惠，对本国产品的报价给予20%的价格扣除，</w:t>
      </w:r>
      <w:r>
        <w:rPr>
          <w:rFonts w:hint="eastAsia" w:ascii="宋体" w:hAnsi="宋体" w:eastAsia="宋体" w:cs="宋体"/>
          <w:b w:val="0"/>
          <w:bCs/>
          <w:color w:val="auto"/>
          <w:sz w:val="24"/>
          <w:lang w:val="zh-CN"/>
        </w:rPr>
        <w:t>用扣除后的价格参与评审。</w:t>
      </w:r>
    </w:p>
    <w:p w14:paraId="6903104E">
      <w:pPr>
        <w:pageBreakBefore w:val="0"/>
        <w:kinsoku/>
        <w:wordWrap/>
        <w:overflowPunct/>
        <w:topLinePunct w:val="0"/>
        <w:bidi w:val="0"/>
        <w:spacing w:line="460" w:lineRule="exact"/>
        <w:ind w:firstLine="470" w:firstLineChars="196"/>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3</w:t>
      </w:r>
      <w:r>
        <w:rPr>
          <w:rFonts w:hint="eastAsia" w:ascii="宋体" w:hAnsi="宋体" w:eastAsia="宋体" w:cs="宋体"/>
          <w:b w:val="0"/>
          <w:bCs w:val="0"/>
          <w:kern w:val="0"/>
          <w:sz w:val="24"/>
          <w:szCs w:val="24"/>
          <w:lang w:eastAsia="zh-CN"/>
        </w:rPr>
        <w:t>）对专门面向中小企业采购项目，不再执行价格扣除政策。</w:t>
      </w:r>
    </w:p>
    <w:p w14:paraId="7C50DDF0">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r>
        <w:rPr>
          <w:rFonts w:hint="eastAsia" w:ascii="宋体" w:hAnsi="宋体" w:eastAsia="宋体" w:cs="宋体"/>
          <w:b w:val="0"/>
          <w:bCs w:val="0"/>
          <w:kern w:val="0"/>
          <w:sz w:val="24"/>
          <w:szCs w:val="24"/>
          <w:lang w:eastAsia="zh-CN"/>
        </w:rPr>
        <w:t>（</w:t>
      </w:r>
      <w:r>
        <w:rPr>
          <w:rFonts w:hint="eastAsia" w:ascii="宋体" w:hAnsi="宋体" w:eastAsia="宋体" w:cs="宋体"/>
          <w:b w:val="0"/>
          <w:bCs w:val="0"/>
          <w:kern w:val="0"/>
          <w:sz w:val="24"/>
          <w:szCs w:val="24"/>
          <w:lang w:val="en-US" w:eastAsia="zh-CN"/>
        </w:rPr>
        <w:t>4</w:t>
      </w:r>
      <w:r>
        <w:rPr>
          <w:rFonts w:hint="eastAsia" w:ascii="宋体" w:hAnsi="宋体" w:eastAsia="宋体" w:cs="宋体"/>
          <w:b w:val="0"/>
          <w:bCs w:val="0"/>
          <w:kern w:val="0"/>
          <w:sz w:val="24"/>
          <w:szCs w:val="24"/>
          <w:lang w:eastAsia="zh-CN"/>
        </w:rPr>
        <w:t>）对非专门面向中小企业采购项目，执行以上价格扣除政策。</w:t>
      </w:r>
    </w:p>
    <w:p w14:paraId="57FB126F">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eastAsia="zh-CN"/>
        </w:rPr>
      </w:pPr>
    </w:p>
    <w:p w14:paraId="1B8FE9AE">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b w:val="0"/>
          <w:bCs w:val="0"/>
          <w:kern w:val="0"/>
          <w:sz w:val="24"/>
          <w:szCs w:val="24"/>
          <w:lang w:val="zh-CN" w:eastAsia="zh-CN"/>
        </w:rPr>
      </w:pPr>
    </w:p>
    <w:p w14:paraId="1670C80E">
      <w:pPr>
        <w:pageBreakBefore w:val="0"/>
        <w:widowControl/>
        <w:numPr>
          <w:ilvl w:val="0"/>
          <w:numId w:val="0"/>
        </w:numPr>
        <w:kinsoku/>
        <w:wordWrap/>
        <w:overflowPunct/>
        <w:topLinePunct w:val="0"/>
        <w:autoSpaceDE/>
        <w:autoSpaceDN/>
        <w:bidi w:val="0"/>
        <w:spacing w:line="312" w:lineRule="auto"/>
        <w:jc w:val="center"/>
        <w:textAlignment w:val="auto"/>
        <w:outlineLvl w:val="9"/>
        <w:rPr>
          <w:rFonts w:hint="eastAsia" w:ascii="宋体" w:hAnsi="宋体" w:eastAsia="宋体" w:cs="宋体"/>
          <w:b/>
          <w:bCs/>
          <w:kern w:val="0"/>
          <w:sz w:val="24"/>
          <w:szCs w:val="24"/>
        </w:rPr>
      </w:pPr>
      <w:bookmarkStart w:id="184" w:name="_Toc23928"/>
      <w:r>
        <w:rPr>
          <w:rFonts w:hint="eastAsia" w:ascii="宋体" w:hAnsi="宋体" w:eastAsia="宋体" w:cs="宋体"/>
          <w:b/>
          <w:bCs/>
          <w:kern w:val="0"/>
          <w:sz w:val="24"/>
          <w:szCs w:val="24"/>
          <w:lang w:eastAsia="zh-CN"/>
        </w:rPr>
        <w:t>九、</w:t>
      </w:r>
      <w:r>
        <w:rPr>
          <w:rFonts w:hint="eastAsia" w:ascii="宋体" w:hAnsi="宋体" w:eastAsia="宋体" w:cs="宋体"/>
          <w:b/>
          <w:bCs/>
          <w:kern w:val="0"/>
          <w:sz w:val="24"/>
          <w:szCs w:val="24"/>
        </w:rPr>
        <w:t>质疑和投诉</w:t>
      </w:r>
      <w:bookmarkEnd w:id="176"/>
      <w:bookmarkEnd w:id="177"/>
      <w:bookmarkEnd w:id="178"/>
      <w:bookmarkEnd w:id="179"/>
      <w:bookmarkEnd w:id="180"/>
      <w:bookmarkEnd w:id="181"/>
      <w:bookmarkEnd w:id="182"/>
      <w:bookmarkEnd w:id="183"/>
      <w:bookmarkEnd w:id="184"/>
    </w:p>
    <w:p w14:paraId="22DF257F">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质疑或投诉的接收和处理应当按照《中华人民共和国政府采购法》及其实施条例、《政府采购质疑和投诉办法</w:t>
      </w:r>
      <w:r>
        <w:rPr>
          <w:rFonts w:hint="eastAsia" w:ascii="宋体" w:hAnsi="宋体" w:eastAsia="宋体" w:cs="宋体"/>
          <w:sz w:val="24"/>
          <w:szCs w:val="24"/>
          <w:lang w:eastAsia="zh-CN"/>
        </w:rPr>
        <w:t>》《</w:t>
      </w:r>
      <w:r>
        <w:rPr>
          <w:rFonts w:hint="eastAsia" w:ascii="宋体" w:hAnsi="宋体" w:eastAsia="宋体" w:cs="宋体"/>
          <w:sz w:val="24"/>
          <w:szCs w:val="24"/>
        </w:rPr>
        <w:t>财政部关于加强政府采购供应商投诉受理审查工作的通知》等的相关规定办理。</w:t>
      </w:r>
    </w:p>
    <w:p w14:paraId="797CA1CF">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2557C683">
      <w:pPr>
        <w:pageBreakBefore w:val="0"/>
        <w:kinsoku/>
        <w:wordWrap/>
        <w:overflowPunct/>
        <w:topLinePunct w:val="0"/>
        <w:autoSpaceDE/>
        <w:autoSpaceDN/>
        <w:bidi w:val="0"/>
        <w:spacing w:line="312" w:lineRule="auto"/>
        <w:ind w:firstLine="240" w:firstLineChars="1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（1）对采购文件提出质疑的，为收到采购文件之日或者采购文件公告期限届满之日；</w:t>
      </w:r>
    </w:p>
    <w:p w14:paraId="666F9965">
      <w:pPr>
        <w:pageBreakBefore w:val="0"/>
        <w:kinsoku/>
        <w:wordWrap/>
        <w:overflowPunct/>
        <w:topLinePunct w:val="0"/>
        <w:autoSpaceDE/>
        <w:autoSpaceDN/>
        <w:bidi w:val="0"/>
        <w:spacing w:line="312" w:lineRule="auto"/>
        <w:ind w:firstLine="240" w:firstLineChars="1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（2）对采购过程提出质疑的，为各采购程序环节结束之日；</w:t>
      </w:r>
    </w:p>
    <w:p w14:paraId="02DA8334">
      <w:pPr>
        <w:pageBreakBefore w:val="0"/>
        <w:kinsoku/>
        <w:wordWrap/>
        <w:overflowPunct/>
        <w:topLinePunct w:val="0"/>
        <w:autoSpaceDE/>
        <w:autoSpaceDN/>
        <w:bidi w:val="0"/>
        <w:spacing w:line="312" w:lineRule="auto"/>
        <w:ind w:firstLine="240" w:firstLineChars="1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（3）对中标或者成交结果提出质疑的，为中标或者成交结果公告期限届满之日。</w:t>
      </w:r>
    </w:p>
    <w:p w14:paraId="7B16FE84">
      <w:pPr>
        <w:pageBreakBefore w:val="0"/>
        <w:kinsoku/>
        <w:wordWrap/>
        <w:overflowPunct/>
        <w:topLinePunct w:val="0"/>
        <w:autoSpaceDE/>
        <w:autoSpaceDN/>
        <w:bidi w:val="0"/>
        <w:spacing w:line="312" w:lineRule="auto"/>
        <w:ind w:firstLine="240" w:firstLineChars="1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供应商应当在法定质疑期内一次性提出针对同一采购程序环节的质疑。</w:t>
      </w:r>
    </w:p>
    <w:p w14:paraId="7096E41E">
      <w:pPr>
        <w:pageBreakBefore w:val="0"/>
        <w:kinsoku/>
        <w:wordWrap/>
        <w:overflowPunct/>
        <w:topLinePunct w:val="0"/>
        <w:autoSpaceDE/>
        <w:autoSpaceDN/>
        <w:bidi w:val="0"/>
        <w:spacing w:line="312" w:lineRule="auto"/>
        <w:ind w:firstLine="240" w:firstLineChars="1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default" w:ascii="宋体" w:hAnsi="宋体" w:eastAsia="宋体" w:cs="宋体"/>
          <w:sz w:val="24"/>
          <w:szCs w:val="24"/>
        </w:rPr>
        <w:t>.</w:t>
      </w:r>
      <w:r>
        <w:rPr>
          <w:rFonts w:hint="eastAsia" w:ascii="宋体" w:hAnsi="宋体" w:eastAsia="宋体" w:cs="宋体"/>
          <w:sz w:val="24"/>
          <w:szCs w:val="24"/>
        </w:rPr>
        <w:t>质疑函应当包括下列主要内容：</w:t>
      </w:r>
    </w:p>
    <w:p w14:paraId="170222F6">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33BB852B">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（2）质疑项目的名称、编号；</w:t>
      </w:r>
    </w:p>
    <w:p w14:paraId="611BA42C">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4C085C16">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（4）事实依据；</w:t>
      </w:r>
    </w:p>
    <w:p w14:paraId="06BCA5F4">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（5）必要的法律依据；</w:t>
      </w:r>
    </w:p>
    <w:p w14:paraId="588CDE7F">
      <w:pPr>
        <w:pageBreakBefore w:val="0"/>
        <w:kinsoku/>
        <w:wordWrap/>
        <w:overflowPunct/>
        <w:topLinePunct w:val="0"/>
        <w:autoSpaceDE/>
        <w:autoSpaceDN/>
        <w:bidi w:val="0"/>
        <w:spacing w:line="312" w:lineRule="auto"/>
        <w:ind w:firstLine="360" w:firstLineChars="15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（6）提出质疑的日期。</w:t>
      </w:r>
    </w:p>
    <w:p w14:paraId="3CA0FE31">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default" w:ascii="宋体" w:hAnsi="宋体" w:eastAsia="宋体" w:cs="宋体"/>
          <w:sz w:val="24"/>
          <w:szCs w:val="24"/>
        </w:rPr>
        <w:t>.</w:t>
      </w:r>
      <w:r>
        <w:rPr>
          <w:rFonts w:hint="eastAsia" w:ascii="宋体" w:hAnsi="宋体" w:eastAsia="宋体" w:cs="宋体"/>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356D6D64">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w:t>
      </w:r>
      <w:r>
        <w:rPr>
          <w:rFonts w:hint="default" w:ascii="宋体" w:hAnsi="宋体" w:eastAsia="宋体" w:cs="宋体"/>
          <w:sz w:val="24"/>
          <w:szCs w:val="24"/>
        </w:rPr>
        <w:t>.</w:t>
      </w:r>
      <w:r>
        <w:rPr>
          <w:rFonts w:hint="eastAsia" w:ascii="宋体" w:hAnsi="宋体" w:eastAsia="宋体" w:cs="宋体"/>
          <w:sz w:val="24"/>
          <w:szCs w:val="24"/>
        </w:rPr>
        <w:t>质疑函内容不得含有虚假、恶意</w:t>
      </w:r>
      <w:r>
        <w:rPr>
          <w:rFonts w:hint="eastAsia" w:ascii="宋体" w:hAnsi="宋体" w:eastAsia="宋体" w:cs="宋体"/>
          <w:sz w:val="24"/>
          <w:szCs w:val="24"/>
          <w:lang w:eastAsia="zh-CN"/>
        </w:rPr>
        <w:t>成分</w:t>
      </w:r>
      <w:r>
        <w:rPr>
          <w:rFonts w:hint="eastAsia" w:ascii="宋体" w:hAnsi="宋体" w:eastAsia="宋体" w:cs="宋体"/>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w:t>
      </w:r>
      <w:r>
        <w:rPr>
          <w:rFonts w:hint="eastAsia" w:ascii="宋体" w:hAnsi="宋体" w:eastAsia="宋体" w:cs="宋体"/>
          <w:sz w:val="24"/>
          <w:szCs w:val="24"/>
          <w:lang w:eastAsia="zh-CN"/>
        </w:rPr>
        <w:t>滥用职权</w:t>
      </w:r>
      <w:r>
        <w:rPr>
          <w:rFonts w:hint="eastAsia" w:ascii="宋体" w:hAnsi="宋体" w:eastAsia="宋体" w:cs="宋体"/>
          <w:sz w:val="24"/>
          <w:szCs w:val="24"/>
        </w:rPr>
        <w:t>扰乱采购秩序的恶意质疑者，采购人、采购代理机构应当依法驳回。</w:t>
      </w:r>
    </w:p>
    <w:p w14:paraId="4F0E9281">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w:t>
      </w:r>
      <w:r>
        <w:rPr>
          <w:rFonts w:hint="default" w:ascii="宋体" w:hAnsi="宋体" w:eastAsia="宋体" w:cs="宋体"/>
          <w:sz w:val="24"/>
          <w:szCs w:val="24"/>
        </w:rPr>
        <w:t>.</w:t>
      </w:r>
      <w:r>
        <w:rPr>
          <w:rFonts w:hint="eastAsia" w:ascii="宋体" w:hAnsi="宋体" w:eastAsia="宋体" w:cs="宋体"/>
          <w:sz w:val="24"/>
          <w:szCs w:val="24"/>
        </w:rPr>
        <w:t>质疑函接收方式：</w:t>
      </w:r>
      <w:r>
        <w:rPr>
          <w:rFonts w:ascii="宋体" w:hAnsi="宋体" w:eastAsia="宋体" w:cs="宋体"/>
          <w:color w:val="auto"/>
          <w:sz w:val="24"/>
          <w:szCs w:val="24"/>
        </w:rPr>
        <w:t>接受</w:t>
      </w:r>
      <w:r>
        <w:rPr>
          <w:rStyle w:val="45"/>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sz w:val="24"/>
          <w:szCs w:val="24"/>
        </w:rPr>
        <w:t xml:space="preserve">。 </w:t>
      </w:r>
    </w:p>
    <w:p w14:paraId="2FD2FB8C">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7</w:t>
      </w:r>
      <w:r>
        <w:rPr>
          <w:rFonts w:hint="default" w:ascii="宋体" w:hAnsi="宋体" w:eastAsia="宋体" w:cs="宋体"/>
          <w:sz w:val="24"/>
          <w:szCs w:val="24"/>
        </w:rPr>
        <w:t>.</w:t>
      </w:r>
      <w:r>
        <w:rPr>
          <w:rFonts w:hint="eastAsia" w:ascii="宋体" w:hAnsi="宋体" w:eastAsia="宋体" w:cs="宋体"/>
          <w:sz w:val="24"/>
          <w:szCs w:val="24"/>
        </w:rPr>
        <w:t>质疑受理部门：安康尚昊招标代理有限公司</w:t>
      </w:r>
    </w:p>
    <w:p w14:paraId="260182FA">
      <w:pPr>
        <w:pageBreakBefore w:val="0"/>
        <w:kinsoku/>
        <w:wordWrap/>
        <w:overflowPunct/>
        <w:topLinePunct w:val="0"/>
        <w:autoSpaceDE/>
        <w:autoSpaceDN/>
        <w:bidi w:val="0"/>
        <w:spacing w:line="312" w:lineRule="auto"/>
        <w:ind w:firstLine="480" w:firstLineChars="200"/>
        <w:jc w:val="left"/>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rPr>
        <w:t xml:space="preserve">   质疑受理电话：</w:t>
      </w:r>
      <w:r>
        <w:rPr>
          <w:rFonts w:hint="eastAsia" w:ascii="宋体" w:hAnsi="宋体" w:eastAsia="宋体" w:cs="宋体"/>
          <w:sz w:val="24"/>
          <w:szCs w:val="24"/>
          <w:lang w:val="en-US" w:eastAsia="zh-CN"/>
        </w:rPr>
        <w:t>13991519725</w:t>
      </w:r>
    </w:p>
    <w:p w14:paraId="1ED965F0">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8</w:t>
      </w:r>
      <w:r>
        <w:rPr>
          <w:rFonts w:hint="default" w:ascii="宋体" w:hAnsi="宋体" w:eastAsia="宋体" w:cs="宋体"/>
          <w:sz w:val="24"/>
          <w:szCs w:val="24"/>
        </w:rPr>
        <w:t>.</w:t>
      </w:r>
      <w:r>
        <w:rPr>
          <w:rFonts w:hint="eastAsia" w:ascii="宋体" w:hAnsi="宋体" w:eastAsia="宋体" w:cs="宋体"/>
          <w:sz w:val="24"/>
          <w:szCs w:val="24"/>
        </w:rPr>
        <w:t>提交质疑函地点：</w:t>
      </w:r>
      <w:r>
        <w:rPr>
          <w:rFonts w:hint="eastAsia" w:ascii="宋体" w:hAnsi="宋体" w:eastAsia="宋体" w:cs="宋体"/>
          <w:sz w:val="24"/>
          <w:szCs w:val="24"/>
          <w:lang w:eastAsia="zh-CN"/>
        </w:rPr>
        <w:t>安康市高新区高新观澜8幢2单元801室</w:t>
      </w:r>
    </w:p>
    <w:p w14:paraId="184EC26B">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9</w:t>
      </w:r>
      <w:r>
        <w:rPr>
          <w:rFonts w:hint="default" w:ascii="宋体" w:hAnsi="宋体" w:eastAsia="宋体" w:cs="宋体"/>
          <w:sz w:val="24"/>
          <w:szCs w:val="24"/>
        </w:rPr>
        <w:t>.</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5"/>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sz w:val="24"/>
          <w:szCs w:val="24"/>
        </w:rPr>
        <w:t>。</w:t>
      </w:r>
    </w:p>
    <w:p w14:paraId="6BA0A473">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如所质疑的问题比较复杂，采购人或者采购代理机构在规定的答复时间内无法回复，应事先告知提出质疑的供应商，同时向同级政府采购监督管理部门报告。</w:t>
      </w:r>
    </w:p>
    <w:p w14:paraId="765ECEDE">
      <w:pPr>
        <w:pageBreakBefore w:val="0"/>
        <w:kinsoku/>
        <w:wordWrap/>
        <w:overflowPunct/>
        <w:topLinePunct w:val="0"/>
        <w:autoSpaceDE/>
        <w:autoSpaceDN/>
        <w:bidi w:val="0"/>
        <w:spacing w:line="312"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10</w:t>
      </w:r>
      <w:r>
        <w:rPr>
          <w:rFonts w:hint="default" w:ascii="宋体" w:hAnsi="宋体" w:eastAsia="宋体" w:cs="宋体"/>
          <w:sz w:val="24"/>
          <w:szCs w:val="24"/>
        </w:rPr>
        <w:t>.</w:t>
      </w:r>
      <w:r>
        <w:rPr>
          <w:rFonts w:hint="eastAsia" w:ascii="宋体" w:hAnsi="宋体" w:eastAsia="宋体" w:cs="宋体"/>
          <w:sz w:val="24"/>
          <w:szCs w:val="24"/>
        </w:rPr>
        <w:t>质疑供应商对采购人、采购代理机构的答复不满意，或者采购人、采购代理机构未在规定的时间内作出答复的，可以在答复期满后15个工作日内向采购人的同级政府采购监督管理部门投诉。</w:t>
      </w:r>
    </w:p>
    <w:p w14:paraId="673899C2">
      <w:pPr>
        <w:pageBreakBefore w:val="0"/>
        <w:kinsoku/>
        <w:wordWrap/>
        <w:overflowPunct/>
        <w:topLinePunct w:val="0"/>
        <w:autoSpaceDE/>
        <w:autoSpaceDN/>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11</w:t>
      </w:r>
      <w:r>
        <w:rPr>
          <w:rFonts w:hint="default" w:ascii="宋体" w:hAnsi="宋体" w:eastAsia="宋体" w:cs="宋体"/>
          <w:sz w:val="24"/>
          <w:szCs w:val="24"/>
        </w:rPr>
        <w:t>.</w:t>
      </w:r>
      <w:r>
        <w:rPr>
          <w:rFonts w:hint="eastAsia" w:ascii="宋体" w:hAnsi="宋体" w:eastAsia="宋体" w:cs="宋体"/>
          <w:sz w:val="24"/>
          <w:szCs w:val="24"/>
        </w:rPr>
        <w:t>质疑函应当使用中文。</w:t>
      </w:r>
    </w:p>
    <w:p w14:paraId="283B8AB6">
      <w:pPr>
        <w:pageBreakBefore w:val="0"/>
        <w:kinsoku/>
        <w:wordWrap/>
        <w:overflowPunct/>
        <w:topLinePunct w:val="0"/>
        <w:bidi w:val="0"/>
        <w:spacing w:line="312" w:lineRule="auto"/>
        <w:jc w:val="center"/>
        <w:textAlignment w:val="auto"/>
        <w:outlineLvl w:val="9"/>
        <w:rPr>
          <w:rFonts w:hint="eastAsia" w:ascii="宋体" w:hAnsi="宋体" w:eastAsia="宋体" w:cs="宋体"/>
          <w:b/>
          <w:bCs/>
          <w:sz w:val="24"/>
          <w:szCs w:val="24"/>
        </w:rPr>
      </w:pPr>
      <w:bookmarkStart w:id="185" w:name="_Toc23316692"/>
      <w:bookmarkStart w:id="186" w:name="_Toc23316530"/>
      <w:bookmarkStart w:id="187" w:name="_Toc23278"/>
      <w:bookmarkStart w:id="188" w:name="_Toc18412209"/>
      <w:bookmarkStart w:id="189" w:name="_Toc35335266"/>
      <w:bookmarkStart w:id="190" w:name="_Toc14189284"/>
      <w:bookmarkStart w:id="191" w:name="_Toc10640"/>
      <w:bookmarkStart w:id="192" w:name="_Toc14189417"/>
      <w:bookmarkStart w:id="193" w:name="_Toc23315670"/>
      <w:bookmarkStart w:id="194" w:name="_Toc29452"/>
      <w:bookmarkStart w:id="195" w:name="_Toc23316594"/>
      <w:bookmarkStart w:id="196" w:name="_Toc27377"/>
      <w:r>
        <w:rPr>
          <w:rFonts w:hint="eastAsia" w:ascii="宋体" w:hAnsi="宋体" w:eastAsia="宋体" w:cs="宋体"/>
          <w:b/>
          <w:bCs/>
          <w:sz w:val="24"/>
          <w:szCs w:val="24"/>
          <w:lang w:eastAsia="zh-CN"/>
        </w:rPr>
        <w:t>十、</w:t>
      </w:r>
      <w:r>
        <w:rPr>
          <w:rFonts w:hint="eastAsia" w:ascii="宋体" w:hAnsi="宋体" w:eastAsia="宋体" w:cs="宋体"/>
          <w:b/>
          <w:bCs/>
          <w:sz w:val="24"/>
          <w:szCs w:val="24"/>
        </w:rPr>
        <w:t>其他</w:t>
      </w:r>
      <w:bookmarkEnd w:id="185"/>
      <w:bookmarkEnd w:id="186"/>
      <w:bookmarkEnd w:id="187"/>
      <w:bookmarkEnd w:id="188"/>
      <w:bookmarkEnd w:id="189"/>
      <w:bookmarkEnd w:id="190"/>
      <w:bookmarkEnd w:id="191"/>
      <w:bookmarkEnd w:id="192"/>
      <w:bookmarkEnd w:id="193"/>
      <w:bookmarkEnd w:id="194"/>
      <w:bookmarkEnd w:id="195"/>
      <w:bookmarkEnd w:id="196"/>
    </w:p>
    <w:p w14:paraId="22E4B4CE">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（一）第一次公告后，谈判过程中出现下列情况之一的，按谈判失败处理：</w:t>
      </w:r>
    </w:p>
    <w:p w14:paraId="58144793">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因情况变化，不再符合规定的竞争</w:t>
      </w:r>
      <w:r>
        <w:rPr>
          <w:rFonts w:hint="eastAsia" w:ascii="宋体" w:hAnsi="宋体" w:eastAsia="宋体" w:cs="宋体"/>
          <w:sz w:val="24"/>
          <w:szCs w:val="24"/>
          <w:lang w:eastAsia="zh-CN"/>
        </w:rPr>
        <w:t>谈判</w:t>
      </w:r>
      <w:r>
        <w:rPr>
          <w:rFonts w:hint="eastAsia" w:ascii="宋体" w:hAnsi="宋体" w:eastAsia="宋体" w:cs="宋体"/>
          <w:sz w:val="24"/>
          <w:szCs w:val="24"/>
        </w:rPr>
        <w:t>采购方式适用情形的；</w:t>
      </w:r>
    </w:p>
    <w:p w14:paraId="53559055">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出现影响采购公正的违法、违规行为的；</w:t>
      </w:r>
    </w:p>
    <w:p w14:paraId="1105858E">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default" w:ascii="宋体" w:hAnsi="宋体" w:eastAsia="宋体" w:cs="宋体"/>
          <w:sz w:val="24"/>
          <w:szCs w:val="24"/>
        </w:rPr>
        <w:t>.</w:t>
      </w:r>
      <w:r>
        <w:rPr>
          <w:rFonts w:hint="eastAsia" w:ascii="宋体" w:hAnsi="宋体" w:eastAsia="宋体" w:cs="宋体"/>
          <w:sz w:val="24"/>
          <w:szCs w:val="24"/>
        </w:rPr>
        <w:t>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05872A0">
      <w:pPr>
        <w:pageBreakBefore w:val="0"/>
        <w:kinsoku/>
        <w:wordWrap/>
        <w:overflowPunct/>
        <w:topLinePunct w:val="0"/>
        <w:bidi w:val="0"/>
        <w:spacing w:line="312"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default" w:ascii="宋体" w:hAnsi="宋体" w:eastAsia="宋体" w:cs="宋体"/>
          <w:sz w:val="24"/>
          <w:szCs w:val="24"/>
        </w:rPr>
        <w:t>.</w:t>
      </w:r>
      <w:r>
        <w:rPr>
          <w:rFonts w:hint="eastAsia" w:ascii="宋体" w:hAnsi="宋体" w:eastAsia="宋体" w:cs="宋体"/>
          <w:sz w:val="24"/>
          <w:szCs w:val="24"/>
        </w:rPr>
        <w:t>因重大变故，采购任务取消的。</w:t>
      </w:r>
    </w:p>
    <w:p w14:paraId="3B74FA19">
      <w:pPr>
        <w:pageBreakBefore w:val="0"/>
        <w:kinsoku/>
        <w:wordWrap/>
        <w:overflowPunct/>
        <w:topLinePunct w:val="0"/>
        <w:bidi w:val="0"/>
        <w:spacing w:line="312" w:lineRule="auto"/>
        <w:ind w:firstLine="480" w:firstLineChars="200"/>
        <w:textAlignment w:val="auto"/>
        <w:outlineLvl w:val="9"/>
        <w:rPr>
          <w:rFonts w:hint="eastAsia" w:ascii="宋体" w:hAnsi="宋体" w:eastAsia="宋体"/>
        </w:rPr>
        <w:sectPr>
          <w:pgSz w:w="11905" w:h="16838"/>
          <w:pgMar w:top="1304" w:right="1304" w:bottom="1304" w:left="1304" w:header="964" w:footer="1020" w:gutter="0"/>
          <w:pgNumType w:fmt="decimal"/>
          <w:cols w:space="0" w:num="1"/>
          <w:rtlGutter w:val="0"/>
          <w:docGrid w:type="lines" w:linePitch="395" w:charSpace="0"/>
        </w:sectPr>
      </w:pPr>
      <w:r>
        <w:rPr>
          <w:rFonts w:hint="eastAsia" w:ascii="宋体" w:hAnsi="宋体" w:eastAsia="宋体" w:cs="宋体"/>
          <w:sz w:val="24"/>
          <w:szCs w:val="24"/>
        </w:rPr>
        <w:t>谈判失败后，除采购任务取消外，将重新组织采购。</w:t>
      </w:r>
    </w:p>
    <w:bookmarkEnd w:id="28"/>
    <w:p w14:paraId="236DBE23">
      <w:pPr>
        <w:pStyle w:val="2"/>
        <w:keepNext/>
        <w:keepLines/>
        <w:pageBreakBefore w:val="0"/>
        <w:widowControl/>
        <w:numPr>
          <w:ilvl w:val="0"/>
          <w:numId w:val="2"/>
        </w:numPr>
        <w:kinsoku/>
        <w:wordWrap/>
        <w:overflowPunct/>
        <w:topLinePunct w:val="0"/>
        <w:autoSpaceDE/>
        <w:autoSpaceDN/>
        <w:bidi w:val="0"/>
        <w:adjustRightInd/>
        <w:snapToGrid/>
        <w:spacing w:before="192" w:beforeLines="50" w:after="192" w:afterLines="50" w:line="480" w:lineRule="exact"/>
        <w:textAlignment w:val="auto"/>
        <w:rPr>
          <w:rFonts w:hint="eastAsia" w:ascii="宋体" w:hAnsi="宋体" w:eastAsia="宋体"/>
          <w:color w:val="auto"/>
          <w:sz w:val="36"/>
          <w:szCs w:val="36"/>
          <w:highlight w:val="none"/>
        </w:rPr>
      </w:pPr>
      <w:r>
        <w:rPr>
          <w:rFonts w:hint="eastAsia" w:ascii="宋体" w:hAnsi="宋体" w:eastAsia="宋体"/>
          <w:color w:val="auto"/>
          <w:sz w:val="32"/>
          <w:szCs w:val="32"/>
          <w:highlight w:val="none"/>
        </w:rPr>
        <w:t xml:space="preserve"> </w:t>
      </w:r>
      <w:bookmarkStart w:id="197" w:name="_Toc27549"/>
      <w:bookmarkStart w:id="198" w:name="_Toc21956"/>
      <w:r>
        <w:rPr>
          <w:rFonts w:hint="eastAsia" w:ascii="宋体" w:hAnsi="宋体" w:eastAsia="宋体"/>
          <w:color w:val="auto"/>
          <w:sz w:val="36"/>
          <w:szCs w:val="36"/>
          <w:highlight w:val="none"/>
        </w:rPr>
        <w:t>谈判内容及要求</w:t>
      </w:r>
      <w:bookmarkEnd w:id="197"/>
      <w:bookmarkEnd w:id="198"/>
    </w:p>
    <w:bookmarkEnd w:id="29"/>
    <w:bookmarkEnd w:id="30"/>
    <w:bookmarkEnd w:id="31"/>
    <w:bookmarkEnd w:id="32"/>
    <w:bookmarkEnd w:id="33"/>
    <w:bookmarkEnd w:id="34"/>
    <w:bookmarkEnd w:id="35"/>
    <w:bookmarkEnd w:id="36"/>
    <w:bookmarkEnd w:id="37"/>
    <w:p w14:paraId="79249A27">
      <w:pPr>
        <w:keepNext w:val="0"/>
        <w:keepLines w:val="0"/>
        <w:pageBreakBefore w:val="0"/>
        <w:kinsoku/>
        <w:wordWrap/>
        <w:overflowPunct/>
        <w:topLinePunct w:val="0"/>
        <w:bidi w:val="0"/>
        <w:spacing w:line="460" w:lineRule="exact"/>
        <w:ind w:left="0"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一、项目概况</w:t>
      </w:r>
    </w:p>
    <w:p w14:paraId="1C3DCE11">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安康市中心血站献血服务食品采购项目</w:t>
      </w:r>
    </w:p>
    <w:p w14:paraId="3754EB32">
      <w:pPr>
        <w:keepNext w:val="0"/>
        <w:keepLines w:val="0"/>
        <w:pageBreakBefore w:val="0"/>
        <w:kinsoku/>
        <w:wordWrap/>
        <w:overflowPunct/>
        <w:topLinePunct w:val="0"/>
        <w:bidi w:val="0"/>
        <w:spacing w:line="460" w:lineRule="exact"/>
        <w:ind w:left="0" w:firstLine="480" w:firstLineChars="200"/>
        <w:jc w:val="left"/>
        <w:textAlignment w:val="auto"/>
        <w:rPr>
          <w:rFonts w:ascii="宋体" w:hAnsi="宋体" w:eastAsia="宋体" w:cs="宋体"/>
          <w:sz w:val="24"/>
          <w:szCs w:val="24"/>
        </w:rPr>
      </w:pPr>
      <w:r>
        <w:rPr>
          <w:rFonts w:ascii="宋体" w:hAnsi="宋体" w:eastAsia="宋体" w:cs="宋体"/>
          <w:sz w:val="24"/>
          <w:szCs w:val="24"/>
        </w:rPr>
        <w:t>为接续献血一线慰问物资供应，改善献血者配套餐食品类偏少的问题，拟实施献血补给零食定点采购。年度采购经费 12 万元，拓宽饮品、休闲小食品种类，优化献血后勤保障服务质量。</w:t>
      </w:r>
    </w:p>
    <w:p w14:paraId="4A506B10">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2" w:firstLineChars="200"/>
        <w:jc w:val="both"/>
        <w:textAlignment w:val="auto"/>
        <w:rPr>
          <w:rFonts w:hint="eastAsia" w:ascii="Calibri" w:hAnsi="宋体" w:eastAsia="宋体" w:cs="Calibri"/>
          <w:b/>
          <w:bCs/>
          <w:sz w:val="24"/>
          <w:szCs w:val="21"/>
        </w:rPr>
      </w:pPr>
      <w:r>
        <w:rPr>
          <w:rFonts w:hint="eastAsia" w:ascii="宋体" w:hAnsi="宋体" w:eastAsia="宋体" w:cs="宋体"/>
          <w:b/>
          <w:bCs/>
          <w:color w:val="auto"/>
          <w:sz w:val="24"/>
          <w:szCs w:val="24"/>
        </w:rPr>
        <w:t>二、</w:t>
      </w:r>
      <w:r>
        <w:rPr>
          <w:rFonts w:hint="eastAsia" w:ascii="Calibri" w:hAnsi="宋体" w:eastAsia="宋体" w:cs="Calibri"/>
          <w:b/>
          <w:bCs/>
          <w:sz w:val="24"/>
          <w:szCs w:val="21"/>
          <w:lang w:val="en-US" w:eastAsia="zh-CN"/>
        </w:rPr>
        <w:t>采购清单</w:t>
      </w:r>
      <w:r>
        <w:rPr>
          <w:rFonts w:hint="eastAsia" w:ascii="Calibri" w:hAnsi="宋体" w:eastAsia="宋体" w:cs="Calibri"/>
          <w:b/>
          <w:bCs/>
          <w:sz w:val="24"/>
          <w:szCs w:val="21"/>
        </w:rPr>
        <w:t>：</w:t>
      </w:r>
    </w:p>
    <w:tbl>
      <w:tblPr>
        <w:tblStyle w:val="42"/>
        <w:tblW w:w="87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19"/>
        <w:gridCol w:w="1943"/>
        <w:gridCol w:w="2245"/>
        <w:gridCol w:w="1775"/>
        <w:gridCol w:w="1775"/>
      </w:tblGrid>
      <w:tr w14:paraId="2B96A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8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C5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物品名称</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5EA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规格/技术要求</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3A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eastAsia="zh-CN"/>
              </w:rPr>
              <w:t>单价最高</w:t>
            </w:r>
            <w:r>
              <w:rPr>
                <w:rFonts w:hint="eastAsia" w:ascii="宋体" w:hAnsi="宋体" w:eastAsia="宋体" w:cs="宋体"/>
                <w:b/>
                <w:bCs/>
                <w:i w:val="0"/>
                <w:iCs w:val="0"/>
                <w:color w:val="000000"/>
                <w:sz w:val="24"/>
                <w:szCs w:val="24"/>
                <w:u w:val="none"/>
                <w:lang w:val="en-US" w:eastAsia="zh-CN"/>
              </w:rPr>
              <w:t>限价</w:t>
            </w:r>
          </w:p>
          <w:p w14:paraId="57FB8D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eastAsia="zh-CN"/>
              </w:rPr>
              <w:t>（</w:t>
            </w:r>
            <w:r>
              <w:rPr>
                <w:rFonts w:hint="eastAsia" w:ascii="宋体" w:hAnsi="宋体" w:eastAsia="宋体" w:cs="宋体"/>
                <w:b/>
                <w:bCs/>
                <w:i w:val="0"/>
                <w:iCs w:val="0"/>
                <w:color w:val="000000"/>
                <w:sz w:val="24"/>
                <w:szCs w:val="24"/>
                <w:u w:val="none"/>
                <w:lang w:val="en-US" w:eastAsia="zh-CN"/>
              </w:rPr>
              <w:t>元</w:t>
            </w:r>
            <w:r>
              <w:rPr>
                <w:rFonts w:hint="eastAsia" w:ascii="宋体" w:hAnsi="宋体" w:eastAsia="宋体" w:cs="宋体"/>
                <w:b/>
                <w:bCs/>
                <w:i w:val="0"/>
                <w:iCs w:val="0"/>
                <w:color w:val="000000"/>
                <w:sz w:val="24"/>
                <w:szCs w:val="24"/>
                <w:u w:val="none"/>
                <w:lang w:eastAsia="zh-CN"/>
              </w:rPr>
              <w:t>）</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8A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备注</w:t>
            </w:r>
          </w:p>
        </w:tc>
      </w:tr>
      <w:tr w14:paraId="1787D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EE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98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果汁</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D685">
            <w:pPr>
              <w:pStyle w:val="151"/>
              <w:keepNext w:val="0"/>
              <w:keepLines w:val="0"/>
              <w:widowControl/>
              <w:numPr>
                <w:ilvl w:val="0"/>
                <w:numId w:val="0"/>
              </w:numPr>
              <w:suppressLineNumbers w:val="0"/>
              <w:spacing w:beforeAutospacing="0" w:afterAutospacing="0"/>
              <w:ind w:left="288" w:leftChars="0" w:right="0" w:rightChars="0" w:hanging="288" w:firstLineChars="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2"/>
                <w:sz w:val="24"/>
                <w:szCs w:val="24"/>
                <w:u w:val="none"/>
                <w:lang w:val="en-US" w:eastAsia="zh-CN" w:bidi="ar-SA"/>
              </w:rPr>
              <w:t>250ml</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666E">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1.5元/瓶</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773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p>
        </w:tc>
      </w:tr>
      <w:tr w14:paraId="37CA6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4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C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酸酸乳</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973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2"/>
                <w:sz w:val="24"/>
                <w:szCs w:val="24"/>
                <w:u w:val="none"/>
                <w:lang w:val="en-US" w:eastAsia="zh-CN" w:bidi="ar-SA"/>
              </w:rPr>
              <w:t>250ml</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49601">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1.6元/瓶</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E0B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p>
        </w:tc>
      </w:tr>
      <w:tr w14:paraId="3480B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80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C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纯牛奶</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F8C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2"/>
                <w:sz w:val="24"/>
                <w:szCs w:val="24"/>
                <w:u w:val="none"/>
                <w:lang w:val="en-US" w:eastAsia="zh-CN" w:bidi="ar-SA"/>
              </w:rPr>
              <w:t>250ml</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90F9">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2.5元/瓶</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A79E">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核心产品</w:t>
            </w:r>
          </w:p>
        </w:tc>
      </w:tr>
      <w:tr w14:paraId="6CAAB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37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B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面包</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6B196">
            <w:pPr>
              <w:pStyle w:val="151"/>
              <w:keepNext w:val="0"/>
              <w:keepLines w:val="0"/>
              <w:widowControl/>
              <w:numPr>
                <w:ilvl w:val="0"/>
                <w:numId w:val="0"/>
              </w:numPr>
              <w:suppressLineNumbers w:val="0"/>
              <w:spacing w:beforeAutospacing="0" w:afterAutospacing="0"/>
              <w:ind w:left="0" w:leftChars="0" w:right="0" w:rightChars="0" w:firstLine="0" w:firstLineChars="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按斤称重</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FF33">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18元/斤</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D79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核心产品</w:t>
            </w:r>
          </w:p>
        </w:tc>
      </w:tr>
      <w:tr w14:paraId="555C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10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D0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9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C53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散装零食</w:t>
            </w:r>
          </w:p>
        </w:tc>
        <w:tc>
          <w:tcPr>
            <w:tcW w:w="2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4A2A">
            <w:pPr>
              <w:pStyle w:val="151"/>
              <w:keepNext w:val="0"/>
              <w:keepLines w:val="0"/>
              <w:widowControl/>
              <w:numPr>
                <w:ilvl w:val="0"/>
                <w:numId w:val="0"/>
              </w:numPr>
              <w:suppressLineNumbers w:val="0"/>
              <w:spacing w:beforeAutospacing="0" w:afterAutospacing="0"/>
              <w:ind w:left="0" w:leftChars="0" w:right="0" w:rightChars="0" w:firstLine="0" w:firstLineChars="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按斤称重</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26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22元/斤</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585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rPr>
            </w:pPr>
          </w:p>
        </w:tc>
      </w:tr>
      <w:tr w14:paraId="550CB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875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AB2C">
            <w:pPr>
              <w:keepNext w:val="0"/>
              <w:keepLines w:val="0"/>
              <w:widowControl/>
              <w:suppressLineNumbers w:val="0"/>
              <w:spacing w:before="0" w:beforeAutospacing="0" w:after="0" w:afterAutospacing="0"/>
              <w:ind w:left="0" w:right="0"/>
              <w:jc w:val="center"/>
              <w:rPr>
                <w:rFonts w:hint="default" w:ascii="宋体" w:hAnsi="宋体" w:eastAsia="宋体" w:cs="宋体"/>
                <w:i w:val="0"/>
                <w:iCs w:val="0"/>
                <w:color w:val="000000"/>
                <w:sz w:val="24"/>
                <w:szCs w:val="24"/>
                <w:u w:val="none"/>
                <w:lang w:val="en-US" w:eastAsia="zh-CN"/>
              </w:rPr>
            </w:pPr>
            <w:r>
              <w:rPr>
                <w:rFonts w:hint="default" w:ascii="宋体" w:hAnsi="宋体" w:eastAsia="宋体" w:cs="宋体"/>
                <w:sz w:val="24"/>
                <w:szCs w:val="24"/>
              </w:rPr>
              <w:t>单价总计：人民币 45.6 元（大写：人民币肆拾伍元陆角整）</w:t>
            </w:r>
          </w:p>
        </w:tc>
      </w:tr>
    </w:tbl>
    <w:p w14:paraId="38E068DB">
      <w:pPr>
        <w:keepNext w:val="0"/>
        <w:keepLines w:val="0"/>
        <w:pageBreakBefore w:val="0"/>
        <w:kinsoku/>
        <w:wordWrap/>
        <w:overflowPunct/>
        <w:topLinePunct w:val="0"/>
        <w:autoSpaceDE/>
        <w:autoSpaceDN/>
        <w:bidi w:val="0"/>
        <w:spacing w:line="460" w:lineRule="exact"/>
        <w:ind w:lef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采购要求</w:t>
      </w:r>
    </w:p>
    <w:p w14:paraId="5DEB19CD">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ascii="宋体" w:hAnsi="宋体" w:eastAsia="宋体" w:cs="宋体"/>
          <w:sz w:val="24"/>
          <w:szCs w:val="24"/>
        </w:rPr>
        <w:t>所有供货食品必须符合《中华人民共和国食品安全法》及国家现行对应的食品安全国家标准，产品为正规厂家生产的合格产品，严禁供货三无产品、假冒伪劣产品。</w:t>
      </w:r>
    </w:p>
    <w:p w14:paraId="2B2F6648">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2.包装外观质量 </w:t>
      </w:r>
    </w:p>
    <w:p w14:paraId="1502D798">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预包装饮品（果汁、酸酸乳、纯牛奶）：外包装完整洁净，无胀包、漏液、破袋、压损、开封痕迹，印刷标识清晰完整。</w:t>
      </w:r>
    </w:p>
    <w:p w14:paraId="669046DE">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面包：包装完好，无破损、霉变、塌陷，无</w:t>
      </w:r>
      <w:r>
        <w:rPr>
          <w:rFonts w:hint="eastAsia" w:ascii="宋体" w:hAnsi="宋体" w:eastAsia="宋体" w:cs="宋体"/>
          <w:color w:val="auto"/>
          <w:sz w:val="24"/>
          <w:szCs w:val="24"/>
          <w:lang w:val="en-US" w:eastAsia="zh-CN"/>
        </w:rPr>
        <w:t>脏污、无</w:t>
      </w:r>
      <w:r>
        <w:rPr>
          <w:rFonts w:hint="eastAsia" w:ascii="宋体" w:hAnsi="宋体" w:eastAsia="宋体" w:cs="宋体"/>
          <w:color w:val="auto"/>
          <w:sz w:val="24"/>
          <w:szCs w:val="24"/>
        </w:rPr>
        <w:t>异味。</w:t>
      </w:r>
    </w:p>
    <w:p w14:paraId="19FE1293">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散装零食：包装</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分装规范，无受潮、霉变、虫蛀、变质现象。</w:t>
      </w:r>
    </w:p>
    <w:p w14:paraId="425C1BE6">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标签标识：预包装产品标签完整，清晰标明产品名称、配料表、生产者信息、生产日期、批号、保质期、贮存条件、执行标准等法定信息；散装食品须按规范做好标识，标明生产日期、保质期、生产者信息。</w:t>
      </w:r>
    </w:p>
    <w:p w14:paraId="39BFCA0A">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随货资料：每批次供货须附带该批次产品出厂合格证明文件；散装零食须提供对应批次检验合格材料。采购人有权对供货产品索要资质、检验报告，供应商应及时提供。</w:t>
      </w:r>
    </w:p>
    <w:p w14:paraId="625CB9E6">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储存运输：运输工具干净卫生，符合食品运输条件，根据产品贮存要求做好避光、控温、防潮防护，运输过程不得造成食品污染、变质。</w:t>
      </w:r>
    </w:p>
    <w:p w14:paraId="1F7CAFF0">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货源要求：供应商须保证货源渠道合法正规，能够提供进货票据、供货来源凭证，严禁来源不明食品。</w:t>
      </w:r>
    </w:p>
    <w:p w14:paraId="68C57C56">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禁止供货品类：严禁提供过期、变质、变质风险、回收返销食品，严禁临期拼凑、混搭供货。</w:t>
      </w:r>
    </w:p>
    <w:p w14:paraId="0DA862D8">
      <w:pPr>
        <w:keepNext w:val="0"/>
        <w:keepLines w:val="0"/>
        <w:pageBreakBefore w:val="0"/>
        <w:kinsoku/>
        <w:wordWrap/>
        <w:overflowPunct/>
        <w:topLinePunct w:val="0"/>
        <w:bidi w:val="0"/>
        <w:spacing w:line="460" w:lineRule="exact"/>
        <w:ind w:left="0"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四、样品要求：</w:t>
      </w:r>
    </w:p>
    <w:p w14:paraId="36F0D0D0">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1.样品：</w:t>
      </w:r>
      <w:r>
        <w:rPr>
          <w:rFonts w:hint="eastAsia" w:ascii="宋体" w:hAnsi="宋体" w:eastAsia="宋体" w:cs="宋体"/>
          <w:i w:val="0"/>
          <w:iCs w:val="0"/>
          <w:color w:val="000000"/>
          <w:kern w:val="0"/>
          <w:sz w:val="24"/>
          <w:szCs w:val="24"/>
          <w:u w:val="none"/>
          <w:lang w:val="en-US" w:eastAsia="zh-CN" w:bidi="ar"/>
        </w:rPr>
        <w:t>果汁、</w:t>
      </w:r>
      <w:r>
        <w:rPr>
          <w:rFonts w:hint="eastAsia" w:ascii="宋体" w:hAnsi="宋体" w:eastAsia="宋体" w:cs="宋体"/>
          <w:i w:val="0"/>
          <w:iCs w:val="0"/>
          <w:color w:val="000000"/>
          <w:sz w:val="24"/>
          <w:szCs w:val="24"/>
          <w:u w:val="none"/>
        </w:rPr>
        <w:t>酸酸乳</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纯牛奶</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面包</w:t>
      </w:r>
      <w:r>
        <w:rPr>
          <w:rFonts w:hint="eastAsia" w:ascii="宋体" w:hAnsi="宋体" w:eastAsia="宋体" w:cs="宋体"/>
          <w:i w:val="0"/>
          <w:iCs w:val="0"/>
          <w:color w:val="000000"/>
          <w:sz w:val="24"/>
          <w:szCs w:val="24"/>
          <w:u w:val="none"/>
          <w:lang w:eastAsia="zh-CN"/>
        </w:rPr>
        <w:t>、</w:t>
      </w:r>
      <w:r>
        <w:rPr>
          <w:rFonts w:hint="eastAsia" w:ascii="宋体" w:hAnsi="宋体" w:eastAsia="宋体" w:cs="宋体"/>
          <w:i w:val="0"/>
          <w:iCs w:val="0"/>
          <w:color w:val="000000"/>
          <w:sz w:val="24"/>
          <w:szCs w:val="24"/>
          <w:u w:val="none"/>
        </w:rPr>
        <w:t>散装零食</w:t>
      </w:r>
      <w:r>
        <w:rPr>
          <w:rFonts w:hint="eastAsia" w:ascii="宋体" w:hAnsi="宋体" w:eastAsia="宋体" w:cs="宋体"/>
          <w:color w:val="auto"/>
          <w:sz w:val="24"/>
          <w:szCs w:val="24"/>
          <w:lang w:val="en-US" w:eastAsia="zh-CN"/>
        </w:rPr>
        <w:t>；样品需采用收纳箱或纸箱包装，同时提供相应产品合格证或说</w:t>
      </w:r>
      <w:r>
        <w:rPr>
          <w:rFonts w:hint="eastAsia" w:ascii="宋体" w:hAnsi="宋体" w:eastAsia="宋体" w:cs="宋体"/>
          <w:bCs/>
          <w:color w:val="auto"/>
          <w:sz w:val="24"/>
          <w:szCs w:val="24"/>
          <w:highlight w:val="none"/>
          <w:lang w:val="en-US" w:eastAsia="zh-CN"/>
        </w:rPr>
        <w:t>明书复印件，统一密封。以上样品需全部</w:t>
      </w:r>
      <w:r>
        <w:rPr>
          <w:rFonts w:hint="eastAsia" w:ascii="宋体" w:hAnsi="宋体" w:eastAsia="宋体" w:cs="宋体"/>
          <w:color w:val="auto"/>
          <w:sz w:val="24"/>
          <w:szCs w:val="24"/>
          <w:lang w:val="en-US" w:eastAsia="zh-CN"/>
        </w:rPr>
        <w:t>提供，样品缺少任意一个将视为未实质性相应。</w:t>
      </w:r>
    </w:p>
    <w:p w14:paraId="16691CFC">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供应商须按谈判文件要求提供样品，谈判小组将视情况对投标供应商提供的样品进行评审，因样品评审造成的产品损坏，采购人、采购代理机构及谈判小组不因此承担任何赔偿责任，投标供应商自行承担相关责任。</w:t>
      </w:r>
    </w:p>
    <w:p w14:paraId="10C56D21">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3.样品接收时间：2026年</w:t>
      </w:r>
      <w:r>
        <w:rPr>
          <w:rFonts w:hint="eastAsia" w:ascii="宋体" w:hAnsi="宋体" w:eastAsia="宋体" w:cs="宋体"/>
          <w:color w:val="000000" w:themeColor="text1"/>
          <w:sz w:val="24"/>
          <w:szCs w:val="24"/>
          <w:lang w:val="en-US" w:eastAsia="zh-CN"/>
          <w14:textFill>
            <w14:solidFill>
              <w14:schemeClr w14:val="tx1"/>
            </w14:solidFill>
          </w14:textFill>
        </w:rPr>
        <w:t>9月2日10时00分00秒（北</w:t>
      </w:r>
      <w:r>
        <w:rPr>
          <w:rFonts w:hint="eastAsia" w:ascii="宋体" w:hAnsi="宋体" w:eastAsia="宋体" w:cs="宋体"/>
          <w:color w:val="auto"/>
          <w:sz w:val="24"/>
          <w:szCs w:val="24"/>
          <w:lang w:val="en-US" w:eastAsia="zh-CN"/>
        </w:rPr>
        <w:t>京时间）前，截止时间过后递交的样品将被拒绝；</w:t>
      </w:r>
    </w:p>
    <w:p w14:paraId="419937CA">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4.样品送达地点：安康市高新区高新观澜8栋二单元801室。</w:t>
      </w:r>
    </w:p>
    <w:p w14:paraId="64558A7B">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5.招标代理机构联系人：郑工，联系方式：13991519725。         </w:t>
      </w:r>
    </w:p>
    <w:p w14:paraId="32FB07A0">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样品的运输和处理：供应商应自行负责样品的运输、保管等，采购单位不承担任何费用。评标结束后，采购代理机构组织前3名成交候选人封样并按照代理机构相关安排办理签收手续。未进入成交候选人的投标人在接到代理机构通知后2小时内自行运走样品，如超过规定时间未取走的样品，采购单位将作废品处理。供应商应自行准备相关封样的材料和交通工具，一旦成为成交候选人，按采购人要求运至指定地点。最终未成交的2名成交候选人的样品，在采购人与成交人签订合同后退还，具体时间以采购人通知为准。成交供应商的样品封存至交货验收后自行运走。</w:t>
      </w:r>
    </w:p>
    <w:p w14:paraId="5974FD59">
      <w:pPr>
        <w:keepNext w:val="0"/>
        <w:keepLines w:val="0"/>
        <w:pageBreakBefore w:val="0"/>
        <w:kinsoku/>
        <w:wordWrap/>
        <w:overflowPunct/>
        <w:topLinePunct w:val="0"/>
        <w:bidi w:val="0"/>
        <w:spacing w:line="460" w:lineRule="exact"/>
        <w:ind w:left="0" w:firstLine="480" w:firstLineChars="200"/>
        <w:jc w:val="left"/>
        <w:textAlignment w:val="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7.样品摆放要求：</w:t>
      </w:r>
    </w:p>
    <w:p w14:paraId="30DF6AC0">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7.1</w:t>
      </w:r>
      <w:r>
        <w:rPr>
          <w:rFonts w:hint="eastAsia" w:ascii="宋体" w:hAnsi="宋体" w:eastAsia="宋体" w:cs="宋体"/>
          <w:color w:val="auto"/>
          <w:sz w:val="24"/>
          <w:szCs w:val="24"/>
          <w:highlight w:val="none"/>
        </w:rPr>
        <w:t>严格按照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文件要求递交样品：所有样品</w:t>
      </w:r>
      <w:r>
        <w:rPr>
          <w:rFonts w:hint="eastAsia" w:ascii="宋体" w:hAnsi="宋体" w:eastAsia="宋体" w:cs="宋体"/>
          <w:color w:val="auto"/>
          <w:sz w:val="24"/>
          <w:szCs w:val="24"/>
          <w:highlight w:val="none"/>
          <w:lang w:val="en-US" w:eastAsia="zh-CN"/>
        </w:rPr>
        <w:t>外包装</w:t>
      </w:r>
      <w:r>
        <w:rPr>
          <w:rFonts w:hint="eastAsia" w:ascii="宋体" w:hAnsi="宋体" w:eastAsia="宋体" w:cs="宋体"/>
          <w:color w:val="auto"/>
          <w:sz w:val="24"/>
          <w:szCs w:val="24"/>
          <w:highlight w:val="none"/>
        </w:rPr>
        <w:t>不能有任何和投标人有关的明</w:t>
      </w:r>
      <w:r>
        <w:rPr>
          <w:rFonts w:hint="eastAsia" w:ascii="宋体" w:hAnsi="宋体" w:eastAsia="宋体" w:cs="宋体"/>
          <w:color w:val="auto"/>
          <w:sz w:val="24"/>
          <w:szCs w:val="24"/>
        </w:rPr>
        <w:t>显的信息标记，</w:t>
      </w:r>
      <w:r>
        <w:rPr>
          <w:rFonts w:hint="eastAsia" w:ascii="宋体" w:hAnsi="宋体" w:eastAsia="宋体" w:cs="宋体"/>
          <w:color w:val="auto"/>
          <w:sz w:val="24"/>
          <w:szCs w:val="24"/>
          <w:lang w:val="en-US" w:eastAsia="zh-CN"/>
        </w:rPr>
        <w:t>样品清单及供应商信息随产品封装在箱内</w:t>
      </w:r>
      <w:r>
        <w:rPr>
          <w:rFonts w:hint="eastAsia" w:ascii="宋体" w:hAnsi="宋体" w:eastAsia="宋体" w:cs="宋体"/>
          <w:color w:val="auto"/>
          <w:sz w:val="24"/>
          <w:szCs w:val="24"/>
        </w:rPr>
        <w:t>。</w:t>
      </w:r>
    </w:p>
    <w:p w14:paraId="1AB39C50">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7.2</w:t>
      </w:r>
      <w:r>
        <w:rPr>
          <w:rFonts w:hint="eastAsia" w:ascii="宋体" w:hAnsi="宋体" w:eastAsia="宋体" w:cs="宋体"/>
          <w:color w:val="auto"/>
          <w:sz w:val="24"/>
          <w:szCs w:val="24"/>
        </w:rPr>
        <w:t>严格服从现场工作人员的指挥摆放样品。</w:t>
      </w:r>
    </w:p>
    <w:p w14:paraId="7053D3A2">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7.3</w:t>
      </w:r>
      <w:r>
        <w:rPr>
          <w:rFonts w:hint="eastAsia" w:ascii="宋体" w:hAnsi="宋体" w:eastAsia="宋体" w:cs="宋体"/>
          <w:color w:val="auto"/>
          <w:sz w:val="24"/>
          <w:szCs w:val="24"/>
        </w:rPr>
        <w:t>所有投标人不得以任何理由损坏他人的样品，样品摆放处设有监控系统，一旦发现，采购单位将通过相关法律规定进行处理。</w:t>
      </w:r>
    </w:p>
    <w:p w14:paraId="0B2B93C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Style w:val="140"/>
          <w:rFonts w:hint="eastAsia" w:ascii="宋体" w:hAnsi="宋体" w:eastAsia="宋体" w:cs="宋体"/>
          <w:b/>
          <w:bCs/>
          <w:color w:val="auto"/>
          <w:sz w:val="24"/>
          <w:szCs w:val="24"/>
          <w:lang w:val="en-US" w:eastAsia="zh-CN" w:bidi="ar"/>
        </w:rPr>
        <w:t>✮</w:t>
      </w:r>
      <w:r>
        <w:rPr>
          <w:rFonts w:hint="eastAsia" w:ascii="Calibri" w:hAnsi="宋体" w:eastAsia="宋体" w:cs="Calibri"/>
          <w:b/>
          <w:bCs/>
          <w:color w:val="auto"/>
          <w:kern w:val="2"/>
          <w:sz w:val="24"/>
          <w:szCs w:val="21"/>
          <w:lang w:val="en-US" w:eastAsia="zh-CN" w:bidi="ar-SA"/>
        </w:rPr>
        <w:t>五、</w:t>
      </w:r>
      <w:r>
        <w:rPr>
          <w:rFonts w:hint="eastAsia" w:ascii="宋体" w:hAnsi="宋体" w:eastAsia="宋体" w:cs="宋体"/>
          <w:b/>
          <w:bCs/>
          <w:color w:val="000000" w:themeColor="text1"/>
          <w:kern w:val="0"/>
          <w:sz w:val="24"/>
          <w:szCs w:val="24"/>
          <w:lang w:val="en-US" w:eastAsia="zh-CN"/>
          <w14:textFill>
            <w14:solidFill>
              <w14:schemeClr w14:val="tx1"/>
            </w14:solidFill>
          </w14:textFill>
        </w:rPr>
        <w:t>商务要求</w:t>
      </w:r>
    </w:p>
    <w:p w14:paraId="79C9E3F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1.交货地点：</w:t>
      </w:r>
      <w:r>
        <w:rPr>
          <w:rFonts w:hint="eastAsia" w:ascii="宋体" w:hAnsi="宋体" w:eastAsia="宋体" w:cs="宋体"/>
          <w:color w:val="auto"/>
          <w:sz w:val="24"/>
        </w:rPr>
        <w:t>甲方指定配送点。货物所有权及风险自物资实际送达甲方指定配送点并经甲方验收合格后转移至甲方，此前全部毁损、灭失、污染等风险由乙方承担</w:t>
      </w:r>
      <w:r>
        <w:rPr>
          <w:rFonts w:hint="eastAsia" w:ascii="宋体" w:hAnsi="宋体" w:eastAsia="宋体" w:cs="宋体"/>
          <w:color w:val="auto"/>
          <w:sz w:val="24"/>
          <w:lang w:eastAsia="zh-CN"/>
        </w:rPr>
        <w:t>。</w:t>
      </w:r>
    </w:p>
    <w:p w14:paraId="119D22D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2.合同履行期：自签订合同起按实际使用需求分批供货至预算金额用完。接到订货通知起5个工作日内完成交货。</w:t>
      </w:r>
    </w:p>
    <w:p w14:paraId="3A5787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3.合同价款及结算方式</w:t>
      </w:r>
    </w:p>
    <w:p w14:paraId="57C6D17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3.1本项目招单价，签订固定单价合同，数量以实际发生为准。</w:t>
      </w:r>
      <w:r>
        <w:rPr>
          <w:rFonts w:hint="eastAsia" w:ascii="宋体" w:hAnsi="宋体" w:eastAsia="宋体" w:cs="宋体"/>
          <w:color w:val="000000" w:themeColor="text1"/>
          <w:sz w:val="24"/>
          <w14:textFill>
            <w14:solidFill>
              <w14:schemeClr w14:val="tx1"/>
            </w14:solidFill>
          </w14:textFill>
        </w:rPr>
        <w:t>合同</w:t>
      </w:r>
      <w:r>
        <w:rPr>
          <w:rFonts w:hint="eastAsia" w:ascii="宋体" w:hAnsi="宋体" w:eastAsia="宋体" w:cs="宋体"/>
          <w:color w:val="000000" w:themeColor="text1"/>
          <w:sz w:val="24"/>
          <w:lang w:val="en-US" w:eastAsia="zh-CN"/>
          <w14:textFill>
            <w14:solidFill>
              <w14:schemeClr w14:val="tx1"/>
            </w14:solidFill>
          </w14:textFill>
        </w:rPr>
        <w:t>价款</w:t>
      </w:r>
      <w:r>
        <w:rPr>
          <w:rFonts w:hint="eastAsia" w:ascii="宋体" w:hAnsi="宋体" w:eastAsia="宋体" w:cs="宋体"/>
          <w:color w:val="000000" w:themeColor="text1"/>
          <w:sz w:val="24"/>
          <w14:textFill>
            <w14:solidFill>
              <w14:schemeClr w14:val="tx1"/>
            </w14:solidFill>
          </w14:textFill>
        </w:rPr>
        <w:t>包括</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产品供应费、储存费、包装费、短配费(含仓储费、保险费、装卸费)及其他相关的费用。供货方应提供完整的物资流通溯源信息，包括但不限于生产批号、物流单据、质检证明等文件。合同单价一次包死，不受市场价变化的影响。</w:t>
      </w:r>
    </w:p>
    <w:p w14:paraId="48262C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结算方式：根据实际配送量据实结算，以甲方签收确认的配送清单为准。结算时间为买方验货、收货且确认质量合格，且乙方交付对应金额符合要求的增值税专用发票后的10个工作日内。如甲方于质保期内发现货物存在瑕疵、质量不合格或与约定不符，有权暂缓支付全部或部分货款，直至乙方完成更换或妥善处理。如乙方逾期10日未完成整改的，甲方有权直接扣除对应瑕疵货物的等额货款，无需承担任何违约责任。</w:t>
      </w:r>
    </w:p>
    <w:p w14:paraId="3B2FA3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3.3支付方式：银行转账。</w:t>
      </w:r>
      <w:r>
        <w:rPr>
          <w:rFonts w:hint="eastAsia" w:ascii="宋体" w:hAnsi="宋体" w:eastAsia="宋体" w:cs="宋体"/>
          <w:color w:val="auto"/>
          <w:sz w:val="24"/>
        </w:rPr>
        <w:t>乙方应按甲方要求向甲方开具合法、与采购内容一致的增值税专用发票，税率以国家规定为准</w:t>
      </w:r>
      <w:r>
        <w:rPr>
          <w:rFonts w:hint="eastAsia" w:ascii="宋体" w:hAnsi="宋体" w:eastAsia="宋体" w:cs="宋体"/>
          <w:color w:val="auto"/>
          <w:sz w:val="24"/>
          <w:lang w:eastAsia="zh-CN"/>
        </w:rPr>
        <w:t>。</w:t>
      </w:r>
    </w:p>
    <w:p w14:paraId="64E1AEC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4.质量保证</w:t>
      </w:r>
    </w:p>
    <w:p w14:paraId="6360D5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highlight w:val="yellow"/>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4.1</w:t>
      </w:r>
      <w:r>
        <w:rPr>
          <w:rFonts w:hint="eastAsia" w:ascii="宋体" w:hAnsi="宋体" w:eastAsia="宋体" w:cs="宋体"/>
          <w:sz w:val="24"/>
        </w:rPr>
        <w:t>外包装完好无损、无杂质、无污染、商标图案清晰、有生产日期、无霉变情况</w:t>
      </w:r>
      <w:r>
        <w:rPr>
          <w:rFonts w:hint="eastAsia" w:ascii="宋体" w:hAnsi="宋体" w:eastAsia="宋体" w:cs="宋体"/>
          <w:sz w:val="24"/>
          <w:lang w:eastAsia="zh-CN"/>
        </w:rPr>
        <w:t>；</w:t>
      </w:r>
      <w:r>
        <w:rPr>
          <w:rFonts w:hint="eastAsia" w:ascii="宋体" w:hAnsi="宋体" w:eastAsia="宋体" w:cs="宋体"/>
          <w:sz w:val="24"/>
        </w:rPr>
        <w:t>因乙方委托运输装卸过程中造成的损耗(例如包装严重变形、破损、食品污染、变异等)、发现的破损、变质食品必须无条件一对一更换。</w:t>
      </w:r>
    </w:p>
    <w:p w14:paraId="43D647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4.2</w:t>
      </w:r>
      <w:r>
        <w:rPr>
          <w:rFonts w:hint="eastAsia" w:ascii="宋体" w:hAnsi="宋体" w:eastAsia="宋体" w:cs="宋体"/>
          <w:sz w:val="24"/>
        </w:rPr>
        <w:t>自验收合格之日起，保质期出现的质量问题由成交单位负责解决并承担所有费用。</w:t>
      </w:r>
      <w:r>
        <w:rPr>
          <w:rFonts w:hint="eastAsia" w:ascii="宋体" w:hAnsi="宋体" w:eastAsia="宋体" w:cs="宋体"/>
          <w:sz w:val="24"/>
          <w:lang w:eastAsia="zh-CN"/>
        </w:rPr>
        <w:t>所供全部食品到货剩余保质期不低于产品原厂标签标注总保质期的 3/4，保质期以产品原厂标签为准</w:t>
      </w:r>
      <w:r>
        <w:rPr>
          <w:rFonts w:hint="eastAsia" w:ascii="宋体" w:hAnsi="宋体" w:eastAsia="宋体" w:cs="宋体"/>
          <w:sz w:val="24"/>
        </w:rPr>
        <w:t>，如不符合要求，甲方有权拒收并要求乙方无条件更换。</w:t>
      </w:r>
    </w:p>
    <w:p w14:paraId="2B25098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4.3</w:t>
      </w:r>
      <w:r>
        <w:rPr>
          <w:rFonts w:hint="eastAsia" w:ascii="宋体" w:hAnsi="宋体" w:eastAsia="宋体" w:cs="宋体"/>
          <w:sz w:val="24"/>
        </w:rPr>
        <w:t>如因产品出厂质量问题，并造成实际伤害及损失，乙方应承担全部赔偿责任，包</w:t>
      </w:r>
      <w:r>
        <w:rPr>
          <w:rFonts w:hint="eastAsia" w:ascii="宋体" w:hAnsi="宋体" w:eastAsia="宋体" w:cs="宋体"/>
          <w:sz w:val="24"/>
          <w:lang w:val="en-US" w:eastAsia="zh-CN"/>
        </w:rPr>
        <w:t>括但不限于对第三方的赔付、人身损害赔偿、财产损失、维权支出等。</w:t>
      </w:r>
    </w:p>
    <w:p w14:paraId="47CFA6B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5.运输</w:t>
      </w:r>
    </w:p>
    <w:p w14:paraId="77A67B8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5.1成交供应商负责全部产品的供货运输(包括运杂费、实施、及后期服务等，甲方不再支付总报价外的任何费用）。</w:t>
      </w:r>
    </w:p>
    <w:p w14:paraId="6D9DECA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5.2成交供应商必须确保货物的完整性，未达到清单中要求的标准，甲方有权提出退货并更换至合格为止。</w:t>
      </w:r>
    </w:p>
    <w:p w14:paraId="1EF970A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5.3运输方式：自行选择。成交供应商负责将货物安全、完好地运抵采购人指定地点，并承担全部运输费用（含保险费）、装卸费用及运输过程中的一切风险。运输方式应确保货物能按时交付。</w:t>
      </w:r>
    </w:p>
    <w:p w14:paraId="3CD2AA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5.4包装要求：生产厂家原包装到交货地点无破损。</w:t>
      </w:r>
    </w:p>
    <w:p w14:paraId="630AAFC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6.质保服务</w:t>
      </w:r>
    </w:p>
    <w:p w14:paraId="1F09E3C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6.1质保要求：到货验收合格，效期内质量问题免费更换。</w:t>
      </w:r>
    </w:p>
    <w:p w14:paraId="42C867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6.2质量保证期：</w:t>
      </w:r>
      <w:r>
        <w:rPr>
          <w:rFonts w:hint="eastAsia"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所供全部食品到货剩余保质期不低于产品原厂标签标注总保质期的 3/4，保质期以产品原厂标签为准。</w:t>
      </w:r>
    </w:p>
    <w:p w14:paraId="15F325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7.验收</w:t>
      </w:r>
    </w:p>
    <w:p w14:paraId="7D8F4F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7.1</w:t>
      </w:r>
      <w:commentRangeStart w:id="0"/>
      <w:r>
        <w:rPr>
          <w:rFonts w:hint="eastAsia" w:ascii="宋体" w:hAnsi="宋体" w:eastAsia="宋体" w:cs="宋体"/>
          <w:sz w:val="24"/>
          <w:lang w:val="en-US" w:eastAsia="zh-CN"/>
        </w:rPr>
        <w:t>甲方有权自收货后15个工作日内书面提出质量异议，逾期未提出视为外观质量验收合格，</w:t>
      </w:r>
      <w:r>
        <w:rPr>
          <w:rFonts w:hint="eastAsia" w:ascii="宋体" w:hAnsi="宋体" w:eastAsia="宋体" w:cs="宋体"/>
          <w:sz w:val="24"/>
          <w:lang w:val="en-US" w:eastAsia="zh-CN"/>
        </w:rPr>
        <w:commentReference w:id="1"/>
      </w:r>
      <w:r>
        <w:rPr>
          <w:rFonts w:hint="eastAsia" w:ascii="宋体" w:hAnsi="宋体" w:eastAsia="宋体" w:cs="宋体"/>
          <w:sz w:val="24"/>
          <w:lang w:val="en-US" w:eastAsia="zh-CN"/>
        </w:rPr>
        <w:t>但不</w:t>
      </w:r>
      <w:r>
        <w:rPr>
          <w:rFonts w:hint="eastAsia" w:ascii="宋体" w:hAnsi="宋体" w:eastAsia="宋体" w:cs="宋体"/>
          <w:sz w:val="24"/>
          <w:lang w:val="en-US" w:eastAsia="zh-CN"/>
        </w:rPr>
        <w:commentReference w:id="2"/>
      </w:r>
      <w:r>
        <w:rPr>
          <w:rFonts w:hint="eastAsia" w:ascii="宋体" w:hAnsi="宋体" w:eastAsia="宋体" w:cs="宋体"/>
          <w:sz w:val="24"/>
          <w:lang w:val="en-US" w:eastAsia="zh-CN"/>
        </w:rPr>
        <w:t>影响甲方依法追究产品本身固有质量缺陷的责任。</w:t>
      </w:r>
      <w:commentRangeEnd w:id="0"/>
      <w:r>
        <w:rPr>
          <w:rFonts w:hint="eastAsia" w:ascii="宋体" w:hAnsi="宋体" w:eastAsia="宋体" w:cs="宋体"/>
          <w:sz w:val="24"/>
          <w:lang w:val="en-US" w:eastAsia="zh-CN"/>
        </w:rPr>
        <w:commentReference w:id="0"/>
      </w:r>
    </w:p>
    <w:p w14:paraId="6F3EA74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7.2</w:t>
      </w:r>
      <w:commentRangeStart w:id="3"/>
      <w:r>
        <w:rPr>
          <w:rFonts w:hint="eastAsia" w:ascii="宋体" w:hAnsi="宋体" w:eastAsia="宋体" w:cs="宋体"/>
          <w:sz w:val="24"/>
          <w:lang w:val="en-US" w:eastAsia="zh-CN"/>
        </w:rPr>
        <w:t>在供货业务运行过程中出现时间、地点、人员变化等现象，甲方可根据实际情况自主决定通知乙方配送调整的时间，乙方应无条件配合，相关调整不构成甲方违约或乙方免责理由。</w:t>
      </w:r>
      <w:commentRangeEnd w:id="3"/>
      <w:r>
        <w:rPr>
          <w:rFonts w:hint="eastAsia" w:ascii="宋体" w:hAnsi="宋体" w:eastAsia="宋体" w:cs="宋体"/>
          <w:sz w:val="24"/>
          <w:lang w:val="en-US" w:eastAsia="zh-CN"/>
        </w:rPr>
        <w:commentReference w:id="3"/>
      </w:r>
    </w:p>
    <w:p w14:paraId="41E9616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7.3甲方有义务配合乙方处理完善双方合作中的突发事件。</w:t>
      </w:r>
    </w:p>
    <w:p w14:paraId="5AD3914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8.售后服务 </w:t>
      </w:r>
    </w:p>
    <w:p w14:paraId="58D4ABE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8.1在质保期内出现任何质量问题，无条件更换相同规格质量产品，保证响应时间≤2个小时，解决问题的时间≤8 小时。</w:t>
      </w:r>
    </w:p>
    <w:p w14:paraId="181FDCA7">
      <w:pPr>
        <w:widowControl w:val="0"/>
        <w:numPr>
          <w:ilvl w:val="0"/>
          <w:numId w:val="0"/>
        </w:numPr>
        <w:adjustRightInd w:val="0"/>
        <w:snapToGrid w:val="0"/>
        <w:spacing w:line="440" w:lineRule="exact"/>
        <w:ind w:firstLine="480" w:firstLineChars="200"/>
        <w:rPr>
          <w:rFonts w:hint="eastAsia" w:ascii="Calibri" w:hAnsi="宋体" w:eastAsia="宋体" w:cs="Calibri"/>
          <w:b/>
          <w:bCs/>
          <w:color w:val="auto"/>
          <w:kern w:val="2"/>
          <w:sz w:val="24"/>
          <w:szCs w:val="21"/>
          <w:lang w:val="en-US" w:eastAsia="zh-CN" w:bidi="ar-SA"/>
        </w:rPr>
      </w:pPr>
      <w:r>
        <w:rPr>
          <w:rFonts w:hint="eastAsia" w:ascii="宋体" w:hAnsi="宋体" w:eastAsia="宋体" w:cs="宋体"/>
          <w:color w:val="000000" w:themeColor="text1"/>
          <w:kern w:val="0"/>
          <w:sz w:val="24"/>
          <w:szCs w:val="24"/>
          <w:lang w:val="en-US" w:eastAsia="zh-CN"/>
          <w14:textFill>
            <w14:solidFill>
              <w14:schemeClr w14:val="tx1"/>
            </w14:solidFill>
          </w14:textFill>
        </w:rPr>
        <w:t>8.2保证配送、服务的及时性,能立即响应并满足采购人订货规定的时间要求，严禁影响采购人的使用要求。</w:t>
      </w:r>
    </w:p>
    <w:p w14:paraId="555A75D9">
      <w:pPr>
        <w:pStyle w:val="12"/>
        <w:rPr>
          <w:rFonts w:hint="eastAsia" w:ascii="宋体" w:hAnsi="宋体" w:eastAsia="宋体" w:cs="宋体"/>
          <w:sz w:val="24"/>
        </w:rPr>
      </w:pPr>
    </w:p>
    <w:p w14:paraId="55AD51A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eastAsia="宋体" w:cs="宋体"/>
          <w:color w:val="auto"/>
          <w:sz w:val="28"/>
          <w:szCs w:val="28"/>
          <w:highlight w:val="none"/>
          <w:lang w:val="en-US" w:eastAsia="zh-CN"/>
        </w:rPr>
        <w:sectPr>
          <w:pgSz w:w="11905" w:h="16838"/>
          <w:pgMar w:top="1304" w:right="1304" w:bottom="1304" w:left="1304" w:header="964" w:footer="1020" w:gutter="0"/>
          <w:pgBorders>
            <w:top w:val="none" w:sz="0" w:space="0"/>
            <w:left w:val="none" w:sz="0" w:space="0"/>
            <w:bottom w:val="none" w:sz="0" w:space="0"/>
            <w:right w:val="none" w:sz="0" w:space="0"/>
          </w:pgBorders>
          <w:pgNumType w:fmt="decimal"/>
          <w:cols w:space="0" w:num="1"/>
          <w:rtlGutter w:val="0"/>
          <w:docGrid w:type="lines" w:linePitch="395" w:charSpace="0"/>
        </w:sectPr>
      </w:pPr>
      <w:r>
        <w:rPr>
          <w:rStyle w:val="140"/>
          <w:rFonts w:hint="eastAsia" w:ascii="宋体" w:hAnsi="宋体" w:eastAsia="宋体" w:cs="宋体"/>
          <w:b/>
          <w:bCs/>
          <w:color w:val="auto"/>
          <w:sz w:val="24"/>
          <w:szCs w:val="24"/>
          <w:lang w:val="en-US" w:eastAsia="zh-CN" w:bidi="ar"/>
        </w:rPr>
        <w:t>谈判内容及要求中加“✮”为实质性响应条款，不接受负偏离，如有任何一项不响应或负偏离，视为无效文件。</w:t>
      </w:r>
    </w:p>
    <w:p w14:paraId="286B1FC6">
      <w:pPr>
        <w:pStyle w:val="12"/>
        <w:keepNext w:val="0"/>
        <w:keepLines w:val="0"/>
        <w:pageBreakBefore w:val="0"/>
        <w:widowControl/>
        <w:kinsoku/>
        <w:wordWrap/>
        <w:overflowPunct/>
        <w:topLinePunct w:val="0"/>
        <w:autoSpaceDE/>
        <w:autoSpaceDN/>
        <w:bidi w:val="0"/>
        <w:adjustRightInd/>
        <w:snapToGrid/>
        <w:spacing w:line="20" w:lineRule="exact"/>
        <w:textAlignment w:val="auto"/>
        <w:rPr>
          <w:rFonts w:hint="eastAsia" w:ascii="宋体" w:hAnsi="宋体" w:eastAsia="宋体" w:cs="宋体"/>
          <w:color w:val="auto"/>
          <w:sz w:val="24"/>
          <w:szCs w:val="24"/>
          <w:highlight w:val="none"/>
          <w:lang w:val="en-US"/>
        </w:rPr>
      </w:pPr>
    </w:p>
    <w:p w14:paraId="5EBDE509">
      <w:pPr>
        <w:pStyle w:val="2"/>
        <w:keepNext/>
        <w:keepLines/>
        <w:pageBreakBefore w:val="0"/>
        <w:widowControl/>
        <w:numPr>
          <w:ilvl w:val="0"/>
          <w:numId w:val="2"/>
        </w:numPr>
        <w:kinsoku/>
        <w:wordWrap/>
        <w:overflowPunct/>
        <w:topLinePunct w:val="0"/>
        <w:autoSpaceDE/>
        <w:autoSpaceDN/>
        <w:bidi w:val="0"/>
        <w:adjustRightInd/>
        <w:snapToGrid/>
        <w:spacing w:after="196" w:afterLines="50"/>
        <w:textAlignment w:val="auto"/>
        <w:rPr>
          <w:rFonts w:hint="eastAsia" w:ascii="宋体" w:hAnsi="宋体" w:eastAsia="宋体" w:cs="Times New Roman"/>
          <w:color w:val="auto"/>
          <w:highlight w:val="none"/>
        </w:rPr>
      </w:pPr>
      <w:bookmarkStart w:id="199" w:name="_Toc23316596"/>
      <w:bookmarkStart w:id="200" w:name="_Toc23316532"/>
      <w:bookmarkStart w:id="201" w:name="_Toc12337"/>
      <w:bookmarkStart w:id="202" w:name="_Toc23315672"/>
      <w:bookmarkStart w:id="203" w:name="_Toc23316694"/>
      <w:bookmarkStart w:id="204" w:name="_Toc3837039"/>
      <w:r>
        <w:rPr>
          <w:rFonts w:hint="eastAsia" w:ascii="宋体" w:hAnsi="宋体" w:eastAsia="宋体" w:cs="Times New Roman"/>
          <w:color w:val="auto"/>
          <w:highlight w:val="none"/>
        </w:rPr>
        <w:t xml:space="preserve"> </w:t>
      </w:r>
      <w:bookmarkStart w:id="205" w:name="_Toc17113"/>
      <w:r>
        <w:rPr>
          <w:rFonts w:hint="eastAsia" w:ascii="宋体" w:hAnsi="宋体" w:eastAsia="宋体" w:cs="Times New Roman"/>
          <w:color w:val="auto"/>
          <w:highlight w:val="none"/>
        </w:rPr>
        <w:t>合同主要条款</w:t>
      </w:r>
      <w:bookmarkEnd w:id="199"/>
      <w:bookmarkEnd w:id="200"/>
      <w:bookmarkEnd w:id="201"/>
      <w:bookmarkEnd w:id="202"/>
      <w:bookmarkEnd w:id="203"/>
      <w:bookmarkEnd w:id="205"/>
      <w:r>
        <w:rPr>
          <w:rFonts w:hint="eastAsia" w:ascii="宋体" w:hAnsi="宋体" w:eastAsia="宋体" w:cs="Times New Roman"/>
          <w:color w:val="auto"/>
          <w:highlight w:val="none"/>
        </w:rPr>
        <w:t xml:space="preserve"> </w:t>
      </w:r>
      <w:bookmarkEnd w:id="204"/>
    </w:p>
    <w:p w14:paraId="718A71FD">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000000"/>
          <w:sz w:val="24"/>
          <w:szCs w:val="24"/>
        </w:rPr>
      </w:pPr>
      <w:bookmarkStart w:id="206" w:name="_Toc14189287"/>
      <w:bookmarkStart w:id="207" w:name="_Toc23316533"/>
      <w:bookmarkStart w:id="208" w:name="_Toc18412211"/>
      <w:bookmarkStart w:id="209" w:name="_Toc23316597"/>
      <w:bookmarkStart w:id="210" w:name="_Toc31168"/>
      <w:bookmarkStart w:id="211" w:name="_Toc23315673"/>
      <w:bookmarkStart w:id="212" w:name="_Toc23316695"/>
      <w:bookmarkStart w:id="213" w:name="_Toc14189420"/>
      <w:r>
        <w:rPr>
          <w:rFonts w:hint="eastAsia" w:ascii="宋体" w:hAnsi="宋体" w:eastAsia="宋体" w:cs="宋体"/>
          <w:b/>
          <w:bCs/>
          <w:color w:val="000000"/>
          <w:sz w:val="24"/>
          <w:szCs w:val="24"/>
        </w:rPr>
        <w:t>（说明：本合同作为合同的基本格式，不作为最终合同，甲方有权在签订合同时对合同的相关条款及内容作进一步的细化和修改</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w:t>
      </w:r>
    </w:p>
    <w:p w14:paraId="2EC0CF0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spacing w:val="-20"/>
          <w:sz w:val="24"/>
          <w:szCs w:val="24"/>
          <w:lang w:eastAsia="zh-CN"/>
        </w:rPr>
      </w:pPr>
    </w:p>
    <w:p w14:paraId="0EA0701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安康市中心血站献血服务食品采购项目</w:t>
      </w:r>
    </w:p>
    <w:p w14:paraId="017C26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一、供货合同</w:t>
      </w:r>
    </w:p>
    <w:p w14:paraId="42184F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甲方:</w:t>
      </w:r>
      <w:r>
        <w:rPr>
          <w:rFonts w:hint="eastAsia" w:ascii="宋体" w:hAnsi="宋体" w:eastAsia="宋体" w:cs="宋体"/>
          <w:sz w:val="24"/>
          <w:szCs w:val="24"/>
          <w:lang w:val="en-US" w:eastAsia="zh-CN"/>
        </w:rPr>
        <w:t>安康市中心血站</w:t>
      </w:r>
    </w:p>
    <w:p w14:paraId="28F65E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w:t>
      </w:r>
    </w:p>
    <w:p w14:paraId="039690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bookmarkStart w:id="214" w:name="auto_fouce_2"/>
      <w:commentRangeStart w:id="4"/>
      <w:r>
        <w:rPr>
          <w:rFonts w:hint="eastAsia" w:ascii="宋体" w:hAnsi="宋体" w:eastAsia="宋体" w:cs="宋体"/>
          <w:sz w:val="24"/>
          <w:szCs w:val="24"/>
        </w:rPr>
        <w:t>依据《中华人民共和</w:t>
      </w:r>
      <w:r>
        <w:rPr>
          <w:rFonts w:hint="eastAsia" w:ascii="宋体" w:hAnsi="宋体" w:eastAsia="宋体" w:cs="宋体"/>
          <w:sz w:val="24"/>
          <w:szCs w:val="24"/>
          <w:lang w:eastAsia="zh-CN"/>
        </w:rPr>
        <w:t>国</w:t>
      </w:r>
      <w:r>
        <w:rPr>
          <w:rFonts w:hint="eastAsia" w:ascii="宋体" w:hAnsi="宋体" w:eastAsia="宋体" w:cs="宋体"/>
          <w:sz w:val="24"/>
          <w:szCs w:val="24"/>
        </w:rPr>
        <w:t>民法典》和《中华人民共和国政府采购法》，乙方通过</w:t>
      </w:r>
      <w:r>
        <w:rPr>
          <w:rFonts w:hint="eastAsia" w:ascii="宋体" w:hAnsi="宋体" w:eastAsia="宋体" w:cs="宋体"/>
          <w:sz w:val="24"/>
          <w:szCs w:val="24"/>
          <w:u w:val="single"/>
          <w:lang w:val="en-US" w:eastAsia="zh-CN"/>
        </w:rPr>
        <w:t>【中标/成交】</w:t>
      </w:r>
      <w:r>
        <w:rPr>
          <w:rFonts w:hint="eastAsia" w:ascii="宋体" w:hAnsi="宋体" w:eastAsia="宋体" w:cs="宋体"/>
          <w:sz w:val="24"/>
          <w:szCs w:val="24"/>
          <w:lang w:eastAsia="zh-CN"/>
        </w:rPr>
        <w:t>取</w:t>
      </w:r>
      <w:r>
        <w:rPr>
          <w:rFonts w:hint="eastAsia" w:ascii="宋体" w:hAnsi="宋体" w:eastAsia="宋体" w:cs="宋体"/>
          <w:sz w:val="24"/>
          <w:szCs w:val="24"/>
        </w:rPr>
        <w:t>得</w:t>
      </w:r>
      <w:r>
        <w:rPr>
          <w:rFonts w:hint="eastAsia" w:ascii="宋体" w:hAnsi="宋体" w:eastAsia="宋体" w:cs="宋体"/>
          <w:sz w:val="24"/>
          <w:szCs w:val="24"/>
          <w:lang w:eastAsia="zh-CN"/>
        </w:rPr>
        <w:t>安康市中心血站献血服务食品采购项目</w:t>
      </w:r>
      <w:r>
        <w:rPr>
          <w:rFonts w:hint="eastAsia" w:ascii="宋体" w:hAnsi="宋体" w:eastAsia="宋体" w:cs="宋体"/>
          <w:sz w:val="24"/>
          <w:szCs w:val="24"/>
        </w:rPr>
        <w:t>。</w:t>
      </w:r>
      <w:commentRangeEnd w:id="4"/>
      <w:r>
        <w:rPr>
          <w:rStyle w:val="50"/>
          <w:rFonts w:hint="eastAsia" w:ascii="宋体" w:hAnsi="宋体" w:eastAsia="宋体" w:cs="宋体"/>
          <w:sz w:val="24"/>
          <w:szCs w:val="24"/>
        </w:rPr>
        <w:commentReference w:id="4"/>
      </w:r>
      <w:bookmarkEnd w:id="214"/>
    </w:p>
    <w:p w14:paraId="49C6D3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二、商品品名及规格</w:t>
      </w:r>
    </w:p>
    <w:tbl>
      <w:tblPr>
        <w:tblStyle w:val="42"/>
        <w:tblpPr w:leftFromText="180" w:rightFromText="180" w:vertAnchor="text" w:horzAnchor="page" w:tblpXSpec="center" w:tblpY="50"/>
        <w:tblOverlap w:val="never"/>
        <w:tblW w:w="53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632"/>
        <w:gridCol w:w="1377"/>
        <w:gridCol w:w="1391"/>
        <w:gridCol w:w="3152"/>
        <w:gridCol w:w="2487"/>
      </w:tblGrid>
      <w:tr w14:paraId="78941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7"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3CC58D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sz w:val="24"/>
                <w:szCs w:val="24"/>
                <w:lang w:val="en-US"/>
              </w:rPr>
            </w:pPr>
            <w:r>
              <w:rPr>
                <w:rFonts w:hint="eastAsia" w:ascii="宋体" w:hAnsi="宋体" w:eastAsia="宋体" w:cs="宋体"/>
                <w:b w:val="0"/>
                <w:bCs w:val="0"/>
                <w:sz w:val="24"/>
                <w:szCs w:val="24"/>
                <w:lang w:val="en-US" w:eastAsia="zh-CN"/>
              </w:rPr>
              <w:t>产品名称</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13E47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sz w:val="24"/>
                <w:szCs w:val="24"/>
                <w:lang w:val="en-US"/>
              </w:rPr>
            </w:pPr>
            <w:r>
              <w:rPr>
                <w:rFonts w:hint="eastAsia" w:ascii="宋体" w:hAnsi="宋体" w:eastAsia="宋体" w:cs="宋体"/>
                <w:b w:val="0"/>
                <w:bCs w:val="0"/>
                <w:sz w:val="24"/>
                <w:szCs w:val="24"/>
                <w:lang w:val="en-US" w:eastAsia="zh-CN"/>
              </w:rPr>
              <w:t>数量</w:t>
            </w: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43207C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规格</w:t>
            </w: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7C7E62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sz w:val="24"/>
                <w:szCs w:val="24"/>
                <w:u w:val="none"/>
                <w:lang w:eastAsia="zh-CN"/>
              </w:rPr>
              <w:t>单价最高</w:t>
            </w:r>
            <w:r>
              <w:rPr>
                <w:rFonts w:hint="eastAsia" w:ascii="宋体" w:hAnsi="宋体" w:eastAsia="宋体" w:cs="宋体"/>
                <w:b w:val="0"/>
                <w:bCs w:val="0"/>
                <w:i w:val="0"/>
                <w:iCs w:val="0"/>
                <w:color w:val="000000"/>
                <w:sz w:val="24"/>
                <w:szCs w:val="24"/>
                <w:u w:val="none"/>
                <w:lang w:val="en-US" w:eastAsia="zh-CN"/>
              </w:rPr>
              <w:t>限价</w:t>
            </w:r>
            <w:r>
              <w:rPr>
                <w:rFonts w:hint="eastAsia" w:ascii="宋体" w:hAnsi="宋体" w:eastAsia="宋体" w:cs="宋体"/>
                <w:b w:val="0"/>
                <w:bCs w:val="0"/>
                <w:i w:val="0"/>
                <w:iCs w:val="0"/>
                <w:color w:val="000000"/>
                <w:sz w:val="24"/>
                <w:szCs w:val="24"/>
                <w:u w:val="none"/>
                <w:lang w:eastAsia="zh-CN"/>
              </w:rPr>
              <w:t>（</w:t>
            </w:r>
            <w:r>
              <w:rPr>
                <w:rFonts w:hint="eastAsia" w:ascii="宋体" w:hAnsi="宋体" w:eastAsia="宋体" w:cs="宋体"/>
                <w:b w:val="0"/>
                <w:bCs w:val="0"/>
                <w:i w:val="0"/>
                <w:iCs w:val="0"/>
                <w:color w:val="000000"/>
                <w:sz w:val="24"/>
                <w:szCs w:val="24"/>
                <w:u w:val="none"/>
                <w:lang w:val="en-US" w:eastAsia="zh-CN"/>
              </w:rPr>
              <w:t>元</w:t>
            </w:r>
            <w:r>
              <w:rPr>
                <w:rFonts w:hint="eastAsia" w:ascii="宋体" w:hAnsi="宋体" w:eastAsia="宋体" w:cs="宋体"/>
                <w:b w:val="0"/>
                <w:bCs w:val="0"/>
                <w:i w:val="0"/>
                <w:iCs w:val="0"/>
                <w:color w:val="000000"/>
                <w:sz w:val="24"/>
                <w:szCs w:val="24"/>
                <w:u w:val="none"/>
                <w:lang w:eastAsia="zh-CN"/>
              </w:rPr>
              <w:t>）</w:t>
            </w: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33DE5A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投标单价（元）</w:t>
            </w:r>
          </w:p>
        </w:tc>
      </w:tr>
      <w:tr w14:paraId="0C4F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8"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26D513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3A98011E">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7C80CA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07E931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00E531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r>
      <w:tr w14:paraId="42373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4"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3A6115E6">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71A754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4B25DC37">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651107DC">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5159F947">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r>
      <w:tr w14:paraId="12102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8"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7E4C74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05220B8D">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143C26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3CA6CE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18E041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r>
      <w:tr w14:paraId="422F0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79"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2921FE1F">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1259CA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387A2AF1">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12715906">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281A9C4C">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r>
      <w:tr w14:paraId="40F1D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3" w:hRule="atLeast"/>
          <w:jc w:val="center"/>
        </w:trPr>
        <w:tc>
          <w:tcPr>
            <w:tcW w:w="813" w:type="pct"/>
            <w:tcBorders>
              <w:top w:val="single" w:color="000000" w:sz="4" w:space="0"/>
              <w:left w:val="single" w:color="000000" w:sz="4" w:space="0"/>
              <w:bottom w:val="single" w:color="000000" w:sz="4" w:space="0"/>
              <w:right w:val="single" w:color="000000" w:sz="4" w:space="0"/>
            </w:tcBorders>
            <w:noWrap w:val="0"/>
            <w:vAlign w:val="center"/>
          </w:tcPr>
          <w:p w14:paraId="19353B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DD918C1">
            <w:pPr>
              <w:pStyle w:val="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693" w:type="pct"/>
            <w:tcBorders>
              <w:top w:val="single" w:color="000000" w:sz="4" w:space="0"/>
              <w:left w:val="single" w:color="000000" w:sz="4" w:space="0"/>
              <w:bottom w:val="single" w:color="000000" w:sz="4" w:space="0"/>
              <w:right w:val="single" w:color="000000" w:sz="4" w:space="0"/>
            </w:tcBorders>
            <w:noWrap w:val="0"/>
            <w:vAlign w:val="center"/>
          </w:tcPr>
          <w:p w14:paraId="7C96CA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570" w:type="pct"/>
            <w:tcBorders>
              <w:top w:val="single" w:color="000000" w:sz="4" w:space="0"/>
              <w:left w:val="single" w:color="000000" w:sz="4" w:space="0"/>
              <w:bottom w:val="single" w:color="000000" w:sz="4" w:space="0"/>
              <w:right w:val="single" w:color="000000" w:sz="4" w:space="0"/>
            </w:tcBorders>
            <w:noWrap w:val="0"/>
            <w:vAlign w:val="center"/>
          </w:tcPr>
          <w:p w14:paraId="1FC092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c>
          <w:tcPr>
            <w:tcW w:w="1235" w:type="pct"/>
            <w:tcBorders>
              <w:top w:val="single" w:color="000000" w:sz="4" w:space="0"/>
              <w:left w:val="single" w:color="000000" w:sz="4" w:space="0"/>
              <w:bottom w:val="single" w:color="000000" w:sz="4" w:space="0"/>
              <w:right w:val="single" w:color="000000" w:sz="4" w:space="0"/>
            </w:tcBorders>
            <w:noWrap w:val="0"/>
            <w:vAlign w:val="center"/>
          </w:tcPr>
          <w:p w14:paraId="596FCB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b w:val="0"/>
                <w:bCs w:val="0"/>
                <w:sz w:val="28"/>
                <w:szCs w:val="28"/>
                <w:lang w:val="en-US" w:eastAsia="zh-CN"/>
              </w:rPr>
            </w:pPr>
          </w:p>
        </w:tc>
      </w:tr>
      <w:tr w14:paraId="61926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3"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6B16ED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仿宋" w:hAnsi="仿宋" w:eastAsia="仿宋" w:cs="仿宋"/>
                <w:b w:val="0"/>
                <w:bCs w:val="0"/>
                <w:sz w:val="28"/>
                <w:szCs w:val="28"/>
                <w:lang w:val="en-US" w:eastAsia="zh-CN"/>
              </w:rPr>
            </w:pPr>
            <w:r>
              <w:rPr>
                <w:rFonts w:hint="eastAsia" w:ascii="宋体" w:hAnsi="宋体" w:eastAsia="宋体" w:cs="宋体"/>
                <w:b w:val="0"/>
                <w:bCs w:val="0"/>
                <w:sz w:val="24"/>
                <w:szCs w:val="24"/>
                <w:lang w:val="en-US" w:eastAsia="zh-CN"/>
              </w:rPr>
              <w:t>单价总计：大写</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 元（小写：</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元） </w:t>
            </w:r>
            <w:r>
              <w:rPr>
                <w:rFonts w:hint="eastAsia" w:ascii="宋体" w:hAnsi="宋体" w:eastAsia="宋体" w:cs="宋体"/>
                <w:b w:val="0"/>
                <w:bCs w:val="0"/>
                <w:sz w:val="28"/>
                <w:szCs w:val="28"/>
                <w:lang w:val="en-US" w:eastAsia="zh-CN"/>
              </w:rPr>
              <w:t xml:space="preserve"> </w:t>
            </w:r>
          </w:p>
        </w:tc>
      </w:tr>
    </w:tbl>
    <w:p w14:paraId="36F44253">
      <w:pPr>
        <w:keepNext w:val="0"/>
        <w:keepLines w:val="0"/>
        <w:pageBreakBefore w:val="0"/>
        <w:tabs>
          <w:tab w:val="left" w:pos="656"/>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三、合同价款</w:t>
      </w:r>
    </w:p>
    <w:p w14:paraId="1E8306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bookmarkStart w:id="215" w:name="auto_fouce_4"/>
      <w:r>
        <w:rPr>
          <w:rFonts w:hint="eastAsia" w:ascii="宋体" w:hAnsi="宋体" w:eastAsia="宋体" w:cs="宋体"/>
          <w:color w:val="auto"/>
          <w:sz w:val="24"/>
          <w:szCs w:val="24"/>
          <w:lang w:val="en-US" w:eastAsia="zh-CN"/>
        </w:rPr>
        <w:t>1.</w:t>
      </w:r>
      <w:bookmarkEnd w:id="215"/>
      <w:r>
        <w:rPr>
          <w:rFonts w:hint="eastAsia" w:ascii="宋体" w:hAnsi="宋体" w:eastAsia="宋体" w:cs="宋体"/>
          <w:color w:val="auto"/>
          <w:sz w:val="24"/>
          <w:szCs w:val="24"/>
          <w:lang w:eastAsia="zh-CN"/>
        </w:rPr>
        <w:t>合同</w:t>
      </w:r>
      <w:r>
        <w:rPr>
          <w:rFonts w:hint="eastAsia" w:ascii="宋体" w:hAnsi="宋体" w:eastAsia="宋体" w:cs="宋体"/>
          <w:color w:val="auto"/>
          <w:sz w:val="24"/>
          <w:szCs w:val="24"/>
          <w:lang w:val="en-US" w:eastAsia="zh-CN"/>
        </w:rPr>
        <w:t>单价总计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p>
    <w:p w14:paraId="7E7743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rPr>
        <w:t>合同</w:t>
      </w:r>
      <w:r>
        <w:rPr>
          <w:rFonts w:hint="eastAsia" w:ascii="宋体" w:hAnsi="宋体" w:eastAsia="宋体" w:cs="宋体"/>
          <w:color w:val="auto"/>
          <w:sz w:val="24"/>
          <w:lang w:val="en-US" w:eastAsia="zh-CN"/>
        </w:rPr>
        <w:t>价款</w:t>
      </w:r>
      <w:r>
        <w:rPr>
          <w:rFonts w:hint="eastAsia" w:ascii="宋体" w:hAnsi="宋体" w:eastAsia="宋体" w:cs="宋体"/>
          <w:color w:val="auto"/>
          <w:sz w:val="24"/>
        </w:rPr>
        <w:t>包括</w:t>
      </w:r>
      <w:r>
        <w:rPr>
          <w:rFonts w:hint="eastAsia" w:ascii="宋体" w:hAnsi="宋体" w:eastAsia="宋体" w:cs="宋体"/>
          <w:color w:val="auto"/>
          <w:sz w:val="24"/>
          <w:lang w:eastAsia="zh-CN"/>
        </w:rPr>
        <w:t>：</w:t>
      </w:r>
      <w:r>
        <w:rPr>
          <w:rFonts w:hint="eastAsia" w:ascii="宋体" w:hAnsi="宋体" w:eastAsia="宋体" w:cs="宋体"/>
          <w:color w:val="auto"/>
          <w:sz w:val="24"/>
        </w:rPr>
        <w:t>产品供应费、储存费、包装费、短配费(含仓储费、保险费、装卸费)及其他相关的费用。供货方应提供完整的物资流通溯源信息，包括但不限于生产批号、物流单据、质检证明等文件。合同单价一次包死，不受市场价变化的影响。</w:t>
      </w:r>
    </w:p>
    <w:p w14:paraId="34BC70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四、合同结算</w:t>
      </w:r>
    </w:p>
    <w:p w14:paraId="220D45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w:t>
      </w:r>
      <w:commentRangeStart w:id="5"/>
      <w:bookmarkStart w:id="216" w:name="auto_fouce_7"/>
      <w:r>
        <w:rPr>
          <w:rFonts w:hint="eastAsia" w:ascii="宋体" w:hAnsi="宋体" w:eastAsia="宋体" w:cs="宋体"/>
          <w:sz w:val="24"/>
          <w:szCs w:val="24"/>
          <w:lang w:eastAsia="zh-CN"/>
        </w:rPr>
        <w:t>结算方</w:t>
      </w:r>
      <w:r>
        <w:rPr>
          <w:rFonts w:hint="eastAsia" w:ascii="宋体" w:hAnsi="宋体" w:eastAsia="宋体" w:cs="宋体"/>
          <w:color w:val="000000" w:themeColor="text1"/>
          <w:sz w:val="24"/>
          <w:szCs w:val="24"/>
          <w:lang w:eastAsia="zh-CN"/>
          <w14:textFill>
            <w14:solidFill>
              <w14:schemeClr w14:val="tx1"/>
            </w14:solidFill>
          </w14:textFill>
        </w:rPr>
        <w:t>式:</w:t>
      </w:r>
      <w:r>
        <w:rPr>
          <w:rFonts w:hint="eastAsia" w:ascii="宋体" w:hAnsi="宋体" w:eastAsia="宋体" w:cs="宋体"/>
          <w:color w:val="000000" w:themeColor="text1"/>
          <w:kern w:val="0"/>
          <w:sz w:val="24"/>
          <w:szCs w:val="24"/>
          <w:lang w:val="en-US" w:eastAsia="zh-CN"/>
          <w14:textFill>
            <w14:solidFill>
              <w14:schemeClr w14:val="tx1"/>
            </w14:solidFill>
          </w14:textFill>
        </w:rPr>
        <w:t>根据实际配送量据实结算，以甲方签收确认的配送清单为准。结算时间为买方验货、收货且确认质量合格，且乙方交付对应金额符合要求的增值税专用发票后的10个工作日内。如甲方于质保期内发现货物存在瑕疵、质量不合格或与约定不符，有权暂缓支付全部或部分货款，直至乙方完成更换或妥善处理。如乙方逾期10日未完成整改的，甲方有权直接扣除对应瑕疵货物的等额货款，无需承担任何违约责任。</w:t>
      </w:r>
      <w:commentRangeEnd w:id="5"/>
      <w:r>
        <w:rPr>
          <w:rStyle w:val="50"/>
          <w:rFonts w:hint="eastAsia" w:ascii="宋体" w:hAnsi="宋体" w:eastAsia="宋体" w:cs="宋体"/>
          <w:color w:val="000000" w:themeColor="text1"/>
          <w:sz w:val="24"/>
          <w:szCs w:val="24"/>
          <w14:textFill>
            <w14:solidFill>
              <w14:schemeClr w14:val="tx1"/>
            </w14:solidFill>
          </w14:textFill>
        </w:rPr>
        <w:commentReference w:id="5"/>
      </w:r>
      <w:bookmarkEnd w:id="216"/>
    </w:p>
    <w:p w14:paraId="1E7151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货款收款单位为: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4C6446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乙方应按甲方要求向甲方开具合法、与采购内容一致的增值税专用发票，税率以国家规定为准。</w:t>
      </w:r>
    </w:p>
    <w:p w14:paraId="4C0136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发票开具的“购货单位(人)名称”为:安康市中心血站</w:t>
      </w:r>
    </w:p>
    <w:p w14:paraId="524B45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五、交货</w:t>
      </w:r>
      <w:r>
        <w:rPr>
          <w:rFonts w:hint="eastAsia" w:ascii="宋体" w:hAnsi="宋体" w:eastAsia="宋体" w:cs="宋体"/>
          <w:color w:val="000000" w:themeColor="text1"/>
          <w:sz w:val="24"/>
          <w:szCs w:val="24"/>
          <w:lang w:val="en-US" w:eastAsia="zh-CN"/>
          <w14:textFill>
            <w14:solidFill>
              <w14:schemeClr w14:val="tx1"/>
            </w14:solidFill>
          </w14:textFill>
        </w:rPr>
        <w:t>地点及时限</w:t>
      </w:r>
    </w:p>
    <w:p w14:paraId="0133BE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.交货地点：</w:t>
      </w:r>
      <w:r>
        <w:rPr>
          <w:rFonts w:hint="eastAsia" w:ascii="宋体" w:hAnsi="宋体" w:eastAsia="宋体" w:cs="宋体"/>
          <w:color w:val="000000" w:themeColor="text1"/>
          <w:sz w:val="24"/>
          <w14:textFill>
            <w14:solidFill>
              <w14:schemeClr w14:val="tx1"/>
            </w14:solidFill>
          </w14:textFill>
        </w:rPr>
        <w:t>甲方指定配送点。货物所有权及风险自物资实际送达甲方指定配送点并经甲方验收合格后转移至甲方，此前全部毁损、灭失、污染等风险由乙方承担</w:t>
      </w:r>
      <w:r>
        <w:rPr>
          <w:rFonts w:hint="eastAsia" w:ascii="宋体" w:hAnsi="宋体" w:eastAsia="宋体" w:cs="宋体"/>
          <w:color w:val="000000" w:themeColor="text1"/>
          <w:sz w:val="24"/>
          <w:lang w:eastAsia="zh-CN"/>
          <w14:textFill>
            <w14:solidFill>
              <w14:schemeClr w14:val="tx1"/>
            </w14:solidFill>
          </w14:textFill>
        </w:rPr>
        <w:t>。</w:t>
      </w:r>
      <w:r>
        <w:rPr>
          <w:rStyle w:val="50"/>
          <w:rFonts w:hint="eastAsia" w:ascii="宋体" w:hAnsi="宋体" w:eastAsia="宋体" w:cs="宋体"/>
          <w:color w:val="000000" w:themeColor="text1"/>
          <w:sz w:val="24"/>
          <w:szCs w:val="24"/>
          <w14:textFill>
            <w14:solidFill>
              <w14:schemeClr w14:val="tx1"/>
            </w14:solidFill>
          </w14:textFill>
        </w:rPr>
        <w:commentReference w:id="6"/>
      </w:r>
    </w:p>
    <w:p w14:paraId="53FA1D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供货期限:自签订合同起按实际使用需求分批供货至预算金额用完。接到订货通知起5个工作日内完成交货。</w:t>
      </w:r>
    </w:p>
    <w:p w14:paraId="0B90A0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六、质量保证</w:t>
      </w:r>
    </w:p>
    <w:p w14:paraId="0A53F062">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bookmarkStart w:id="217" w:name="auto_fouce_13"/>
      <w:bookmarkStart w:id="218" w:name="auto_fouce_12"/>
      <w:r>
        <w:rPr>
          <w:rFonts w:hint="eastAsia" w:ascii="宋体" w:hAnsi="宋体" w:eastAsia="宋体" w:cs="宋体"/>
          <w:color w:val="auto"/>
          <w:sz w:val="24"/>
          <w:szCs w:val="24"/>
        </w:rPr>
        <w:t>1.</w:t>
      </w:r>
      <w:r>
        <w:rPr>
          <w:rFonts w:ascii="宋体" w:hAnsi="宋体" w:eastAsia="宋体" w:cs="宋体"/>
          <w:sz w:val="24"/>
          <w:szCs w:val="24"/>
        </w:rPr>
        <w:t>所有供货食品必须符合《中华人民共和国食品安全法》及国家现行对应的食品安全国家标准，产品为正规厂家生产的合格产品，严禁供货三无产品、假冒伪劣产品。</w:t>
      </w:r>
    </w:p>
    <w:p w14:paraId="1D9E6A0F">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2.包装外观质量 </w:t>
      </w:r>
    </w:p>
    <w:p w14:paraId="6031193F">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预包装饮品（果汁、酸酸乳、纯牛奶）：外包装完整洁净，无胀包、漏液、破袋、压损、开封痕迹，印刷标识清晰完整。</w:t>
      </w:r>
    </w:p>
    <w:p w14:paraId="6169CC86">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面包：包装完好，无破损、霉变、塌陷，无</w:t>
      </w:r>
      <w:r>
        <w:rPr>
          <w:rFonts w:hint="eastAsia" w:ascii="宋体" w:hAnsi="宋体" w:eastAsia="宋体" w:cs="宋体"/>
          <w:color w:val="auto"/>
          <w:sz w:val="24"/>
          <w:szCs w:val="24"/>
          <w:lang w:val="en-US" w:eastAsia="zh-CN"/>
        </w:rPr>
        <w:t>脏污、无</w:t>
      </w:r>
      <w:r>
        <w:rPr>
          <w:rFonts w:hint="eastAsia" w:ascii="宋体" w:hAnsi="宋体" w:eastAsia="宋体" w:cs="宋体"/>
          <w:color w:val="auto"/>
          <w:sz w:val="24"/>
          <w:szCs w:val="24"/>
        </w:rPr>
        <w:t>异味。</w:t>
      </w:r>
    </w:p>
    <w:p w14:paraId="24E9ED4E">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散装零食：包装</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分装规范，无受潮、霉变、虫蛀、变质现象。</w:t>
      </w:r>
    </w:p>
    <w:p w14:paraId="10F8366B">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标签标识：预包装产品标签完整，清晰标明产品名称、配料表、生产者信息、生产日期、批号、保质期、贮存条件、执行标准等法定信息；散装食品须按规范做好标识，标明生产日期、保质期、生产者信息。</w:t>
      </w:r>
    </w:p>
    <w:p w14:paraId="1586E418">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随货资料：每批次供货须附带该批次产品出厂合格证明文件；散装零食须提供对应批次检验合格材料。采购人有权对供货产品索要资质、检验报告，供应商应及时提供。</w:t>
      </w:r>
    </w:p>
    <w:p w14:paraId="679E1FF4">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储存运输：运输工具干净卫生，符合食品运输条件，根据产品贮存要求做好避光、控温、防潮防护，运输过程不得造成食品污染、变质。</w:t>
      </w:r>
    </w:p>
    <w:p w14:paraId="2A24A35A">
      <w:pPr>
        <w:keepNext w:val="0"/>
        <w:keepLines w:val="0"/>
        <w:pageBreakBefore w:val="0"/>
        <w:kinsoku/>
        <w:wordWrap/>
        <w:overflowPunct/>
        <w:topLinePunct w:val="0"/>
        <w:autoSpaceDE/>
        <w:autoSpaceDN/>
        <w:bidi w:val="0"/>
        <w:spacing w:line="460" w:lineRule="exact"/>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货源要求：供应商须保证货源渠道合法正规，能够提供进货票据、供货来源凭证，严禁来源不明食品。</w:t>
      </w:r>
    </w:p>
    <w:p w14:paraId="67E7FB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禁止供货品类：严禁提供过期、变质、变质风险、回收返销食品，严禁临期拼凑、混搭供货。</w:t>
      </w:r>
      <w:commentRangeStart w:id="7"/>
      <w:commentRangeStart w:id="8"/>
      <w:r>
        <w:rPr>
          <w:rStyle w:val="50"/>
          <w:rFonts w:hint="eastAsia" w:ascii="宋体" w:hAnsi="宋体" w:eastAsia="宋体" w:cs="宋体"/>
          <w:sz w:val="24"/>
          <w:szCs w:val="24"/>
        </w:rPr>
        <w:commentReference w:id="7"/>
      </w:r>
      <w:commentRangeEnd w:id="7"/>
      <w:commentRangeEnd w:id="8"/>
      <w:r>
        <w:rPr>
          <w:rStyle w:val="50"/>
          <w:rFonts w:hint="eastAsia" w:ascii="宋体" w:hAnsi="宋体" w:eastAsia="宋体" w:cs="宋体"/>
          <w:sz w:val="24"/>
          <w:szCs w:val="24"/>
        </w:rPr>
        <w:commentReference w:id="8"/>
      </w:r>
      <w:bookmarkEnd w:id="217"/>
      <w:bookmarkEnd w:id="218"/>
    </w:p>
    <w:p w14:paraId="73932E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8.质量保证期：</w:t>
      </w:r>
      <w:r>
        <w:rPr>
          <w:rFonts w:hint="eastAsia" w:cs="Times New Roman"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所供全部食品到货剩余保质期不低于产品原厂标签标注总保质期的 3/4，保质期以产品原厂标签为准。</w:t>
      </w:r>
    </w:p>
    <w:p w14:paraId="5CEA2A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七、验收依据</w:t>
      </w:r>
    </w:p>
    <w:p w14:paraId="226416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bookmarkStart w:id="219" w:name="auto_fouce_14"/>
      <w:r>
        <w:rPr>
          <w:rFonts w:hint="eastAsia" w:ascii="宋体" w:hAnsi="宋体" w:eastAsia="宋体" w:cs="宋体"/>
          <w:sz w:val="24"/>
          <w:szCs w:val="24"/>
          <w:lang w:val="en-US" w:eastAsia="zh-CN"/>
        </w:rPr>
        <w:t>1.</w:t>
      </w:r>
      <w:commentRangeStart w:id="9"/>
      <w:r>
        <w:rPr>
          <w:rFonts w:hint="eastAsia" w:ascii="宋体" w:hAnsi="宋体" w:eastAsia="宋体" w:cs="宋体"/>
          <w:sz w:val="24"/>
          <w:szCs w:val="24"/>
          <w:lang w:eastAsia="zh-CN"/>
        </w:rPr>
        <w:t>甲方有权自收货后15个工作日内书面提出质量异议，逾期未提出视为外观质量验收合格，</w:t>
      </w:r>
      <w:r>
        <w:rPr>
          <w:rStyle w:val="50"/>
          <w:rFonts w:hint="eastAsia" w:ascii="宋体" w:hAnsi="宋体" w:eastAsia="宋体" w:cs="宋体"/>
          <w:sz w:val="24"/>
          <w:szCs w:val="24"/>
        </w:rPr>
        <w:commentReference w:id="10"/>
      </w:r>
      <w:r>
        <w:rPr>
          <w:rFonts w:hint="eastAsia" w:ascii="宋体" w:hAnsi="宋体" w:eastAsia="宋体" w:cs="宋体"/>
          <w:sz w:val="24"/>
          <w:szCs w:val="24"/>
          <w:lang w:eastAsia="zh-CN"/>
        </w:rPr>
        <w:t>但不</w:t>
      </w:r>
      <w:r>
        <w:rPr>
          <w:rStyle w:val="50"/>
          <w:rFonts w:hint="eastAsia" w:ascii="宋体" w:hAnsi="宋体" w:eastAsia="宋体" w:cs="宋体"/>
          <w:sz w:val="24"/>
          <w:szCs w:val="24"/>
        </w:rPr>
        <w:commentReference w:id="11"/>
      </w:r>
      <w:r>
        <w:rPr>
          <w:rFonts w:hint="eastAsia" w:ascii="宋体" w:hAnsi="宋体" w:eastAsia="宋体" w:cs="宋体"/>
          <w:sz w:val="24"/>
          <w:szCs w:val="24"/>
          <w:lang w:eastAsia="zh-CN"/>
        </w:rPr>
        <w:t>影响甲方依法追究产品本身固有质量缺陷的责任。</w:t>
      </w:r>
      <w:commentRangeEnd w:id="9"/>
      <w:r>
        <w:rPr>
          <w:rStyle w:val="50"/>
          <w:rFonts w:hint="eastAsia" w:ascii="宋体" w:hAnsi="宋体" w:eastAsia="宋体" w:cs="宋体"/>
          <w:sz w:val="24"/>
          <w:szCs w:val="24"/>
        </w:rPr>
        <w:commentReference w:id="9"/>
      </w:r>
      <w:bookmarkEnd w:id="219"/>
    </w:p>
    <w:p w14:paraId="27D5E1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bookmarkStart w:id="220" w:name="auto_fouce_20"/>
      <w:r>
        <w:rPr>
          <w:rFonts w:hint="eastAsia" w:ascii="宋体" w:hAnsi="宋体" w:eastAsia="宋体" w:cs="宋体"/>
          <w:sz w:val="24"/>
          <w:szCs w:val="24"/>
          <w:lang w:val="en-US" w:eastAsia="zh-CN"/>
        </w:rPr>
        <w:t>2.</w:t>
      </w:r>
      <w:commentRangeStart w:id="12"/>
      <w:r>
        <w:rPr>
          <w:rFonts w:hint="eastAsia" w:ascii="宋体" w:hAnsi="宋体" w:eastAsia="宋体" w:cs="宋体"/>
          <w:sz w:val="24"/>
          <w:szCs w:val="24"/>
          <w:lang w:eastAsia="zh-CN"/>
        </w:rPr>
        <w:t>在供货业务运行过程中出现时间、地点、人员变化等现象，甲方可根据实际情况自主决定通知乙方配送调整的时间，乙方应无条件配合，相关调整不构成甲方违约或乙方免责理由。</w:t>
      </w:r>
      <w:commentRangeEnd w:id="12"/>
      <w:r>
        <w:rPr>
          <w:rFonts w:hint="eastAsia" w:ascii="宋体" w:hAnsi="宋体" w:eastAsia="宋体" w:cs="宋体"/>
          <w:sz w:val="24"/>
          <w:szCs w:val="24"/>
          <w:lang w:eastAsia="zh-CN"/>
        </w:rPr>
        <w:commentReference w:id="12"/>
      </w:r>
      <w:bookmarkEnd w:id="220"/>
    </w:p>
    <w:p w14:paraId="7DD26E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甲方有义务配合乙方处理完善双方合作中的突发事件。</w:t>
      </w:r>
    </w:p>
    <w:p w14:paraId="50C2E0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八、售后服务 </w:t>
      </w:r>
    </w:p>
    <w:p w14:paraId="12BDBA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1.在质保期内出现任何质量问题，无条件更换相同规格质量产品，保证响应时间≤2个小时，解决问题的时间≤8 小时。</w:t>
      </w:r>
    </w:p>
    <w:p w14:paraId="7275E7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2.保证配送、服务的及时性,能立即响应并满足采购人订货规定的时间要求，严禁影响采购人的使用要求。</w:t>
      </w:r>
    </w:p>
    <w:p w14:paraId="7DD66F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九、违约责任</w:t>
      </w:r>
    </w:p>
    <w:p w14:paraId="5B6651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w:t>
      </w:r>
      <w:bookmarkStart w:id="221" w:name="auto_fouce_23"/>
      <w:commentRangeStart w:id="13"/>
      <w:r>
        <w:rPr>
          <w:rFonts w:hint="eastAsia" w:ascii="宋体" w:hAnsi="宋体" w:eastAsia="宋体" w:cs="宋体"/>
          <w:sz w:val="24"/>
          <w:szCs w:val="24"/>
          <w:lang w:eastAsia="zh-CN"/>
        </w:rPr>
        <w:t>甲方对产品质量提出书面异议后，乙方应在收到甲方书面异议后48小时内（或双方协商一致的合理期限内）提供书面替代方案并经甲方确认，逾期未处理的甲方有权按该批货物价款的20%扣除违约金。如因不可抗力(包括但不限于自然灾害、突发疫情、政策变化等)导致合同不能履行，双方均无需承担违约责任，但应及时协商采取合理补救措施。</w:t>
      </w:r>
      <w:commentRangeEnd w:id="13"/>
      <w:r>
        <w:rPr>
          <w:rStyle w:val="50"/>
          <w:rFonts w:hint="eastAsia" w:ascii="宋体" w:hAnsi="宋体" w:eastAsia="宋体" w:cs="宋体"/>
          <w:sz w:val="24"/>
          <w:szCs w:val="24"/>
        </w:rPr>
        <w:commentReference w:id="13"/>
      </w:r>
      <w:bookmarkEnd w:id="221"/>
    </w:p>
    <w:p w14:paraId="6118E2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w:t>
      </w:r>
      <w:bookmarkStart w:id="222" w:name="auto_fouce_24"/>
      <w:commentRangeStart w:id="14"/>
      <w:r>
        <w:rPr>
          <w:rFonts w:hint="eastAsia" w:ascii="宋体" w:hAnsi="宋体" w:eastAsia="宋体" w:cs="宋体"/>
          <w:sz w:val="24"/>
          <w:szCs w:val="24"/>
          <w:lang w:eastAsia="zh-CN"/>
        </w:rPr>
        <w:t>乙方未按照本合同第五条约定的时间、地点、数量交付符合约定的货物，每逾期一日，应向甲方支付该批次逾期交付货物金额千分之五的违约金；逾期超过5日的，甲方有权单方解除该批次或全部合同，乙方除应支付违约金外，还应向甲方支付合同总价款20%的违约金。如因此造成甲方实际损失(包括但不限于延误发放后的补救费用、投诉赔偿等)，乙方还应足额赔偿甲方全部实际损失，违约金不足以弥补损失的，应补足差额。</w:t>
      </w:r>
      <w:commentRangeEnd w:id="14"/>
      <w:r>
        <w:rPr>
          <w:rStyle w:val="50"/>
          <w:rFonts w:hint="eastAsia" w:ascii="宋体" w:hAnsi="宋体" w:eastAsia="宋体" w:cs="宋体"/>
          <w:sz w:val="24"/>
          <w:szCs w:val="24"/>
        </w:rPr>
        <w:commentReference w:id="14"/>
      </w:r>
      <w:bookmarkEnd w:id="222"/>
    </w:p>
    <w:p w14:paraId="042CE8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FF0000"/>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w:t>
      </w:r>
      <w:bookmarkStart w:id="223" w:name="tip_risk_bookmark_25"/>
      <w:commentRangeStart w:id="15"/>
      <w:r>
        <w:rPr>
          <w:rFonts w:hint="eastAsia" w:ascii="宋体" w:hAnsi="宋体" w:eastAsia="宋体" w:cs="宋体"/>
          <w:sz w:val="24"/>
          <w:szCs w:val="24"/>
          <w:lang w:eastAsia="zh-CN"/>
        </w:rPr>
        <w:t>甲方迟延付款，则承担付款金额2%的滞纳金，滞纳金自验收合格满10个工作日起算。但因乙方原因(如质量问题、验收异议、资料缺漏等)导致甲方合理拒付或暂缓付款的，不视为甲方违约，乙方不得据此主张滞纳金及追偿。违约方承担的总违约金不超过合同总价款的 20%。</w:t>
      </w:r>
      <w:commentRangeEnd w:id="15"/>
      <w:r>
        <w:rPr>
          <w:rStyle w:val="50"/>
          <w:rFonts w:hint="eastAsia" w:ascii="宋体" w:hAnsi="宋体" w:eastAsia="宋体" w:cs="宋体"/>
          <w:sz w:val="24"/>
          <w:szCs w:val="24"/>
        </w:rPr>
        <w:commentReference w:id="15"/>
      </w:r>
      <w:bookmarkEnd w:id="223"/>
      <w:bookmarkStart w:id="224" w:name="auto_fouce_26"/>
      <w:commentRangeStart w:id="16"/>
    </w:p>
    <w:p w14:paraId="7C240756">
      <w:pPr>
        <w:pStyle w:val="5"/>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若乙方提供的产品、资质文件存在虚假，或产品不符合国家强制性标准、存在安全隐患并造成任何人身或财产损害的，乙方除承担本合同约定的违约责任外，还应赔偿甲方及第三方因此遭受的全部损失（包括但不限于赔偿金、罚款、律师费、诉讼费、鉴定费等）。</w:t>
      </w:r>
      <w:commentRangeEnd w:id="16"/>
      <w:r>
        <w:rPr>
          <w:rStyle w:val="50"/>
          <w:rFonts w:hint="eastAsia" w:ascii="宋体" w:hAnsi="宋体" w:eastAsia="宋体" w:cs="宋体"/>
          <w:b w:val="0"/>
          <w:bCs w:val="0"/>
          <w:sz w:val="24"/>
          <w:szCs w:val="24"/>
        </w:rPr>
        <w:commentReference w:id="16"/>
      </w:r>
      <w:bookmarkEnd w:id="224"/>
    </w:p>
    <w:p w14:paraId="6544EB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十、合同争议解决的方式</w:t>
      </w:r>
    </w:p>
    <w:p w14:paraId="5CB23F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bookmarkStart w:id="225" w:name="auto_fouce_27"/>
      <w:commentRangeStart w:id="17"/>
      <w:r>
        <w:rPr>
          <w:rFonts w:hint="eastAsia" w:ascii="宋体" w:hAnsi="宋体" w:eastAsia="宋体" w:cs="宋体"/>
          <w:sz w:val="24"/>
          <w:szCs w:val="24"/>
          <w:lang w:eastAsia="zh-CN"/>
        </w:rPr>
        <w:t>本合同在履行过程中发生的争议,由甲乙双方当事人协商解决,协商不成的，依法向甲方所在地有管辖权的人民法院提起诉讼。</w:t>
      </w:r>
      <w:commentRangeEnd w:id="17"/>
      <w:r>
        <w:rPr>
          <w:rStyle w:val="50"/>
          <w:rFonts w:hint="eastAsia" w:ascii="宋体" w:hAnsi="宋体" w:eastAsia="宋体" w:cs="宋体"/>
          <w:sz w:val="24"/>
          <w:szCs w:val="24"/>
        </w:rPr>
        <w:commentReference w:id="17"/>
      </w:r>
      <w:bookmarkEnd w:id="225"/>
    </w:p>
    <w:p w14:paraId="116BEE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十一、合同生效及其它</w:t>
      </w:r>
    </w:p>
    <w:p w14:paraId="1E0EDA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合同未尽事宜、由甲、乙双方协商，签署书面补充协议后生效，作为合同补充，与原合同具有同等法律效力。任何对本合同条款的变更须经双方以书面形式确认，方为有效。</w:t>
      </w:r>
    </w:p>
    <w:p w14:paraId="605CE4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w:t>
      </w:r>
      <w:bookmarkStart w:id="226" w:name="tip_risk_bookmark_28"/>
      <w:commentRangeStart w:id="18"/>
      <w:r>
        <w:rPr>
          <w:rFonts w:hint="eastAsia" w:ascii="宋体" w:hAnsi="宋体" w:eastAsia="宋体" w:cs="宋体"/>
          <w:sz w:val="24"/>
          <w:szCs w:val="24"/>
          <w:lang w:eastAsia="zh-CN"/>
        </w:rPr>
        <w:t>本合同正本一式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份，甲乙双方分别执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份。受不可抗力影响方应在事发后24小时内以书面形式通知对方，并于合理期限内提供权威机构出具的相关证明。</w:t>
      </w:r>
      <w:commentRangeEnd w:id="18"/>
      <w:r>
        <w:rPr>
          <w:rStyle w:val="50"/>
          <w:rFonts w:hint="eastAsia" w:ascii="宋体" w:hAnsi="宋体" w:eastAsia="宋体" w:cs="宋体"/>
          <w:sz w:val="24"/>
          <w:szCs w:val="24"/>
        </w:rPr>
        <w:commentReference w:id="18"/>
      </w:r>
      <w:bookmarkEnd w:id="226"/>
    </w:p>
    <w:p w14:paraId="1C177C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w:t>
      </w:r>
      <w:bookmarkStart w:id="227" w:name="auto_fouce_29"/>
      <w:commentRangeStart w:id="19"/>
      <w:r>
        <w:rPr>
          <w:rFonts w:hint="eastAsia" w:ascii="宋体" w:hAnsi="宋体" w:eastAsia="宋体" w:cs="宋体"/>
          <w:sz w:val="24"/>
          <w:szCs w:val="24"/>
          <w:lang w:eastAsia="zh-CN"/>
        </w:rPr>
        <w:t>合同经甲乙双方共同签字盖章之日起生效，合同签订地点为安康市中心血站。</w:t>
      </w:r>
      <w:commentRangeEnd w:id="19"/>
      <w:r>
        <w:rPr>
          <w:rStyle w:val="50"/>
          <w:rFonts w:hint="eastAsia" w:ascii="宋体" w:hAnsi="宋体" w:eastAsia="宋体" w:cs="宋体"/>
          <w:sz w:val="24"/>
          <w:szCs w:val="24"/>
        </w:rPr>
        <w:commentReference w:id="19"/>
      </w:r>
      <w:bookmarkEnd w:id="227"/>
    </w:p>
    <w:p w14:paraId="1007A0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经双方认可的电子件(扫描件)可作为合同履行和结算依据，但原始书面正式文本具有最终法律效力。</w:t>
      </w:r>
    </w:p>
    <w:p w14:paraId="5A9745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通知与送达</w:t>
      </w:r>
    </w:p>
    <w:p w14:paraId="4244A5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5.1</w:t>
      </w:r>
      <w:r>
        <w:rPr>
          <w:rFonts w:hint="eastAsia" w:ascii="宋体" w:hAnsi="宋体" w:eastAsia="宋体" w:cs="宋体"/>
          <w:sz w:val="24"/>
          <w:szCs w:val="24"/>
          <w:lang w:eastAsia="zh-CN"/>
        </w:rPr>
        <w:t>双方因本合同履行所发生的通知、函件及相关文件，均应发送至合同签署时所载明的通讯地址、电子邮箱或传真号码。</w:t>
      </w:r>
    </w:p>
    <w:p w14:paraId="199C2C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5.2</w:t>
      </w:r>
      <w:r>
        <w:rPr>
          <w:rFonts w:hint="eastAsia" w:ascii="宋体" w:hAnsi="宋体" w:eastAsia="宋体" w:cs="宋体"/>
          <w:sz w:val="24"/>
          <w:szCs w:val="24"/>
          <w:lang w:eastAsia="zh-CN"/>
        </w:rPr>
        <w:t>通过电子邮件、传真或快递方式发出的通知、文件，以发送成功之日视为送达。任何一方变更地址、联系方式应及时以书面形式告知对方，否则因未及时通知所导致的送达后果由变更方承担。</w:t>
      </w:r>
    </w:p>
    <w:p w14:paraId="3289FA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p>
    <w:p w14:paraId="56F16CB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                                乙方：</w:t>
      </w:r>
    </w:p>
    <w:p w14:paraId="21BA91B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                                地址：</w:t>
      </w:r>
    </w:p>
    <w:p w14:paraId="510C2ED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电话：                                电话：</w:t>
      </w:r>
    </w:p>
    <w:p w14:paraId="02E10DB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传真：                                传真：</w:t>
      </w:r>
    </w:p>
    <w:p w14:paraId="0425C3F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开票信息：                            开票信息：</w:t>
      </w:r>
    </w:p>
    <w:p w14:paraId="0C3169B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p>
    <w:p w14:paraId="4B5C9A3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法定代表人（签字）：</w:t>
      </w:r>
    </w:p>
    <w:p w14:paraId="532B1FA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p>
    <w:p w14:paraId="36BD236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p>
    <w:p w14:paraId="1834E6D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b/>
          <w:sz w:val="96"/>
          <w:szCs w:val="96"/>
        </w:rPr>
      </w:pPr>
    </w:p>
    <w:p w14:paraId="08D07964">
      <w:pPr>
        <w:rPr>
          <w:rFonts w:hint="default" w:ascii="仿宋_GB2312" w:eastAsia="仿宋_GB2312"/>
          <w:sz w:val="24"/>
          <w:lang w:val="en-US" w:eastAsia="zh-CN"/>
        </w:rPr>
        <w:sectPr>
          <w:headerReference r:id="rId17" w:type="default"/>
          <w:footerReference r:id="rId18" w:type="default"/>
          <w:pgSz w:w="11905" w:h="16838"/>
          <w:pgMar w:top="1304" w:right="1304" w:bottom="1304" w:left="1304" w:header="907" w:footer="1020" w:gutter="0"/>
          <w:pgNumType w:fmt="decimal"/>
          <w:cols w:space="0" w:num="1"/>
          <w:rtlGutter w:val="0"/>
          <w:docGrid w:type="lines" w:linePitch="395" w:charSpace="0"/>
        </w:sectPr>
      </w:pPr>
    </w:p>
    <w:p w14:paraId="265E7115">
      <w:pPr>
        <w:pStyle w:val="2"/>
        <w:keepNext/>
        <w:keepLines/>
        <w:pageBreakBefore w:val="0"/>
        <w:widowControl/>
        <w:numPr>
          <w:ilvl w:val="0"/>
          <w:numId w:val="2"/>
        </w:numPr>
        <w:kinsoku/>
        <w:wordWrap/>
        <w:overflowPunct/>
        <w:topLinePunct w:val="0"/>
        <w:autoSpaceDE/>
        <w:autoSpaceDN/>
        <w:bidi w:val="0"/>
        <w:adjustRightInd/>
        <w:snapToGrid/>
        <w:spacing w:after="196" w:afterLines="50"/>
        <w:textAlignment w:val="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 </w:t>
      </w:r>
      <w:bookmarkStart w:id="228" w:name="_Toc1266"/>
      <w:r>
        <w:rPr>
          <w:rFonts w:hint="eastAsia" w:ascii="宋体" w:hAnsi="宋体" w:eastAsia="宋体" w:cs="Times New Roman"/>
          <w:color w:val="auto"/>
          <w:highlight w:val="none"/>
        </w:rPr>
        <w:t>响应文件格式</w:t>
      </w:r>
      <w:bookmarkEnd w:id="206"/>
      <w:bookmarkEnd w:id="207"/>
      <w:bookmarkEnd w:id="208"/>
      <w:bookmarkEnd w:id="209"/>
      <w:bookmarkEnd w:id="210"/>
      <w:bookmarkEnd w:id="211"/>
      <w:bookmarkEnd w:id="212"/>
      <w:bookmarkEnd w:id="213"/>
      <w:bookmarkEnd w:id="228"/>
    </w:p>
    <w:p w14:paraId="2A8F7C80">
      <w:pPr>
        <w:jc w:val="right"/>
        <w:rPr>
          <w:rFonts w:cs="仿宋" w:asciiTheme="minorEastAsia" w:hAnsiTheme="minorEastAsia" w:eastAsiaTheme="minorEastAsia"/>
          <w:b/>
          <w:color w:val="auto"/>
          <w:sz w:val="36"/>
          <w:szCs w:val="36"/>
          <w:highlight w:val="none"/>
          <w:bdr w:val="single" w:color="auto" w:sz="4" w:space="0"/>
          <w:shd w:val="pct10" w:color="auto" w:fill="FFFFFF"/>
        </w:rPr>
      </w:pPr>
    </w:p>
    <w:p w14:paraId="58A96A51">
      <w:pPr>
        <w:jc w:val="right"/>
        <w:rPr>
          <w:rFonts w:cs="仿宋" w:asciiTheme="minorEastAsia" w:hAnsiTheme="minorEastAsia" w:eastAsiaTheme="minorEastAsia"/>
          <w:b/>
          <w:color w:val="auto"/>
          <w:sz w:val="36"/>
          <w:szCs w:val="36"/>
          <w:highlight w:val="none"/>
          <w:bdr w:val="single" w:color="auto" w:sz="4" w:space="0"/>
          <w:shd w:val="pct10" w:color="auto" w:fill="FFFFFF"/>
        </w:rPr>
      </w:pPr>
      <w:r>
        <w:rPr>
          <w:rFonts w:hint="eastAsia" w:cs="仿宋" w:asciiTheme="minorEastAsia" w:hAnsiTheme="minorEastAsia" w:eastAsiaTheme="minorEastAsia"/>
          <w:b/>
          <w:color w:val="auto"/>
          <w:sz w:val="36"/>
          <w:szCs w:val="36"/>
          <w:highlight w:val="none"/>
          <w:bdr w:val="single" w:color="auto" w:sz="4" w:space="0"/>
          <w:shd w:val="pct10" w:color="auto" w:fill="FFFFFF"/>
        </w:rPr>
        <w:t>政府采购项目</w:t>
      </w:r>
    </w:p>
    <w:p w14:paraId="65B1C0A0">
      <w:pPr>
        <w:ind w:right="728"/>
        <w:rPr>
          <w:rFonts w:cs="仿宋" w:asciiTheme="minorEastAsia" w:hAnsiTheme="minorEastAsia" w:eastAsiaTheme="minorEastAsia"/>
          <w:bCs/>
          <w:color w:val="auto"/>
          <w:sz w:val="32"/>
          <w:szCs w:val="32"/>
          <w:highlight w:val="none"/>
        </w:rPr>
      </w:pPr>
    </w:p>
    <w:p w14:paraId="5D0C6B78">
      <w:pPr>
        <w:ind w:right="728"/>
        <w:rPr>
          <w:rFonts w:cs="仿宋" w:asciiTheme="minorEastAsia" w:hAnsiTheme="minorEastAsia" w:eastAsiaTheme="minorEastAsia"/>
          <w:b/>
          <w:color w:val="auto"/>
          <w:sz w:val="36"/>
          <w:szCs w:val="36"/>
          <w:highlight w:val="none"/>
          <w:bdr w:val="single" w:color="auto" w:sz="4" w:space="0"/>
          <w:shd w:val="pct10" w:color="auto" w:fill="FFFFFF"/>
        </w:rPr>
      </w:pPr>
      <w:r>
        <w:rPr>
          <w:rFonts w:hint="eastAsia" w:cs="仿宋" w:asciiTheme="minorEastAsia" w:hAnsiTheme="minorEastAsia" w:eastAsiaTheme="minorEastAsia"/>
          <w:bCs/>
          <w:color w:val="auto"/>
          <w:sz w:val="32"/>
          <w:szCs w:val="32"/>
          <w:highlight w:val="none"/>
          <w:lang w:val="en-US" w:eastAsia="zh-CN"/>
        </w:rPr>
        <w:t>项目</w:t>
      </w:r>
      <w:r>
        <w:rPr>
          <w:rFonts w:hint="eastAsia" w:cs="仿宋" w:asciiTheme="minorEastAsia" w:hAnsiTheme="minorEastAsia" w:eastAsiaTheme="minorEastAsia"/>
          <w:bCs/>
          <w:color w:val="auto"/>
          <w:sz w:val="32"/>
          <w:szCs w:val="32"/>
          <w:highlight w:val="none"/>
        </w:rPr>
        <w:t>编号:</w:t>
      </w:r>
    </w:p>
    <w:p w14:paraId="09CD14A5">
      <w:pPr>
        <w:spacing w:line="600" w:lineRule="exact"/>
        <w:jc w:val="center"/>
        <w:rPr>
          <w:rFonts w:asciiTheme="minorEastAsia" w:hAnsiTheme="minorEastAsia" w:eastAsiaTheme="minorEastAsia"/>
          <w:b/>
          <w:color w:val="auto"/>
          <w:sz w:val="36"/>
          <w:szCs w:val="36"/>
          <w:highlight w:val="none"/>
        </w:rPr>
      </w:pPr>
    </w:p>
    <w:p w14:paraId="61D6CD8D">
      <w:pPr>
        <w:spacing w:line="600" w:lineRule="exact"/>
        <w:jc w:val="center"/>
        <w:rPr>
          <w:rFonts w:asciiTheme="minorEastAsia" w:hAnsiTheme="minorEastAsia" w:eastAsiaTheme="minorEastAsia"/>
          <w:b/>
          <w:color w:val="auto"/>
          <w:sz w:val="36"/>
          <w:szCs w:val="36"/>
          <w:highlight w:val="none"/>
        </w:rPr>
      </w:pPr>
    </w:p>
    <w:p w14:paraId="313A4F5E">
      <w:pPr>
        <w:spacing w:line="600" w:lineRule="exact"/>
        <w:jc w:val="center"/>
        <w:rPr>
          <w:rFonts w:asciiTheme="minorEastAsia" w:hAnsiTheme="minorEastAsia" w:eastAsiaTheme="minorEastAsia"/>
          <w:b/>
          <w:color w:val="auto"/>
          <w:sz w:val="36"/>
          <w:szCs w:val="36"/>
          <w:highlight w:val="none"/>
        </w:rPr>
      </w:pPr>
    </w:p>
    <w:p w14:paraId="4D373F5B">
      <w:pPr>
        <w:spacing w:line="600" w:lineRule="exact"/>
        <w:jc w:val="center"/>
        <w:rPr>
          <w:rFonts w:asciiTheme="minorEastAsia" w:hAnsiTheme="minorEastAsia" w:eastAsiaTheme="minorEastAsia"/>
          <w:b/>
          <w:color w:val="auto"/>
          <w:sz w:val="36"/>
          <w:szCs w:val="36"/>
          <w:highlight w:val="none"/>
        </w:rPr>
      </w:pPr>
    </w:p>
    <w:p w14:paraId="7E0A821E">
      <w:pPr>
        <w:spacing w:line="360" w:lineRule="auto"/>
        <w:jc w:val="center"/>
        <w:rPr>
          <w:rFonts w:asciiTheme="minorEastAsia" w:hAnsiTheme="minorEastAsia" w:eastAsiaTheme="minorEastAsia" w:cstheme="majorEastAsia"/>
          <w:b/>
          <w:color w:val="auto"/>
          <w:w w:val="90"/>
          <w:sz w:val="56"/>
          <w:szCs w:val="56"/>
          <w:highlight w:val="none"/>
        </w:rPr>
      </w:pPr>
      <w:r>
        <w:rPr>
          <w:rFonts w:hint="eastAsia" w:asciiTheme="minorEastAsia" w:hAnsiTheme="minorEastAsia" w:eastAsiaTheme="minorEastAsia" w:cstheme="majorEastAsia"/>
          <w:b/>
          <w:color w:val="auto"/>
          <w:w w:val="90"/>
          <w:sz w:val="56"/>
          <w:szCs w:val="56"/>
          <w:highlight w:val="none"/>
          <w:u w:val="single"/>
          <w:lang w:val="en-US" w:eastAsia="zh-CN"/>
        </w:rPr>
        <w:t xml:space="preserve">               </w:t>
      </w:r>
      <w:r>
        <w:rPr>
          <w:rFonts w:hint="eastAsia" w:asciiTheme="minorEastAsia" w:hAnsiTheme="minorEastAsia" w:eastAsiaTheme="minorEastAsia" w:cstheme="majorEastAsia"/>
          <w:b/>
          <w:color w:val="auto"/>
          <w:w w:val="90"/>
          <w:sz w:val="56"/>
          <w:szCs w:val="56"/>
          <w:highlight w:val="none"/>
        </w:rPr>
        <w:t>项目</w:t>
      </w:r>
    </w:p>
    <w:p w14:paraId="048DF99C">
      <w:pPr>
        <w:spacing w:line="360" w:lineRule="auto"/>
        <w:jc w:val="center"/>
        <w:rPr>
          <w:rFonts w:asciiTheme="minorEastAsia" w:hAnsiTheme="minorEastAsia" w:eastAsiaTheme="minorEastAsia" w:cstheme="majorEastAsia"/>
          <w:b/>
          <w:color w:val="auto"/>
          <w:w w:val="90"/>
          <w:sz w:val="56"/>
          <w:szCs w:val="56"/>
          <w:highlight w:val="none"/>
        </w:rPr>
      </w:pPr>
    </w:p>
    <w:p w14:paraId="43B8E8C2">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color w:val="auto"/>
          <w:sz w:val="72"/>
          <w:szCs w:val="72"/>
          <w:highlight w:val="none"/>
          <w:lang w:eastAsia="zh-CN"/>
        </w:rPr>
        <w:t>响应</w:t>
      </w:r>
      <w:r>
        <w:rPr>
          <w:rFonts w:hint="eastAsia" w:ascii="宋体" w:hAnsi="宋体" w:eastAsia="宋体" w:cs="宋体"/>
          <w:color w:val="auto"/>
          <w:sz w:val="72"/>
          <w:szCs w:val="72"/>
          <w:highlight w:val="none"/>
        </w:rPr>
        <w:t>文件</w:t>
      </w:r>
    </w:p>
    <w:p w14:paraId="5214C8CD">
      <w:pPr>
        <w:rPr>
          <w:rFonts w:hint="default" w:cs="仿宋" w:asciiTheme="minorEastAsia" w:hAnsiTheme="minorEastAsia" w:eastAsiaTheme="minorEastAsia"/>
          <w:bCs/>
          <w:color w:val="auto"/>
          <w:sz w:val="28"/>
          <w:szCs w:val="28"/>
          <w:highlight w:val="none"/>
          <w:lang w:val="en-US" w:eastAsia="zh-CN"/>
        </w:rPr>
      </w:pPr>
      <w:r>
        <w:rPr>
          <w:rFonts w:hint="eastAsia" w:cs="仿宋" w:asciiTheme="minorEastAsia" w:hAnsiTheme="minorEastAsia" w:eastAsiaTheme="minorEastAsia"/>
          <w:bCs/>
          <w:color w:val="auto"/>
          <w:sz w:val="18"/>
          <w:szCs w:val="18"/>
          <w:highlight w:val="none"/>
          <w:lang w:val="en-US" w:eastAsia="zh-CN"/>
        </w:rPr>
        <w:t xml:space="preserve">                  </w:t>
      </w:r>
      <w:r>
        <w:rPr>
          <w:rFonts w:hint="eastAsia" w:cs="仿宋" w:asciiTheme="minorEastAsia" w:hAnsiTheme="minorEastAsia" w:eastAsiaTheme="minorEastAsia"/>
          <w:bCs/>
          <w:color w:val="auto"/>
          <w:sz w:val="24"/>
          <w:szCs w:val="24"/>
          <w:highlight w:val="none"/>
          <w:lang w:val="en-US" w:eastAsia="zh-CN"/>
        </w:rPr>
        <w:t xml:space="preserve">                   </w:t>
      </w:r>
      <w:r>
        <w:rPr>
          <w:rFonts w:hint="eastAsia" w:cs="仿宋" w:asciiTheme="minorEastAsia" w:hAnsiTheme="minorEastAsia" w:eastAsiaTheme="minorEastAsia"/>
          <w:bCs/>
          <w:color w:val="auto"/>
          <w:sz w:val="28"/>
          <w:szCs w:val="28"/>
          <w:highlight w:val="none"/>
          <w:lang w:val="en-US" w:eastAsia="zh-CN"/>
        </w:rPr>
        <w:t xml:space="preserve"> 正（副）本</w:t>
      </w:r>
    </w:p>
    <w:p w14:paraId="4F29A442">
      <w:pPr>
        <w:spacing w:line="480" w:lineRule="auto"/>
        <w:rPr>
          <w:rFonts w:cs="仿宋" w:asciiTheme="minorEastAsia" w:hAnsiTheme="minorEastAsia" w:eastAsiaTheme="minorEastAsia"/>
          <w:bCs/>
          <w:color w:val="auto"/>
          <w:sz w:val="36"/>
          <w:szCs w:val="36"/>
          <w:highlight w:val="none"/>
        </w:rPr>
      </w:pPr>
    </w:p>
    <w:p w14:paraId="0E130095">
      <w:pPr>
        <w:pStyle w:val="12"/>
        <w:rPr>
          <w:color w:val="auto"/>
          <w:highlight w:val="none"/>
        </w:rPr>
      </w:pPr>
    </w:p>
    <w:p w14:paraId="62E1CDAB">
      <w:pPr>
        <w:spacing w:line="480" w:lineRule="auto"/>
        <w:ind w:firstLine="480" w:firstLineChars="200"/>
        <w:jc w:val="center"/>
        <w:rPr>
          <w:rFonts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供        应       商：</w:t>
      </w:r>
      <w:r>
        <w:rPr>
          <w:rFonts w:hint="eastAsia" w:cs="仿宋" w:asciiTheme="minorEastAsia" w:hAnsiTheme="minorEastAsia" w:eastAsiaTheme="minorEastAsia"/>
          <w:bCs/>
          <w:color w:val="auto"/>
          <w:sz w:val="24"/>
          <w:szCs w:val="24"/>
          <w:highlight w:val="none"/>
          <w:u w:val="single"/>
        </w:rPr>
        <w:t xml:space="preserve">                    </w:t>
      </w:r>
      <w:r>
        <w:rPr>
          <w:rFonts w:hint="eastAsia" w:cs="仿宋" w:asciiTheme="minorEastAsia" w:hAnsiTheme="minorEastAsia" w:eastAsiaTheme="minorEastAsia"/>
          <w:bCs/>
          <w:color w:val="auto"/>
          <w:sz w:val="24"/>
          <w:szCs w:val="24"/>
          <w:highlight w:val="none"/>
        </w:rPr>
        <w:t>（盖章）</w:t>
      </w:r>
    </w:p>
    <w:p w14:paraId="79A3A226">
      <w:pPr>
        <w:spacing w:line="480" w:lineRule="auto"/>
        <w:ind w:firstLine="480" w:firstLineChars="200"/>
        <w:jc w:val="center"/>
        <w:rPr>
          <w:rFonts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法定代表人或被授权人：</w:t>
      </w:r>
      <w:r>
        <w:rPr>
          <w:rFonts w:hint="eastAsia" w:cs="仿宋" w:asciiTheme="minorEastAsia" w:hAnsiTheme="minorEastAsia" w:eastAsiaTheme="minorEastAsia"/>
          <w:bCs/>
          <w:color w:val="auto"/>
          <w:sz w:val="24"/>
          <w:szCs w:val="24"/>
          <w:highlight w:val="none"/>
          <w:u w:val="single"/>
        </w:rPr>
        <w:t xml:space="preserve">                    </w:t>
      </w:r>
      <w:r>
        <w:rPr>
          <w:rFonts w:hint="eastAsia" w:cs="仿宋" w:asciiTheme="minorEastAsia" w:hAnsiTheme="minorEastAsia" w:eastAsiaTheme="minorEastAsia"/>
          <w:bCs/>
          <w:color w:val="auto"/>
          <w:sz w:val="24"/>
          <w:szCs w:val="24"/>
          <w:highlight w:val="none"/>
        </w:rPr>
        <w:t>（签字）</w:t>
      </w:r>
    </w:p>
    <w:p w14:paraId="2BD7DD94">
      <w:pPr>
        <w:spacing w:line="480" w:lineRule="auto"/>
        <w:jc w:val="center"/>
        <w:rPr>
          <w:rFonts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年   月</w:t>
      </w:r>
      <w:bookmarkStart w:id="229" w:name="_Toc30735"/>
      <w:r>
        <w:rPr>
          <w:rFonts w:hint="eastAsia" w:cs="仿宋" w:asciiTheme="minorEastAsia" w:hAnsiTheme="minorEastAsia" w:eastAsiaTheme="minorEastAsia"/>
          <w:bCs/>
          <w:color w:val="auto"/>
          <w:sz w:val="24"/>
          <w:szCs w:val="24"/>
          <w:highlight w:val="none"/>
        </w:rPr>
        <w:t xml:space="preserve">    日</w:t>
      </w:r>
      <w:bookmarkEnd w:id="229"/>
      <w:bookmarkStart w:id="230" w:name="_Toc14189288"/>
      <w:bookmarkStart w:id="231" w:name="_Toc14189421"/>
      <w:bookmarkStart w:id="232" w:name="_Toc18412212"/>
      <w:bookmarkStart w:id="233" w:name="_Toc8364"/>
    </w:p>
    <w:p w14:paraId="668C254C">
      <w:pPr>
        <w:pStyle w:val="3"/>
        <w:rPr>
          <w:rFonts w:ascii="宋体" w:hAnsi="宋体" w:eastAsia="宋体"/>
          <w:b w:val="0"/>
          <w:color w:val="auto"/>
          <w:sz w:val="36"/>
          <w:highlight w:val="none"/>
        </w:rPr>
        <w:sectPr>
          <w:pgSz w:w="11905" w:h="16838"/>
          <w:pgMar w:top="1304" w:right="1304" w:bottom="1304" w:left="1304" w:header="964"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125EE1B0">
      <w:pPr>
        <w:spacing w:line="520" w:lineRule="exact"/>
        <w:jc w:val="center"/>
        <w:rPr>
          <w:rFonts w:hint="eastAsia" w:ascii="宋体" w:hAnsi="宋体" w:eastAsia="宋体" w:cs="宋体"/>
          <w:b/>
          <w:color w:val="auto"/>
          <w:sz w:val="48"/>
          <w:szCs w:val="48"/>
          <w:highlight w:val="none"/>
        </w:rPr>
      </w:pPr>
    </w:p>
    <w:p w14:paraId="3E472C17">
      <w:pPr>
        <w:spacing w:line="520" w:lineRule="exact"/>
        <w:jc w:val="center"/>
        <w:rPr>
          <w:rFonts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1A299FDD">
      <w:pPr>
        <w:ind w:firstLine="1606" w:firstLineChars="500"/>
        <w:rPr>
          <w:rFonts w:ascii="宋体" w:hAnsi="宋体" w:eastAsia="宋体" w:cs="宋体"/>
          <w:b/>
          <w:color w:val="auto"/>
          <w:sz w:val="32"/>
          <w:szCs w:val="32"/>
          <w:highlight w:val="none"/>
        </w:rPr>
      </w:pPr>
    </w:p>
    <w:p w14:paraId="1EDC896E">
      <w:pPr>
        <w:pStyle w:val="21"/>
        <w:ind w:left="560"/>
        <w:rPr>
          <w:color w:val="auto"/>
          <w:sz w:val="30"/>
          <w:szCs w:val="30"/>
          <w:highlight w:val="none"/>
        </w:rPr>
      </w:pPr>
      <w:bookmarkStart w:id="234" w:name="_Toc23315674"/>
      <w:r>
        <w:rPr>
          <w:rFonts w:hint="eastAsia"/>
          <w:color w:val="auto"/>
          <w:sz w:val="30"/>
          <w:szCs w:val="30"/>
          <w:highlight w:val="none"/>
        </w:rPr>
        <w:t>一、投标函</w:t>
      </w:r>
      <w:bookmarkEnd w:id="234"/>
    </w:p>
    <w:p w14:paraId="5E1F563F">
      <w:pPr>
        <w:pStyle w:val="21"/>
        <w:ind w:left="560"/>
        <w:rPr>
          <w:rFonts w:hint="eastAsia"/>
          <w:color w:val="auto"/>
          <w:sz w:val="30"/>
          <w:szCs w:val="30"/>
          <w:highlight w:val="none"/>
        </w:rPr>
      </w:pPr>
      <w:bookmarkStart w:id="235" w:name="_Toc23315675"/>
      <w:r>
        <w:rPr>
          <w:rFonts w:hint="eastAsia"/>
          <w:color w:val="auto"/>
          <w:sz w:val="30"/>
          <w:szCs w:val="30"/>
          <w:highlight w:val="none"/>
        </w:rPr>
        <w:t>二、报价一览表</w:t>
      </w:r>
      <w:bookmarkEnd w:id="235"/>
    </w:p>
    <w:p w14:paraId="0440BB50">
      <w:pPr>
        <w:pStyle w:val="21"/>
        <w:ind w:left="560"/>
        <w:rPr>
          <w:rFonts w:hint="default"/>
          <w:color w:val="FF0000"/>
          <w:sz w:val="30"/>
          <w:szCs w:val="30"/>
          <w:lang w:val="en-US" w:eastAsia="zh-CN"/>
        </w:rPr>
      </w:pPr>
      <w:r>
        <w:rPr>
          <w:rFonts w:hint="eastAsia"/>
          <w:color w:val="auto"/>
          <w:sz w:val="30"/>
          <w:szCs w:val="30"/>
          <w:highlight w:val="none"/>
          <w:lang w:val="en-US" w:eastAsia="zh-CN"/>
        </w:rPr>
        <w:t>三、</w:t>
      </w:r>
      <w:bookmarkStart w:id="236" w:name="OLE_LINK16"/>
      <w:bookmarkStart w:id="237" w:name="_Toc23315678"/>
      <w:r>
        <w:rPr>
          <w:rFonts w:hint="eastAsia"/>
          <w:color w:val="auto"/>
          <w:sz w:val="30"/>
          <w:szCs w:val="30"/>
          <w:highlight w:val="none"/>
          <w:lang w:val="en-US" w:eastAsia="zh-CN"/>
        </w:rPr>
        <w:t>投标</w:t>
      </w:r>
      <w:r>
        <w:rPr>
          <w:rFonts w:hint="eastAsia"/>
          <w:color w:val="auto"/>
          <w:sz w:val="30"/>
          <w:szCs w:val="30"/>
          <w:lang w:val="en-US" w:eastAsia="zh-CN"/>
        </w:rPr>
        <w:t>分项报价</w:t>
      </w:r>
      <w:bookmarkEnd w:id="236"/>
      <w:r>
        <w:rPr>
          <w:rFonts w:hint="eastAsia"/>
          <w:color w:val="auto"/>
          <w:sz w:val="30"/>
          <w:szCs w:val="30"/>
          <w:lang w:val="en-US" w:eastAsia="zh-CN"/>
        </w:rPr>
        <w:t>表</w:t>
      </w:r>
    </w:p>
    <w:p w14:paraId="177E0C9E">
      <w:pPr>
        <w:pStyle w:val="21"/>
        <w:ind w:left="560"/>
        <w:rPr>
          <w:rFonts w:hint="eastAsia"/>
          <w:color w:val="auto"/>
          <w:sz w:val="30"/>
          <w:szCs w:val="30"/>
          <w:highlight w:val="none"/>
        </w:rPr>
      </w:pPr>
      <w:r>
        <w:rPr>
          <w:rFonts w:hint="eastAsia"/>
          <w:color w:val="auto"/>
          <w:sz w:val="30"/>
          <w:szCs w:val="30"/>
          <w:highlight w:val="none"/>
          <w:lang w:val="en-US" w:eastAsia="zh-CN"/>
        </w:rPr>
        <w:t>四</w:t>
      </w:r>
      <w:r>
        <w:rPr>
          <w:rFonts w:hint="eastAsia"/>
          <w:color w:val="auto"/>
          <w:sz w:val="30"/>
          <w:szCs w:val="30"/>
          <w:highlight w:val="none"/>
        </w:rPr>
        <w:t>、</w:t>
      </w:r>
      <w:bookmarkEnd w:id="237"/>
      <w:r>
        <w:rPr>
          <w:rFonts w:hint="eastAsia"/>
          <w:color w:val="auto"/>
          <w:sz w:val="30"/>
          <w:szCs w:val="30"/>
          <w:highlight w:val="none"/>
          <w:lang w:eastAsia="zh-CN"/>
        </w:rPr>
        <w:t>供应商资格证明文件</w:t>
      </w:r>
    </w:p>
    <w:p w14:paraId="3691E107">
      <w:pPr>
        <w:pStyle w:val="21"/>
        <w:ind w:left="560"/>
        <w:rPr>
          <w:rFonts w:hint="eastAsia" w:eastAsia="宋体"/>
          <w:color w:val="auto"/>
          <w:sz w:val="30"/>
          <w:szCs w:val="30"/>
          <w:highlight w:val="none"/>
          <w:lang w:eastAsia="zh-CN"/>
        </w:rPr>
      </w:pPr>
      <w:r>
        <w:rPr>
          <w:rFonts w:hint="eastAsia"/>
          <w:color w:val="auto"/>
          <w:sz w:val="30"/>
          <w:szCs w:val="30"/>
          <w:highlight w:val="none"/>
          <w:lang w:val="en-US" w:eastAsia="zh-CN"/>
        </w:rPr>
        <w:t>五</w:t>
      </w:r>
      <w:r>
        <w:rPr>
          <w:rFonts w:hint="eastAsia"/>
          <w:color w:val="auto"/>
          <w:sz w:val="30"/>
          <w:szCs w:val="30"/>
          <w:highlight w:val="none"/>
          <w:lang w:eastAsia="zh-CN"/>
        </w:rPr>
        <w:t>、</w:t>
      </w:r>
      <w:r>
        <w:rPr>
          <w:rFonts w:hint="eastAsia"/>
          <w:color w:val="auto"/>
          <w:sz w:val="30"/>
          <w:szCs w:val="30"/>
          <w:highlight w:val="none"/>
          <w:lang w:val="en-US" w:eastAsia="zh-CN"/>
        </w:rPr>
        <w:t>技术商务响应偏离表</w:t>
      </w:r>
    </w:p>
    <w:p w14:paraId="068E2094">
      <w:pPr>
        <w:pStyle w:val="21"/>
        <w:ind w:left="560"/>
        <w:rPr>
          <w:rFonts w:hint="eastAsia"/>
          <w:color w:val="auto"/>
          <w:sz w:val="30"/>
          <w:szCs w:val="30"/>
          <w:highlight w:val="none"/>
        </w:rPr>
      </w:pPr>
      <w:bookmarkStart w:id="238" w:name="_Toc23315679"/>
      <w:r>
        <w:rPr>
          <w:rFonts w:hint="eastAsia"/>
          <w:color w:val="auto"/>
          <w:sz w:val="30"/>
          <w:szCs w:val="30"/>
          <w:highlight w:val="none"/>
          <w:lang w:val="en-US" w:eastAsia="zh-CN"/>
        </w:rPr>
        <w:t>六</w:t>
      </w:r>
      <w:r>
        <w:rPr>
          <w:rFonts w:hint="eastAsia"/>
          <w:color w:val="auto"/>
          <w:sz w:val="30"/>
          <w:szCs w:val="30"/>
          <w:highlight w:val="none"/>
        </w:rPr>
        <w:t>、</w:t>
      </w:r>
      <w:bookmarkEnd w:id="238"/>
      <w:bookmarkStart w:id="239" w:name="_Toc12490"/>
      <w:bookmarkStart w:id="240" w:name="_Toc23434"/>
      <w:bookmarkStart w:id="241" w:name="_Toc23315682"/>
      <w:r>
        <w:rPr>
          <w:rFonts w:hint="eastAsia"/>
          <w:color w:val="auto"/>
          <w:sz w:val="30"/>
          <w:szCs w:val="30"/>
          <w:highlight w:val="none"/>
          <w:lang w:val="en-US" w:eastAsia="zh-CN"/>
        </w:rPr>
        <w:t>响应</w:t>
      </w:r>
      <w:r>
        <w:rPr>
          <w:rFonts w:hint="eastAsia"/>
          <w:color w:val="auto"/>
          <w:sz w:val="30"/>
          <w:szCs w:val="30"/>
          <w:highlight w:val="none"/>
        </w:rPr>
        <w:t>方案</w:t>
      </w:r>
    </w:p>
    <w:p w14:paraId="24EF84C5">
      <w:pPr>
        <w:pStyle w:val="21"/>
        <w:ind w:left="560"/>
        <w:rPr>
          <w:color w:val="auto"/>
          <w:sz w:val="30"/>
          <w:szCs w:val="30"/>
          <w:highlight w:val="none"/>
        </w:rPr>
      </w:pPr>
      <w:r>
        <w:rPr>
          <w:rFonts w:hint="eastAsia"/>
          <w:color w:val="auto"/>
          <w:sz w:val="30"/>
          <w:szCs w:val="30"/>
          <w:highlight w:val="none"/>
          <w:lang w:val="en-US" w:eastAsia="zh-CN"/>
        </w:rPr>
        <w:t>七</w:t>
      </w:r>
      <w:r>
        <w:rPr>
          <w:rFonts w:hint="eastAsia"/>
          <w:color w:val="auto"/>
          <w:sz w:val="30"/>
          <w:szCs w:val="30"/>
          <w:highlight w:val="none"/>
        </w:rPr>
        <w:t>、</w:t>
      </w:r>
      <w:bookmarkEnd w:id="239"/>
      <w:bookmarkEnd w:id="240"/>
      <w:bookmarkEnd w:id="241"/>
      <w:r>
        <w:rPr>
          <w:rFonts w:hint="eastAsia"/>
          <w:color w:val="auto"/>
          <w:sz w:val="30"/>
          <w:szCs w:val="30"/>
          <w:highlight w:val="none"/>
        </w:rPr>
        <w:t>投标单位拒绝政府采购领域商业贿赂承诺书</w:t>
      </w:r>
    </w:p>
    <w:p w14:paraId="0028F430">
      <w:pPr>
        <w:pStyle w:val="21"/>
        <w:ind w:left="560"/>
        <w:rPr>
          <w:color w:val="auto"/>
          <w:sz w:val="30"/>
          <w:szCs w:val="30"/>
          <w:highlight w:val="none"/>
        </w:rPr>
        <w:sectPr>
          <w:pgSz w:w="11905" w:h="16838"/>
          <w:pgMar w:top="1304" w:right="1304" w:bottom="1304" w:left="1304" w:header="964"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0F5E1254">
      <w:pPr>
        <w:keepNext/>
        <w:keepLines/>
        <w:pageBreakBefore w:val="0"/>
        <w:widowControl/>
        <w:kinsoku/>
        <w:wordWrap/>
        <w:overflowPunct/>
        <w:topLinePunct w:val="0"/>
        <w:autoSpaceDE/>
        <w:autoSpaceDN/>
        <w:bidi w:val="0"/>
        <w:adjustRightInd/>
        <w:snapToGrid/>
        <w:spacing w:after="196" w:afterLines="50"/>
        <w:jc w:val="center"/>
        <w:textAlignment w:val="auto"/>
        <w:outlineLvl w:val="9"/>
        <w:rPr>
          <w:rFonts w:ascii="宋体" w:hAnsi="宋体" w:eastAsia="宋体"/>
          <w:b/>
          <w:bCs w:val="0"/>
          <w:color w:val="auto"/>
          <w:highlight w:val="none"/>
        </w:rPr>
      </w:pPr>
      <w:bookmarkStart w:id="242" w:name="_Toc23316598"/>
      <w:bookmarkStart w:id="243" w:name="_Toc35335270"/>
      <w:bookmarkStart w:id="244" w:name="_Toc30120"/>
      <w:bookmarkStart w:id="245" w:name="_Toc23316534"/>
      <w:bookmarkStart w:id="246" w:name="_Toc25258"/>
      <w:bookmarkStart w:id="247" w:name="_Toc4360"/>
      <w:bookmarkStart w:id="248" w:name="_Toc23315683"/>
      <w:bookmarkStart w:id="249" w:name="_Toc14826"/>
      <w:bookmarkStart w:id="250" w:name="_Toc17833"/>
      <w:bookmarkStart w:id="251" w:name="_Toc17080"/>
      <w:bookmarkStart w:id="252" w:name="_Toc23316696"/>
      <w:r>
        <w:rPr>
          <w:rFonts w:hint="eastAsia" w:ascii="宋体" w:hAnsi="宋体" w:eastAsia="宋体"/>
          <w:b/>
          <w:bCs w:val="0"/>
          <w:color w:val="auto"/>
          <w:highlight w:val="none"/>
          <w:lang w:eastAsia="zh-CN"/>
        </w:rPr>
        <w:t>一、</w:t>
      </w:r>
      <w:r>
        <w:rPr>
          <w:rFonts w:hint="eastAsia" w:ascii="宋体" w:hAnsi="宋体" w:eastAsia="宋体"/>
          <w:b/>
          <w:bCs w:val="0"/>
          <w:color w:val="auto"/>
          <w:highlight w:val="none"/>
          <w:lang w:val="en-US" w:eastAsia="zh-CN"/>
        </w:rPr>
        <w:t xml:space="preserve"> </w:t>
      </w:r>
      <w:r>
        <w:rPr>
          <w:rFonts w:hint="eastAsia" w:ascii="宋体" w:hAnsi="宋体" w:eastAsia="宋体"/>
          <w:b/>
          <w:bCs w:val="0"/>
          <w:color w:val="auto"/>
          <w:highlight w:val="none"/>
        </w:rPr>
        <w:t>投标函（格式）</w:t>
      </w:r>
      <w:bookmarkEnd w:id="230"/>
      <w:bookmarkEnd w:id="231"/>
      <w:bookmarkEnd w:id="232"/>
      <w:bookmarkEnd w:id="242"/>
      <w:bookmarkEnd w:id="243"/>
      <w:bookmarkEnd w:id="244"/>
      <w:bookmarkEnd w:id="245"/>
      <w:bookmarkEnd w:id="246"/>
      <w:bookmarkEnd w:id="247"/>
      <w:bookmarkEnd w:id="248"/>
      <w:bookmarkEnd w:id="249"/>
      <w:bookmarkEnd w:id="250"/>
      <w:bookmarkEnd w:id="251"/>
      <w:bookmarkEnd w:id="252"/>
    </w:p>
    <w:p w14:paraId="442A62AE">
      <w:pPr>
        <w:pageBreakBefore w:val="0"/>
        <w:overflowPunct/>
        <w:topLinePunct w:val="0"/>
        <w:autoSpaceDE/>
        <w:autoSpaceDN/>
        <w:bidi w:val="0"/>
        <w:spacing w:line="480" w:lineRule="exact"/>
        <w:ind w:right="560"/>
        <w:outlineLvl w:val="9"/>
        <w:rPr>
          <w:rFonts w:hint="eastAsia" w:ascii="宋体" w:hAnsi="宋体" w:eastAsia="宋体" w:cs="宋体"/>
          <w:sz w:val="24"/>
          <w:szCs w:val="24"/>
          <w:lang w:eastAsia="zh-CN"/>
        </w:rPr>
      </w:pPr>
      <w:r>
        <w:rPr>
          <w:rFonts w:hint="eastAsia" w:cs="仿宋" w:asciiTheme="minorEastAsia" w:hAnsiTheme="minorEastAsia" w:eastAsiaTheme="minorEastAsia"/>
          <w:bCs/>
          <w:color w:val="auto"/>
          <w:sz w:val="24"/>
          <w:highlight w:val="none"/>
        </w:rPr>
        <w:t>致：</w:t>
      </w:r>
      <w:r>
        <w:rPr>
          <w:rFonts w:hint="eastAsia" w:ascii="宋体" w:hAnsi="宋体" w:eastAsia="宋体" w:cs="宋体"/>
          <w:sz w:val="24"/>
          <w:szCs w:val="24"/>
          <w:lang w:eastAsia="zh-CN"/>
        </w:rPr>
        <w:t>安康市中心血站</w:t>
      </w:r>
    </w:p>
    <w:p w14:paraId="7814EA57">
      <w:pPr>
        <w:pageBreakBefore w:val="0"/>
        <w:overflowPunct/>
        <w:topLinePunct w:val="0"/>
        <w:autoSpaceDE/>
        <w:autoSpaceDN/>
        <w:bidi w:val="0"/>
        <w:spacing w:line="480" w:lineRule="exact"/>
        <w:ind w:right="560" w:firstLine="480" w:firstLineChars="200"/>
        <w:outlineLvl w:val="9"/>
        <w:rPr>
          <w:rFonts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highlight w:val="none"/>
        </w:rPr>
        <w:t>安康尚昊招标代理有限公司</w:t>
      </w:r>
    </w:p>
    <w:p w14:paraId="165E1815">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根据贵单位</w:t>
      </w:r>
      <w:r>
        <w:rPr>
          <w:rFonts w:hint="eastAsia" w:cs="仿宋" w:asciiTheme="minorEastAsia" w:hAnsiTheme="minorEastAsia" w:eastAsiaTheme="minorEastAsia"/>
          <w:bCs/>
          <w:color w:val="auto"/>
          <w:sz w:val="24"/>
          <w:highlight w:val="none"/>
          <w:u w:val="single"/>
        </w:rPr>
        <w:t xml:space="preserve">        （项目名称）    </w:t>
      </w:r>
      <w:r>
        <w:rPr>
          <w:rFonts w:hint="eastAsia" w:cs="仿宋" w:asciiTheme="minorEastAsia" w:hAnsiTheme="minorEastAsia" w:eastAsiaTheme="minorEastAsia"/>
          <w:bCs/>
          <w:color w:val="auto"/>
          <w:sz w:val="24"/>
          <w:highlight w:val="none"/>
        </w:rPr>
        <w:t>项目的谈判公告，我方代表</w:t>
      </w:r>
      <w:r>
        <w:rPr>
          <w:rFonts w:hint="eastAsia" w:cs="仿宋" w:asciiTheme="minorEastAsia" w:hAnsiTheme="minorEastAsia" w:eastAsiaTheme="minorEastAsia"/>
          <w:bCs/>
          <w:color w:val="auto"/>
          <w:sz w:val="24"/>
          <w:highlight w:val="none"/>
          <w:u w:val="single"/>
        </w:rPr>
        <w:t xml:space="preserve">  （姓名、职务）   </w:t>
      </w:r>
      <w:r>
        <w:rPr>
          <w:rFonts w:hint="eastAsia" w:cs="仿宋" w:asciiTheme="minorEastAsia" w:hAnsiTheme="minorEastAsia" w:eastAsiaTheme="minorEastAsia"/>
          <w:bCs/>
          <w:color w:val="auto"/>
          <w:sz w:val="24"/>
          <w:highlight w:val="none"/>
        </w:rPr>
        <w:t>经正式授权并代表</w:t>
      </w:r>
      <w:r>
        <w:rPr>
          <w:rFonts w:hint="eastAsia" w:cs="仿宋" w:asciiTheme="minorEastAsia" w:hAnsiTheme="minorEastAsia" w:eastAsiaTheme="minorEastAsia"/>
          <w:bCs/>
          <w:color w:val="auto"/>
          <w:sz w:val="24"/>
          <w:highlight w:val="none"/>
          <w:u w:val="single"/>
        </w:rPr>
        <w:t xml:space="preserve">     （供应商名称）     </w:t>
      </w:r>
      <w:r>
        <w:rPr>
          <w:rFonts w:hint="eastAsia" w:cs="仿宋" w:asciiTheme="minorEastAsia" w:hAnsiTheme="minorEastAsia" w:eastAsiaTheme="minorEastAsia"/>
          <w:bCs/>
          <w:color w:val="auto"/>
          <w:sz w:val="24"/>
          <w:highlight w:val="none"/>
        </w:rPr>
        <w:t>就该项目进行投标。</w:t>
      </w:r>
    </w:p>
    <w:p w14:paraId="1310F321">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在此，我方郑重声明以下诸点，并负法律责任：</w:t>
      </w:r>
    </w:p>
    <w:p w14:paraId="1DCC5361">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rPr>
        <w:t>1</w:t>
      </w:r>
      <w:r>
        <w:rPr>
          <w:rFonts w:hint="eastAsia" w:cs="仿宋" w:asciiTheme="minorEastAsia" w:hAnsiTheme="minorEastAsia" w:eastAsiaTheme="minorEastAsia"/>
          <w:bCs/>
          <w:color w:val="auto"/>
          <w:sz w:val="24"/>
          <w:highlight w:val="none"/>
          <w:lang w:val="en-US" w:eastAsia="zh-CN"/>
        </w:rPr>
        <w:t>.</w:t>
      </w:r>
      <w:r>
        <w:rPr>
          <w:rFonts w:hint="eastAsia" w:cs="仿宋" w:asciiTheme="minorEastAsia" w:hAnsiTheme="minorEastAsia" w:eastAsiaTheme="minorEastAsia"/>
          <w:bCs/>
          <w:color w:val="auto"/>
          <w:sz w:val="24"/>
          <w:highlight w:val="none"/>
        </w:rPr>
        <w:t>按照谈判文件中的一切要求，提供完全满足采购需求的合格服务保障。</w:t>
      </w:r>
    </w:p>
    <w:p w14:paraId="075288A0">
      <w:pPr>
        <w:pageBreakBefore w:val="0"/>
        <w:overflowPunct/>
        <w:topLinePunct w:val="0"/>
        <w:autoSpaceDE/>
        <w:autoSpaceDN/>
        <w:bidi w:val="0"/>
        <w:spacing w:line="480" w:lineRule="exact"/>
        <w:ind w:firstLine="470" w:firstLineChars="196"/>
        <w:outlineLvl w:val="9"/>
        <w:rPr>
          <w:rFonts w:hint="eastAsia" w:cs="仿宋" w:asciiTheme="minorEastAsia" w:hAnsiTheme="minorEastAsia" w:eastAsiaTheme="minorEastAsia"/>
          <w:bCs/>
          <w:color w:val="auto"/>
          <w:sz w:val="24"/>
          <w:highlight w:val="none"/>
          <w:lang w:eastAsia="zh-CN"/>
        </w:rPr>
      </w:pPr>
      <w:r>
        <w:rPr>
          <w:rFonts w:hint="eastAsia" w:cs="仿宋" w:asciiTheme="minorEastAsia" w:hAnsiTheme="minorEastAsia" w:eastAsiaTheme="minorEastAsia"/>
          <w:bCs/>
          <w:color w:val="auto"/>
          <w:sz w:val="24"/>
          <w:highlight w:val="none"/>
        </w:rPr>
        <w:t>2</w:t>
      </w:r>
      <w:r>
        <w:rPr>
          <w:rFonts w:hint="eastAsia" w:cs="仿宋" w:asciiTheme="minorEastAsia" w:hAnsiTheme="minorEastAsia" w:eastAsiaTheme="minorEastAsia"/>
          <w:bCs/>
          <w:color w:val="auto"/>
          <w:sz w:val="24"/>
          <w:highlight w:val="none"/>
          <w:lang w:val="en-US" w:eastAsia="zh-CN"/>
        </w:rPr>
        <w:t>.</w:t>
      </w:r>
      <w:r>
        <w:rPr>
          <w:rFonts w:hint="eastAsia" w:cs="仿宋" w:asciiTheme="minorEastAsia" w:hAnsiTheme="minorEastAsia" w:eastAsiaTheme="minorEastAsia"/>
          <w:bCs/>
          <w:color w:val="auto"/>
          <w:sz w:val="24"/>
          <w:highlight w:val="none"/>
        </w:rPr>
        <w:t>如若成交，将根据谈判文件的要求、响应文件及承诺条件，全面签约并履行合同规定的责任和义务</w:t>
      </w:r>
      <w:r>
        <w:rPr>
          <w:rFonts w:hint="eastAsia" w:cs="仿宋" w:asciiTheme="minorEastAsia" w:hAnsiTheme="minorEastAsia" w:eastAsiaTheme="minorEastAsia"/>
          <w:bCs/>
          <w:color w:val="auto"/>
          <w:sz w:val="24"/>
          <w:highlight w:val="none"/>
          <w:lang w:eastAsia="zh-CN"/>
        </w:rPr>
        <w:t>。</w:t>
      </w:r>
    </w:p>
    <w:p w14:paraId="46C52130">
      <w:pPr>
        <w:pageBreakBefore w:val="0"/>
        <w:overflowPunct/>
        <w:topLinePunct w:val="0"/>
        <w:autoSpaceDE/>
        <w:autoSpaceDN/>
        <w:bidi w:val="0"/>
        <w:spacing w:line="480" w:lineRule="exact"/>
        <w:ind w:firstLine="470" w:firstLineChars="196"/>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按照谈判文件要求，</w:t>
      </w:r>
      <w:r>
        <w:rPr>
          <w:rFonts w:hint="eastAsia" w:ascii="宋体" w:hAnsi="宋体" w:eastAsia="宋体" w:cs="宋体"/>
          <w:sz w:val="24"/>
          <w:szCs w:val="24"/>
        </w:rPr>
        <w:t>我方决定参加：</w:t>
      </w:r>
      <w:r>
        <w:rPr>
          <w:rFonts w:hint="eastAsia" w:ascii="宋体" w:hAnsi="宋体" w:eastAsia="宋体" w:cs="宋体"/>
          <w:sz w:val="24"/>
          <w:szCs w:val="24"/>
          <w:u w:val="single"/>
        </w:rPr>
        <w:t xml:space="preserve">项目名称（项目编号： ） </w:t>
      </w:r>
      <w:r>
        <w:rPr>
          <w:rFonts w:hint="eastAsia" w:ascii="宋体" w:hAnsi="宋体" w:eastAsia="宋体" w:cs="宋体"/>
          <w:sz w:val="24"/>
          <w:szCs w:val="24"/>
        </w:rPr>
        <w:t>的报价，我公司响应</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单价总计</w:t>
      </w:r>
      <w:r>
        <w:rPr>
          <w:rFonts w:hint="eastAsia" w:ascii="宋体" w:hAnsi="宋体" w:eastAsia="宋体" w:cs="宋体"/>
          <w:sz w:val="24"/>
          <w:szCs w:val="24"/>
        </w:rPr>
        <w:t>为：人民币（大写）：______________元；（小写）￥：______元；</w:t>
      </w:r>
      <w:r>
        <w:rPr>
          <w:rFonts w:hint="eastAsia" w:ascii="宋体" w:hAnsi="宋体" w:eastAsia="宋体" w:cs="宋体"/>
          <w:bCs/>
          <w:color w:val="auto"/>
          <w:sz w:val="24"/>
          <w:highlight w:val="none"/>
        </w:rPr>
        <w:t>该报价一次报死，不受市场因素的影响。</w:t>
      </w:r>
    </w:p>
    <w:p w14:paraId="6849BA35">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4.</w:t>
      </w:r>
      <w:r>
        <w:rPr>
          <w:rFonts w:hint="eastAsia" w:cs="仿宋" w:asciiTheme="minorEastAsia" w:hAnsiTheme="minorEastAsia" w:eastAsiaTheme="minorEastAsia"/>
          <w:bCs/>
          <w:color w:val="auto"/>
          <w:sz w:val="24"/>
          <w:highlight w:val="none"/>
        </w:rPr>
        <w:t>我方已详细审查全部谈判文件，完全理解并同意放弃提出对这方面有不明及误解质疑的权力。</w:t>
      </w:r>
    </w:p>
    <w:p w14:paraId="0933DF16">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5.</w:t>
      </w:r>
      <w:r>
        <w:rPr>
          <w:rFonts w:hint="eastAsia" w:cs="仿宋" w:asciiTheme="minorEastAsia" w:hAnsiTheme="minorEastAsia" w:eastAsiaTheme="minorEastAsia"/>
          <w:bCs/>
          <w:color w:val="auto"/>
          <w:sz w:val="24"/>
          <w:highlight w:val="none"/>
        </w:rPr>
        <w:t>我方同意按照要求提供投标有关的一切数据或资料。</w:t>
      </w:r>
    </w:p>
    <w:p w14:paraId="1388B4C8">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6.</w:t>
      </w:r>
      <w:r>
        <w:rPr>
          <w:rFonts w:hint="eastAsia" w:cs="仿宋" w:asciiTheme="minorEastAsia" w:hAnsiTheme="minorEastAsia" w:eastAsiaTheme="minorEastAsia"/>
          <w:bCs/>
          <w:color w:val="auto"/>
          <w:sz w:val="24"/>
          <w:highlight w:val="none"/>
        </w:rPr>
        <w:t>我方完全理解最低报价不是成交的唯一条件，采购人有权选择质优价廉的服务。</w:t>
      </w:r>
    </w:p>
    <w:p w14:paraId="34A46692">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7.</w:t>
      </w:r>
      <w:r>
        <w:rPr>
          <w:rFonts w:hint="eastAsia" w:cs="仿宋" w:asciiTheme="minorEastAsia" w:hAnsiTheme="minorEastAsia" w:eastAsiaTheme="minorEastAsia"/>
          <w:bCs/>
          <w:color w:val="auto"/>
          <w:sz w:val="24"/>
          <w:highlight w:val="none"/>
        </w:rPr>
        <w:t>我方同意按谈判文件规定，遵守贵方有关招标的各项规定。</w:t>
      </w:r>
    </w:p>
    <w:p w14:paraId="7800ACAE">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8.</w:t>
      </w:r>
      <w:r>
        <w:rPr>
          <w:rFonts w:hint="eastAsia" w:cs="仿宋" w:asciiTheme="minorEastAsia" w:hAnsiTheme="minorEastAsia" w:eastAsiaTheme="minorEastAsia"/>
          <w:bCs/>
          <w:color w:val="auto"/>
          <w:sz w:val="24"/>
          <w:highlight w:val="none"/>
        </w:rPr>
        <w:t>若我方成交，我方保证按有关规定向贵方支付招标服务费。</w:t>
      </w:r>
    </w:p>
    <w:p w14:paraId="58E78302">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hint="eastAsia" w:cs="仿宋" w:asciiTheme="minorEastAsia" w:hAnsiTheme="minorEastAsia" w:eastAsiaTheme="minorEastAsia"/>
          <w:bCs/>
          <w:color w:val="auto"/>
          <w:sz w:val="24"/>
          <w:highlight w:val="none"/>
          <w:lang w:val="en-US" w:eastAsia="zh-CN"/>
        </w:rPr>
        <w:t>9.</w:t>
      </w:r>
      <w:r>
        <w:rPr>
          <w:rFonts w:hint="eastAsia" w:cs="仿宋" w:asciiTheme="minorEastAsia" w:hAnsiTheme="minorEastAsia" w:eastAsiaTheme="minorEastAsia"/>
          <w:bCs/>
          <w:color w:val="auto"/>
          <w:sz w:val="24"/>
          <w:highlight w:val="none"/>
        </w:rPr>
        <w:t>投标有效期为自开标日起</w:t>
      </w:r>
      <w:r>
        <w:rPr>
          <w:rFonts w:hint="eastAsia" w:cs="仿宋" w:asciiTheme="minorEastAsia" w:hAnsiTheme="minorEastAsia" w:eastAsiaTheme="minorEastAsia"/>
          <w:bCs/>
          <w:color w:val="auto"/>
          <w:sz w:val="24"/>
          <w:highlight w:val="none"/>
          <w:u w:val="single"/>
        </w:rPr>
        <w:t xml:space="preserve">     </w:t>
      </w:r>
      <w:r>
        <w:rPr>
          <w:rFonts w:hint="eastAsia" w:cs="仿宋" w:asciiTheme="minorEastAsia" w:hAnsiTheme="minorEastAsia" w:eastAsiaTheme="minorEastAsia"/>
          <w:bCs/>
          <w:color w:val="auto"/>
          <w:sz w:val="24"/>
          <w:highlight w:val="none"/>
        </w:rPr>
        <w:t>个日历日。</w:t>
      </w:r>
    </w:p>
    <w:p w14:paraId="24DD49A6">
      <w:pPr>
        <w:pageBreakBefore w:val="0"/>
        <w:overflowPunct/>
        <w:topLinePunct w:val="0"/>
        <w:autoSpaceDE/>
        <w:autoSpaceDN/>
        <w:bidi w:val="0"/>
        <w:spacing w:line="480" w:lineRule="exact"/>
        <w:ind w:firstLine="470" w:firstLineChars="196"/>
        <w:outlineLvl w:val="9"/>
        <w:rPr>
          <w:rFonts w:cs="仿宋" w:asciiTheme="minorEastAsia" w:hAnsiTheme="minorEastAsia" w:eastAsiaTheme="minorEastAsia"/>
          <w:bCs/>
          <w:color w:val="auto"/>
          <w:sz w:val="24"/>
          <w:highlight w:val="none"/>
        </w:rPr>
      </w:pPr>
      <w:r>
        <w:rPr>
          <w:rFonts w:cs="仿宋" w:asciiTheme="minorEastAsia" w:hAnsiTheme="minorEastAsia" w:eastAsiaTheme="minorEastAsia"/>
          <w:bCs/>
          <w:color w:val="auto"/>
          <w:sz w:val="24"/>
          <w:highlight w:val="none"/>
        </w:rPr>
        <w:t>1</w:t>
      </w:r>
      <w:r>
        <w:rPr>
          <w:rFonts w:hint="eastAsia" w:cs="仿宋" w:asciiTheme="minorEastAsia" w:hAnsiTheme="minorEastAsia" w:eastAsiaTheme="minorEastAsia"/>
          <w:bCs/>
          <w:color w:val="auto"/>
          <w:sz w:val="24"/>
          <w:highlight w:val="none"/>
          <w:lang w:val="en-US" w:eastAsia="zh-CN"/>
        </w:rPr>
        <w:t>0.</w:t>
      </w:r>
      <w:r>
        <w:rPr>
          <w:rFonts w:hint="eastAsia" w:cs="仿宋" w:asciiTheme="minorEastAsia" w:hAnsiTheme="minorEastAsia" w:eastAsiaTheme="minorEastAsia"/>
          <w:bCs/>
          <w:color w:val="auto"/>
          <w:sz w:val="24"/>
          <w:highlight w:val="none"/>
        </w:rPr>
        <w:t>所有关于本项目的函电，请按下列地址联系：</w:t>
      </w:r>
    </w:p>
    <w:p w14:paraId="3A5428CF">
      <w:pPr>
        <w:pageBreakBefore w:val="0"/>
        <w:overflowPunct/>
        <w:topLinePunct w:val="0"/>
        <w:autoSpaceDE/>
        <w:autoSpaceDN/>
        <w:bidi w:val="0"/>
        <w:spacing w:line="480" w:lineRule="exact"/>
        <w:ind w:firstLine="480" w:firstLineChars="200"/>
        <w:outlineLvl w:val="9"/>
        <w:rPr>
          <w:rFonts w:cs="仿宋" w:asciiTheme="minorEastAsia" w:hAnsiTheme="minorEastAsia" w:eastAsiaTheme="minorEastAsia"/>
          <w:bCs/>
          <w:color w:val="auto"/>
          <w:sz w:val="22"/>
          <w:szCs w:val="24"/>
          <w:highlight w:val="none"/>
          <w:u w:val="single"/>
        </w:rPr>
      </w:pPr>
      <w:r>
        <w:rPr>
          <w:rFonts w:hint="eastAsia" w:cs="仿宋" w:asciiTheme="minorEastAsia" w:hAnsiTheme="minorEastAsia" w:eastAsiaTheme="minorEastAsia"/>
          <w:bCs/>
          <w:color w:val="auto"/>
          <w:sz w:val="24"/>
          <w:highlight w:val="none"/>
        </w:rPr>
        <w:t>供应商名称（公章）：</w:t>
      </w:r>
      <w:r>
        <w:rPr>
          <w:rFonts w:hint="eastAsia" w:cs="仿宋" w:asciiTheme="minorEastAsia" w:hAnsiTheme="minorEastAsia" w:eastAsiaTheme="minorEastAsia"/>
          <w:bCs/>
          <w:color w:val="auto"/>
          <w:sz w:val="24"/>
          <w:highlight w:val="none"/>
          <w:u w:val="single"/>
        </w:rPr>
        <w:t xml:space="preserve">                                </w:t>
      </w:r>
    </w:p>
    <w:p w14:paraId="637DA526">
      <w:pPr>
        <w:pageBreakBefore w:val="0"/>
        <w:overflowPunct/>
        <w:topLinePunct w:val="0"/>
        <w:autoSpaceDE/>
        <w:autoSpaceDN/>
        <w:bidi w:val="0"/>
        <w:spacing w:line="480" w:lineRule="exact"/>
        <w:ind w:firstLine="480" w:firstLineChars="200"/>
        <w:outlineLvl w:val="9"/>
        <w:rPr>
          <w:rFonts w:cs="仿宋" w:asciiTheme="minorEastAsia" w:hAnsiTheme="minorEastAsia" w:eastAsiaTheme="minorEastAsia"/>
          <w:bCs/>
          <w:color w:val="auto"/>
          <w:sz w:val="24"/>
          <w:highlight w:val="none"/>
          <w:u w:val="single"/>
        </w:rPr>
      </w:pPr>
      <w:r>
        <w:rPr>
          <w:rFonts w:hint="eastAsia" w:cs="仿宋" w:asciiTheme="minorEastAsia" w:hAnsiTheme="minorEastAsia" w:eastAsiaTheme="minorEastAsia"/>
          <w:bCs/>
          <w:color w:val="auto"/>
          <w:sz w:val="24"/>
          <w:highlight w:val="none"/>
        </w:rPr>
        <w:t>详 细 地 址：</w:t>
      </w:r>
      <w:r>
        <w:rPr>
          <w:rFonts w:hint="eastAsia" w:cs="仿宋" w:asciiTheme="minorEastAsia" w:hAnsiTheme="minorEastAsia" w:eastAsiaTheme="minorEastAsia"/>
          <w:bCs/>
          <w:color w:val="auto"/>
          <w:sz w:val="24"/>
          <w:highlight w:val="none"/>
          <w:u w:val="single"/>
        </w:rPr>
        <w:t xml:space="preserve">                            </w:t>
      </w:r>
      <w:r>
        <w:rPr>
          <w:rFonts w:hint="eastAsia" w:cs="仿宋" w:asciiTheme="minorEastAsia" w:hAnsiTheme="minorEastAsia" w:eastAsiaTheme="minorEastAsia"/>
          <w:bCs/>
          <w:color w:val="auto"/>
          <w:sz w:val="24"/>
          <w:highlight w:val="none"/>
          <w:u w:val="single"/>
          <w:lang w:val="en-US" w:eastAsia="zh-CN"/>
        </w:rPr>
        <w:t xml:space="preserve"> </w:t>
      </w:r>
      <w:r>
        <w:rPr>
          <w:rFonts w:hint="eastAsia" w:cs="仿宋" w:asciiTheme="minorEastAsia" w:hAnsiTheme="minorEastAsia" w:eastAsiaTheme="minorEastAsia"/>
          <w:bCs/>
          <w:color w:val="auto"/>
          <w:sz w:val="24"/>
          <w:highlight w:val="none"/>
          <w:u w:val="single"/>
        </w:rPr>
        <w:t xml:space="preserve">          </w:t>
      </w:r>
    </w:p>
    <w:p w14:paraId="537BF429">
      <w:pPr>
        <w:pageBreakBefore w:val="0"/>
        <w:overflowPunct/>
        <w:topLinePunct w:val="0"/>
        <w:autoSpaceDE/>
        <w:autoSpaceDN/>
        <w:bidi w:val="0"/>
        <w:spacing w:line="480" w:lineRule="exact"/>
        <w:ind w:firstLine="480" w:firstLineChars="200"/>
        <w:outlineLvl w:val="9"/>
        <w:rPr>
          <w:rFonts w:cs="仿宋" w:asciiTheme="minorEastAsia" w:hAnsiTheme="minorEastAsia" w:eastAsiaTheme="minorEastAsia"/>
          <w:bCs/>
          <w:color w:val="auto"/>
          <w:sz w:val="24"/>
          <w:highlight w:val="none"/>
          <w:u w:val="single"/>
        </w:rPr>
      </w:pPr>
      <w:r>
        <w:rPr>
          <w:rFonts w:hint="eastAsia" w:cs="仿宋" w:asciiTheme="minorEastAsia" w:hAnsiTheme="minorEastAsia" w:eastAsiaTheme="minorEastAsia"/>
          <w:bCs/>
          <w:color w:val="auto"/>
          <w:sz w:val="24"/>
          <w:highlight w:val="none"/>
        </w:rPr>
        <w:t>邮 政 编 码：</w:t>
      </w:r>
      <w:r>
        <w:rPr>
          <w:rFonts w:hint="eastAsia" w:cs="仿宋" w:asciiTheme="minorEastAsia" w:hAnsiTheme="minorEastAsia" w:eastAsiaTheme="minorEastAsia"/>
          <w:bCs/>
          <w:color w:val="auto"/>
          <w:sz w:val="24"/>
          <w:highlight w:val="none"/>
          <w:u w:val="single"/>
        </w:rPr>
        <w:t xml:space="preserve">              </w:t>
      </w:r>
      <w:r>
        <w:rPr>
          <w:rFonts w:hint="eastAsia" w:cs="仿宋" w:asciiTheme="minorEastAsia" w:hAnsiTheme="minorEastAsia" w:eastAsiaTheme="minorEastAsia"/>
          <w:bCs/>
          <w:color w:val="auto"/>
          <w:sz w:val="24"/>
          <w:highlight w:val="none"/>
          <w:u w:val="single"/>
          <w:lang w:val="en-US" w:eastAsia="zh-CN"/>
        </w:rPr>
        <w:t xml:space="preserve">   </w:t>
      </w:r>
      <w:r>
        <w:rPr>
          <w:rFonts w:hint="eastAsia" w:cs="仿宋" w:asciiTheme="minorEastAsia" w:hAnsiTheme="minorEastAsia" w:eastAsiaTheme="minorEastAsia"/>
          <w:bCs/>
          <w:color w:val="auto"/>
          <w:sz w:val="24"/>
          <w:highlight w:val="none"/>
          <w:u w:val="single"/>
        </w:rPr>
        <w:t xml:space="preserve">     </w:t>
      </w:r>
      <w:r>
        <w:rPr>
          <w:rFonts w:hint="eastAsia" w:cs="仿宋" w:asciiTheme="minorEastAsia" w:hAnsiTheme="minorEastAsia" w:eastAsiaTheme="minorEastAsia"/>
          <w:bCs/>
          <w:color w:val="auto"/>
          <w:sz w:val="24"/>
          <w:highlight w:val="none"/>
          <w:lang w:val="zh-CN"/>
        </w:rPr>
        <w:t>传       真：</w:t>
      </w:r>
      <w:r>
        <w:rPr>
          <w:rFonts w:hint="eastAsia" w:cs="仿宋" w:asciiTheme="minorEastAsia" w:hAnsiTheme="minorEastAsia" w:eastAsiaTheme="minorEastAsia"/>
          <w:bCs/>
          <w:color w:val="auto"/>
          <w:sz w:val="24"/>
          <w:highlight w:val="none"/>
          <w:u w:val="single"/>
          <w:lang w:val="zh-CN"/>
        </w:rPr>
        <w:t xml:space="preserve">          </w:t>
      </w:r>
      <w:r>
        <w:rPr>
          <w:rFonts w:hint="eastAsia" w:cs="仿宋" w:asciiTheme="minorEastAsia" w:hAnsiTheme="minorEastAsia" w:eastAsiaTheme="minorEastAsia"/>
          <w:bCs/>
          <w:color w:val="auto"/>
          <w:sz w:val="24"/>
          <w:highlight w:val="none"/>
          <w:u w:val="single"/>
          <w:lang w:val="en-US" w:eastAsia="zh-CN"/>
        </w:rPr>
        <w:t xml:space="preserve">   </w:t>
      </w:r>
      <w:r>
        <w:rPr>
          <w:rFonts w:hint="eastAsia" w:cs="仿宋" w:asciiTheme="minorEastAsia" w:hAnsiTheme="minorEastAsia" w:eastAsiaTheme="minorEastAsia"/>
          <w:bCs/>
          <w:color w:val="auto"/>
          <w:sz w:val="24"/>
          <w:highlight w:val="none"/>
          <w:u w:val="single"/>
          <w:lang w:val="zh-CN"/>
        </w:rPr>
        <w:t xml:space="preserve">       </w:t>
      </w:r>
    </w:p>
    <w:p w14:paraId="7016748B">
      <w:pPr>
        <w:pageBreakBefore w:val="0"/>
        <w:overflowPunct/>
        <w:topLinePunct w:val="0"/>
        <w:autoSpaceDE/>
        <w:autoSpaceDN/>
        <w:bidi w:val="0"/>
        <w:spacing w:line="480" w:lineRule="exact"/>
        <w:ind w:firstLine="480" w:firstLineChars="200"/>
        <w:outlineLvl w:val="9"/>
        <w:rPr>
          <w:rFonts w:cs="仿宋" w:asciiTheme="minorEastAsia" w:hAnsiTheme="minorEastAsia" w:eastAsiaTheme="minorEastAsia"/>
          <w:bCs/>
          <w:color w:val="auto"/>
          <w:sz w:val="24"/>
          <w:highlight w:val="none"/>
          <w:u w:val="single"/>
        </w:rPr>
      </w:pPr>
      <w:r>
        <w:rPr>
          <w:rFonts w:hint="eastAsia" w:cs="仿宋" w:asciiTheme="minorEastAsia" w:hAnsiTheme="minorEastAsia" w:eastAsiaTheme="minorEastAsia"/>
          <w:bCs/>
          <w:color w:val="auto"/>
          <w:sz w:val="24"/>
          <w:highlight w:val="none"/>
          <w:lang w:val="zh-CN"/>
        </w:rPr>
        <w:t>电       话：</w:t>
      </w:r>
      <w:r>
        <w:rPr>
          <w:rFonts w:hint="eastAsia" w:cs="仿宋" w:asciiTheme="minorEastAsia" w:hAnsiTheme="minorEastAsia" w:eastAsiaTheme="minorEastAsia"/>
          <w:bCs/>
          <w:color w:val="auto"/>
          <w:sz w:val="24"/>
          <w:highlight w:val="none"/>
          <w:u w:val="single"/>
          <w:lang w:val="zh-CN"/>
        </w:rPr>
        <w:t xml:space="preserve">              </w:t>
      </w:r>
      <w:r>
        <w:rPr>
          <w:rFonts w:hint="eastAsia" w:cs="仿宋" w:asciiTheme="minorEastAsia" w:hAnsiTheme="minorEastAsia" w:eastAsiaTheme="minorEastAsia"/>
          <w:bCs/>
          <w:color w:val="auto"/>
          <w:sz w:val="24"/>
          <w:highlight w:val="none"/>
          <w:u w:val="single"/>
          <w:lang w:val="en-US" w:eastAsia="zh-CN"/>
        </w:rPr>
        <w:t xml:space="preserve"> </w:t>
      </w:r>
      <w:r>
        <w:rPr>
          <w:rFonts w:hint="eastAsia" w:cs="仿宋" w:asciiTheme="minorEastAsia" w:hAnsiTheme="minorEastAsia" w:eastAsiaTheme="minorEastAsia"/>
          <w:bCs/>
          <w:color w:val="auto"/>
          <w:sz w:val="24"/>
          <w:highlight w:val="none"/>
          <w:u w:val="single"/>
          <w:lang w:val="zh-CN"/>
        </w:rPr>
        <w:t xml:space="preserve">       账</w:t>
      </w:r>
      <w:r>
        <w:rPr>
          <w:rFonts w:hint="eastAsia" w:cs="仿宋" w:asciiTheme="minorEastAsia" w:hAnsiTheme="minorEastAsia" w:eastAsiaTheme="minorEastAsia"/>
          <w:bCs/>
          <w:color w:val="auto"/>
          <w:sz w:val="24"/>
          <w:highlight w:val="none"/>
          <w:lang w:val="zh-CN"/>
        </w:rPr>
        <w:t xml:space="preserve">       号：</w:t>
      </w:r>
      <w:r>
        <w:rPr>
          <w:rFonts w:hint="eastAsia" w:cs="仿宋" w:asciiTheme="minorEastAsia" w:hAnsiTheme="minorEastAsia" w:eastAsiaTheme="minorEastAsia"/>
          <w:bCs/>
          <w:color w:val="auto"/>
          <w:sz w:val="24"/>
          <w:highlight w:val="none"/>
          <w:u w:val="single"/>
          <w:lang w:val="zh-CN"/>
        </w:rPr>
        <w:t xml:space="preserve">         </w:t>
      </w:r>
      <w:r>
        <w:rPr>
          <w:rFonts w:hint="eastAsia" w:cs="仿宋" w:asciiTheme="minorEastAsia" w:hAnsiTheme="minorEastAsia" w:eastAsiaTheme="minorEastAsia"/>
          <w:bCs/>
          <w:color w:val="auto"/>
          <w:sz w:val="24"/>
          <w:highlight w:val="none"/>
          <w:u w:val="single"/>
          <w:lang w:val="en-US" w:eastAsia="zh-CN"/>
        </w:rPr>
        <w:t xml:space="preserve">    </w:t>
      </w:r>
      <w:r>
        <w:rPr>
          <w:rFonts w:hint="eastAsia" w:cs="仿宋" w:asciiTheme="minorEastAsia" w:hAnsiTheme="minorEastAsia" w:eastAsiaTheme="minorEastAsia"/>
          <w:bCs/>
          <w:color w:val="auto"/>
          <w:sz w:val="24"/>
          <w:highlight w:val="none"/>
          <w:u w:val="single"/>
          <w:lang w:val="zh-CN"/>
        </w:rPr>
        <w:t xml:space="preserve">       </w:t>
      </w:r>
    </w:p>
    <w:p w14:paraId="5CA53D8C">
      <w:pPr>
        <w:pageBreakBefore w:val="0"/>
        <w:overflowPunct/>
        <w:topLinePunct w:val="0"/>
        <w:autoSpaceDE/>
        <w:autoSpaceDN/>
        <w:bidi w:val="0"/>
        <w:spacing w:line="480" w:lineRule="exact"/>
        <w:ind w:firstLine="480" w:firstLineChars="200"/>
        <w:outlineLvl w:val="9"/>
        <w:rPr>
          <w:rFonts w:cs="仿宋" w:asciiTheme="minorEastAsia" w:hAnsiTheme="minorEastAsia" w:eastAsiaTheme="minorEastAsia"/>
          <w:bCs/>
          <w:color w:val="auto"/>
          <w:highlight w:val="none"/>
        </w:rPr>
      </w:pPr>
      <w:r>
        <w:rPr>
          <w:rFonts w:hint="eastAsia" w:cs="仿宋" w:asciiTheme="minorEastAsia" w:hAnsiTheme="minorEastAsia" w:eastAsiaTheme="minorEastAsia"/>
          <w:bCs/>
          <w:color w:val="auto"/>
          <w:sz w:val="24"/>
          <w:highlight w:val="none"/>
          <w:lang w:val="zh-CN"/>
        </w:rPr>
        <w:t>开 户 银 行：</w:t>
      </w:r>
      <w:r>
        <w:rPr>
          <w:rFonts w:hint="eastAsia" w:cs="仿宋" w:asciiTheme="minorEastAsia" w:hAnsiTheme="minorEastAsia" w:eastAsiaTheme="minorEastAsia"/>
          <w:bCs/>
          <w:color w:val="auto"/>
          <w:sz w:val="24"/>
          <w:highlight w:val="none"/>
          <w:u w:val="single"/>
          <w:lang w:val="zh-CN"/>
        </w:rPr>
        <w:t xml:space="preserve">                      </w:t>
      </w:r>
      <w:r>
        <w:rPr>
          <w:rFonts w:hint="eastAsia" w:cs="仿宋" w:asciiTheme="minorEastAsia" w:hAnsiTheme="minorEastAsia" w:eastAsiaTheme="minorEastAsia"/>
          <w:bCs/>
          <w:color w:val="auto"/>
          <w:sz w:val="24"/>
          <w:highlight w:val="none"/>
        </w:rPr>
        <w:t>电 子 邮 件：</w:t>
      </w:r>
      <w:r>
        <w:rPr>
          <w:rFonts w:hint="eastAsia" w:cs="仿宋" w:asciiTheme="minorEastAsia" w:hAnsiTheme="minorEastAsia" w:eastAsiaTheme="minorEastAsia"/>
          <w:bCs/>
          <w:color w:val="auto"/>
          <w:sz w:val="24"/>
          <w:highlight w:val="none"/>
          <w:u w:val="single"/>
        </w:rPr>
        <w:t xml:space="preserve">              </w:t>
      </w:r>
      <w:r>
        <w:rPr>
          <w:rFonts w:hint="eastAsia" w:cs="仿宋" w:asciiTheme="minorEastAsia" w:hAnsiTheme="minorEastAsia" w:eastAsiaTheme="minorEastAsia"/>
          <w:bCs/>
          <w:color w:val="auto"/>
          <w:highlight w:val="none"/>
          <w:u w:val="single"/>
        </w:rPr>
        <w:t xml:space="preserve">     </w:t>
      </w:r>
    </w:p>
    <w:p w14:paraId="0145DB7A">
      <w:pPr>
        <w:pageBreakBefore w:val="0"/>
        <w:overflowPunct/>
        <w:topLinePunct w:val="0"/>
        <w:autoSpaceDE/>
        <w:autoSpaceDN/>
        <w:bidi w:val="0"/>
        <w:spacing w:line="440" w:lineRule="exact"/>
        <w:ind w:firstLine="560" w:firstLineChars="200"/>
        <w:outlineLvl w:val="9"/>
        <w:rPr>
          <w:rFonts w:cs="仿宋" w:asciiTheme="minorEastAsia" w:hAnsiTheme="minorEastAsia" w:eastAsiaTheme="minorEastAsia"/>
          <w:bCs/>
          <w:color w:val="auto"/>
          <w:highlight w:val="none"/>
        </w:rPr>
      </w:pPr>
    </w:p>
    <w:bookmarkEnd w:id="233"/>
    <w:p w14:paraId="72F8ACF2">
      <w:pPr>
        <w:pageBreakBefore w:val="0"/>
        <w:overflowPunct/>
        <w:topLinePunct w:val="0"/>
        <w:autoSpaceDE/>
        <w:autoSpaceDN/>
        <w:bidi w:val="0"/>
        <w:jc w:val="center"/>
        <w:outlineLvl w:val="9"/>
        <w:rPr>
          <w:rFonts w:ascii="宋体" w:hAnsi="宋体" w:eastAsia="宋体"/>
          <w:b w:val="0"/>
          <w:color w:val="auto"/>
          <w:highlight w:val="none"/>
        </w:rPr>
      </w:pPr>
      <w:bookmarkStart w:id="253" w:name="_Toc30983"/>
      <w:bookmarkStart w:id="254" w:name="_Toc23316697"/>
      <w:bookmarkStart w:id="255" w:name="_Toc15789"/>
      <w:bookmarkStart w:id="256" w:name="_Toc13642252"/>
      <w:bookmarkStart w:id="257" w:name="_Toc20794"/>
      <w:bookmarkStart w:id="258" w:name="_Toc536429334"/>
      <w:bookmarkStart w:id="259" w:name="_Toc23316535"/>
      <w:bookmarkStart w:id="260" w:name="_Toc536202325"/>
      <w:bookmarkStart w:id="261" w:name="_Toc23316599"/>
      <w:bookmarkStart w:id="262" w:name="_Toc536202394"/>
      <w:bookmarkStart w:id="263" w:name="_Toc23315684"/>
      <w:bookmarkStart w:id="264" w:name="_Toc536429387"/>
    </w:p>
    <w:p w14:paraId="538FD118">
      <w:pPr>
        <w:pageBreakBefore w:val="0"/>
        <w:overflowPunct/>
        <w:topLinePunct w:val="0"/>
        <w:autoSpaceDE/>
        <w:autoSpaceDN/>
        <w:bidi w:val="0"/>
        <w:spacing w:line="240" w:lineRule="auto"/>
        <w:jc w:val="left"/>
        <w:outlineLvl w:val="9"/>
        <w:rPr>
          <w:rFonts w:ascii="宋体" w:hAnsi="宋体" w:eastAsia="宋体"/>
          <w:bCs/>
          <w:color w:val="auto"/>
          <w:sz w:val="32"/>
          <w:szCs w:val="32"/>
          <w:highlight w:val="none"/>
        </w:rPr>
      </w:pPr>
      <w:r>
        <w:rPr>
          <w:rFonts w:ascii="宋体" w:hAnsi="宋体" w:eastAsia="宋体"/>
          <w:b/>
          <w:color w:val="auto"/>
          <w:highlight w:val="none"/>
        </w:rPr>
        <w:br w:type="page"/>
      </w:r>
    </w:p>
    <w:p w14:paraId="61A185E9">
      <w:pPr>
        <w:keepNext/>
        <w:keepLines/>
        <w:pageBreakBefore w:val="0"/>
        <w:widowControl/>
        <w:kinsoku/>
        <w:wordWrap/>
        <w:overflowPunct/>
        <w:topLinePunct w:val="0"/>
        <w:autoSpaceDE/>
        <w:autoSpaceDN/>
        <w:bidi w:val="0"/>
        <w:adjustRightInd/>
        <w:snapToGrid/>
        <w:spacing w:after="196" w:afterLines="50"/>
        <w:jc w:val="center"/>
        <w:textAlignment w:val="auto"/>
        <w:outlineLvl w:val="9"/>
        <w:rPr>
          <w:rFonts w:hint="eastAsia" w:ascii="宋体" w:hAnsi="宋体" w:eastAsia="宋体" w:cs="Times New Roman"/>
          <w:b/>
          <w:bCs w:val="0"/>
          <w:color w:val="auto"/>
          <w:highlight w:val="none"/>
          <w:lang w:eastAsia="zh-CN"/>
        </w:rPr>
      </w:pPr>
      <w:bookmarkStart w:id="265" w:name="_Toc16745"/>
      <w:bookmarkStart w:id="266" w:name="_Toc26525"/>
      <w:bookmarkStart w:id="267" w:name="_Toc35335271"/>
      <w:bookmarkStart w:id="268" w:name="_Toc22662"/>
      <w:bookmarkStart w:id="269" w:name="_Toc1248"/>
      <w:r>
        <w:rPr>
          <w:rFonts w:hint="eastAsia" w:ascii="宋体" w:hAnsi="宋体" w:eastAsia="宋体" w:cs="Times New Roman"/>
          <w:b/>
          <w:bCs w:val="0"/>
          <w:color w:val="auto"/>
          <w:highlight w:val="none"/>
          <w:lang w:eastAsia="zh-CN"/>
        </w:rPr>
        <w:t xml:space="preserve">二、 </w:t>
      </w:r>
      <w:bookmarkEnd w:id="253"/>
      <w:r>
        <w:rPr>
          <w:rFonts w:hint="eastAsia" w:ascii="宋体" w:hAnsi="宋体" w:eastAsia="宋体" w:cs="Times New Roman"/>
          <w:b/>
          <w:bCs w:val="0"/>
          <w:color w:val="auto"/>
          <w:highlight w:val="none"/>
          <w:lang w:eastAsia="zh-CN"/>
        </w:rPr>
        <w:t>报价一览表</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F8CC7B9">
      <w:pPr>
        <w:keepNext w:val="0"/>
        <w:keepLines w:val="0"/>
        <w:pageBreakBefore w:val="0"/>
        <w:widowControl w:val="0"/>
        <w:kinsoku/>
        <w:wordWrap/>
        <w:overflowPunct/>
        <w:topLinePunct w:val="0"/>
        <w:autoSpaceDE/>
        <w:autoSpaceDN/>
        <w:bidi w:val="0"/>
        <w:adjustRightInd/>
        <w:snapToGrid/>
        <w:spacing w:after="196" w:afterLines="50" w:line="240" w:lineRule="auto"/>
        <w:textAlignment w:val="auto"/>
        <w:outlineLvl w:val="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tbl>
      <w:tblPr>
        <w:tblStyle w:val="42"/>
        <w:tblW w:w="9679" w:type="dxa"/>
        <w:jc w:val="center"/>
        <w:tblLayout w:type="fixed"/>
        <w:tblCellMar>
          <w:top w:w="0" w:type="dxa"/>
          <w:left w:w="0" w:type="dxa"/>
          <w:bottom w:w="0" w:type="dxa"/>
          <w:right w:w="0" w:type="dxa"/>
        </w:tblCellMar>
      </w:tblPr>
      <w:tblGrid>
        <w:gridCol w:w="3614"/>
        <w:gridCol w:w="1880"/>
        <w:gridCol w:w="1683"/>
        <w:gridCol w:w="1431"/>
        <w:gridCol w:w="1071"/>
      </w:tblGrid>
      <w:tr w14:paraId="39525814">
        <w:tblPrEx>
          <w:tblCellMar>
            <w:top w:w="0" w:type="dxa"/>
            <w:left w:w="0" w:type="dxa"/>
            <w:bottom w:w="0" w:type="dxa"/>
            <w:right w:w="0" w:type="dxa"/>
          </w:tblCellMar>
        </w:tblPrEx>
        <w:trPr>
          <w:trHeight w:val="2174" w:hRule="atLeast"/>
          <w:jc w:val="center"/>
        </w:trPr>
        <w:tc>
          <w:tcPr>
            <w:tcW w:w="3614" w:type="dxa"/>
            <w:tcBorders>
              <w:top w:val="single" w:color="auto" w:sz="8" w:space="0"/>
              <w:left w:val="single" w:color="auto" w:sz="8" w:space="0"/>
              <w:bottom w:val="single" w:color="auto" w:sz="8" w:space="0"/>
              <w:right w:val="single" w:color="auto" w:sz="8" w:space="0"/>
              <w:tl2br w:val="single" w:color="auto" w:sz="4" w:space="0"/>
            </w:tcBorders>
          </w:tcPr>
          <w:p w14:paraId="20B10B60">
            <w:pPr>
              <w:keepNext w:val="0"/>
              <w:keepLines w:val="0"/>
              <w:pageBreakBefore w:val="0"/>
              <w:widowControl/>
              <w:suppressLineNumbers w:val="0"/>
              <w:overflowPunct/>
              <w:topLinePunct w:val="0"/>
              <w:autoSpaceDE/>
              <w:autoSpaceDN/>
              <w:bidi w:val="0"/>
              <w:spacing w:before="100" w:beforeAutospacing="1" w:after="100" w:afterAutospacing="1" w:line="460" w:lineRule="atLeast"/>
              <w:ind w:left="0" w:right="0" w:firstLine="2400" w:firstLineChars="1000"/>
              <w:outlineLvl w:val="9"/>
              <w:rPr>
                <w:rFonts w:hint="default" w:ascii="宋体" w:hAnsi="宋体" w:eastAsia="宋体" w:cs="仿宋"/>
                <w:b w:val="0"/>
                <w:bCs w:val="0"/>
                <w:color w:val="auto"/>
                <w:kern w:val="0"/>
                <w:sz w:val="24"/>
                <w:szCs w:val="24"/>
                <w:highlight w:val="none"/>
              </w:rPr>
            </w:pPr>
            <w:bookmarkStart w:id="270" w:name="_Hlk502055010"/>
            <w:r>
              <w:rPr>
                <w:rFonts w:hint="eastAsia" w:ascii="宋体" w:hAnsi="宋体" w:eastAsia="宋体" w:cs="仿宋"/>
                <w:b w:val="0"/>
                <w:bCs w:val="0"/>
                <w:color w:val="auto"/>
                <w:kern w:val="0"/>
                <w:sz w:val="24"/>
                <w:szCs w:val="24"/>
                <w:highlight w:val="none"/>
              </w:rPr>
              <w:t>报价内容</w:t>
            </w:r>
          </w:p>
          <w:p w14:paraId="233B4DE9">
            <w:pPr>
              <w:keepNext w:val="0"/>
              <w:keepLines w:val="0"/>
              <w:pageBreakBefore w:val="0"/>
              <w:widowControl/>
              <w:suppressLineNumbers w:val="0"/>
              <w:overflowPunct/>
              <w:topLinePunct w:val="0"/>
              <w:autoSpaceDE/>
              <w:autoSpaceDN/>
              <w:bidi w:val="0"/>
              <w:spacing w:before="100" w:beforeAutospacing="1" w:after="100" w:afterAutospacing="1" w:line="460" w:lineRule="atLeast"/>
              <w:ind w:left="0" w:right="0" w:firstLine="240" w:firstLineChars="100"/>
              <w:outlineLvl w:val="9"/>
              <w:rPr>
                <w:rFonts w:hint="default" w:ascii="宋体" w:hAnsi="宋体" w:eastAsia="宋体" w:cs="仿宋"/>
                <w:b w:val="0"/>
                <w:bCs w:val="0"/>
                <w:color w:val="auto"/>
                <w:kern w:val="0"/>
                <w:sz w:val="24"/>
                <w:szCs w:val="24"/>
                <w:highlight w:val="none"/>
              </w:rPr>
            </w:pPr>
            <w:r>
              <w:rPr>
                <w:rFonts w:hint="default" w:ascii="宋体" w:hAnsi="宋体" w:eastAsia="宋体" w:cs="仿宋"/>
                <w:b w:val="0"/>
                <w:bCs w:val="0"/>
                <w:color w:val="auto"/>
                <w:kern w:val="0"/>
                <w:sz w:val="24"/>
                <w:szCs w:val="24"/>
                <w:highlight w:val="none"/>
              </w:rPr>
              <w:t>项目名称</w:t>
            </w:r>
          </w:p>
        </w:tc>
        <w:tc>
          <w:tcPr>
            <w:tcW w:w="188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8AA9362">
            <w:pPr>
              <w:keepNext w:val="0"/>
              <w:keepLines w:val="0"/>
              <w:pageBreakBefore w:val="0"/>
              <w:widowControl/>
              <w:suppressLineNumbers w:val="0"/>
              <w:overflowPunct/>
              <w:topLinePunct w:val="0"/>
              <w:autoSpaceDE/>
              <w:autoSpaceDN/>
              <w:bidi w:val="0"/>
              <w:spacing w:before="100" w:beforeAutospacing="1" w:after="100" w:afterAutospacing="1" w:line="440" w:lineRule="exact"/>
              <w:ind w:left="0" w:right="0"/>
              <w:jc w:val="center"/>
              <w:outlineLvl w:val="9"/>
              <w:rPr>
                <w:rFonts w:hint="default" w:ascii="宋体" w:hAnsi="宋体" w:eastAsia="宋体" w:cs="仿宋"/>
                <w:b w:val="0"/>
                <w:bCs w:val="0"/>
                <w:color w:val="auto"/>
                <w:kern w:val="0"/>
                <w:sz w:val="24"/>
                <w:szCs w:val="24"/>
                <w:highlight w:val="none"/>
                <w:lang w:val="en-US" w:eastAsia="zh-CN"/>
              </w:rPr>
            </w:pPr>
            <w:r>
              <w:rPr>
                <w:rFonts w:hint="eastAsia" w:ascii="宋体" w:hAnsi="宋体" w:eastAsia="宋体" w:cs="仿宋"/>
                <w:b w:val="0"/>
                <w:bCs w:val="0"/>
                <w:color w:val="auto"/>
                <w:kern w:val="0"/>
                <w:sz w:val="24"/>
                <w:szCs w:val="24"/>
                <w:highlight w:val="none"/>
                <w:lang w:val="en-US" w:eastAsia="zh-CN"/>
              </w:rPr>
              <w:t>单价总计（元）</w:t>
            </w:r>
          </w:p>
        </w:tc>
        <w:tc>
          <w:tcPr>
            <w:tcW w:w="1683" w:type="dxa"/>
            <w:tcBorders>
              <w:top w:val="single" w:color="auto" w:sz="8" w:space="0"/>
              <w:left w:val="single" w:color="auto" w:sz="8" w:space="0"/>
              <w:bottom w:val="single" w:color="auto" w:sz="4" w:space="0"/>
              <w:right w:val="single" w:color="auto" w:sz="4" w:space="0"/>
            </w:tcBorders>
            <w:tcMar>
              <w:top w:w="0" w:type="dxa"/>
              <w:left w:w="108" w:type="dxa"/>
              <w:bottom w:w="0" w:type="dxa"/>
              <w:right w:w="108" w:type="dxa"/>
            </w:tcMar>
            <w:vAlign w:val="center"/>
          </w:tcPr>
          <w:p w14:paraId="4AF190C5">
            <w:pPr>
              <w:keepNext w:val="0"/>
              <w:keepLines w:val="0"/>
              <w:pageBreakBefore w:val="0"/>
              <w:widowControl/>
              <w:suppressLineNumbers w:val="0"/>
              <w:overflowPunct/>
              <w:topLinePunct w:val="0"/>
              <w:autoSpaceDE/>
              <w:autoSpaceDN/>
              <w:bidi w:val="0"/>
              <w:spacing w:before="100" w:beforeAutospacing="1" w:after="100" w:afterAutospacing="1" w:line="440" w:lineRule="exact"/>
              <w:ind w:left="0" w:right="0"/>
              <w:jc w:val="center"/>
              <w:outlineLvl w:val="9"/>
              <w:rPr>
                <w:rFonts w:hint="eastAsia" w:ascii="宋体" w:hAnsi="宋体" w:eastAsia="宋体" w:cs="仿宋"/>
                <w:bCs/>
                <w:color w:val="auto"/>
                <w:kern w:val="0"/>
                <w:sz w:val="24"/>
                <w:szCs w:val="24"/>
                <w:highlight w:val="none"/>
                <w:lang w:eastAsia="zh-CN"/>
              </w:rPr>
            </w:pPr>
            <w:r>
              <w:rPr>
                <w:rFonts w:hint="eastAsia" w:ascii="宋体" w:hAnsi="宋体" w:eastAsia="宋体" w:cs="仿宋"/>
                <w:bCs/>
                <w:color w:val="auto"/>
                <w:kern w:val="0"/>
                <w:sz w:val="24"/>
                <w:szCs w:val="24"/>
                <w:highlight w:val="none"/>
                <w:lang w:val="en-US" w:eastAsia="zh-CN"/>
              </w:rPr>
              <w:t>合同履行期</w:t>
            </w:r>
          </w:p>
        </w:tc>
        <w:tc>
          <w:tcPr>
            <w:tcW w:w="1431" w:type="dxa"/>
            <w:tcBorders>
              <w:top w:val="single" w:color="auto" w:sz="8" w:space="0"/>
              <w:left w:val="single" w:color="auto" w:sz="4" w:space="0"/>
              <w:bottom w:val="single" w:color="auto" w:sz="4" w:space="0"/>
              <w:right w:val="single" w:color="auto" w:sz="8" w:space="0"/>
            </w:tcBorders>
            <w:tcMar>
              <w:top w:w="0" w:type="dxa"/>
              <w:left w:w="108" w:type="dxa"/>
              <w:bottom w:w="0" w:type="dxa"/>
              <w:right w:w="108" w:type="dxa"/>
            </w:tcMar>
            <w:vAlign w:val="center"/>
          </w:tcPr>
          <w:p w14:paraId="0CB4DA82">
            <w:pPr>
              <w:keepNext w:val="0"/>
              <w:keepLines w:val="0"/>
              <w:pageBreakBefore w:val="0"/>
              <w:widowControl/>
              <w:suppressLineNumbers w:val="0"/>
              <w:overflowPunct/>
              <w:topLinePunct w:val="0"/>
              <w:autoSpaceDE/>
              <w:autoSpaceDN/>
              <w:bidi w:val="0"/>
              <w:spacing w:before="100" w:beforeAutospacing="1" w:after="100" w:afterAutospacing="1" w:line="440" w:lineRule="exact"/>
              <w:ind w:left="0" w:right="0"/>
              <w:jc w:val="center"/>
              <w:outlineLvl w:val="9"/>
              <w:rPr>
                <w:rFonts w:hint="eastAsia" w:ascii="宋体" w:hAnsi="宋体" w:eastAsia="宋体" w:cs="仿宋"/>
                <w:bCs/>
                <w:color w:val="auto"/>
                <w:kern w:val="0"/>
                <w:sz w:val="24"/>
                <w:szCs w:val="24"/>
                <w:highlight w:val="none"/>
                <w:lang w:eastAsia="zh-CN"/>
              </w:rPr>
            </w:pPr>
            <w:r>
              <w:rPr>
                <w:rFonts w:hint="eastAsia" w:ascii="宋体" w:hAnsi="宋体" w:eastAsia="宋体" w:cs="仿宋"/>
                <w:bCs/>
                <w:color w:val="auto"/>
                <w:kern w:val="0"/>
                <w:sz w:val="24"/>
                <w:szCs w:val="24"/>
                <w:highlight w:val="none"/>
                <w:lang w:val="en-US" w:eastAsia="zh-CN"/>
              </w:rPr>
              <w:t>质量保证期</w:t>
            </w:r>
          </w:p>
        </w:tc>
        <w:tc>
          <w:tcPr>
            <w:tcW w:w="1071" w:type="dxa"/>
            <w:tcBorders>
              <w:top w:val="single" w:color="auto" w:sz="8"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6A049AE">
            <w:pPr>
              <w:keepNext w:val="0"/>
              <w:keepLines w:val="0"/>
              <w:pageBreakBefore w:val="0"/>
              <w:widowControl/>
              <w:suppressLineNumbers w:val="0"/>
              <w:overflowPunct/>
              <w:topLinePunct w:val="0"/>
              <w:autoSpaceDE/>
              <w:autoSpaceDN/>
              <w:bidi w:val="0"/>
              <w:spacing w:before="100" w:beforeAutospacing="1" w:after="100" w:afterAutospacing="1" w:line="440" w:lineRule="exact"/>
              <w:ind w:left="0" w:right="0"/>
              <w:jc w:val="center"/>
              <w:outlineLvl w:val="9"/>
              <w:rPr>
                <w:rFonts w:hint="default" w:ascii="宋体" w:hAnsi="宋体" w:eastAsia="宋体" w:cs="仿宋"/>
                <w:bCs/>
                <w:color w:val="auto"/>
                <w:kern w:val="0"/>
                <w:sz w:val="24"/>
                <w:szCs w:val="24"/>
                <w:highlight w:val="none"/>
                <w:lang w:val="en-US" w:eastAsia="zh-CN"/>
              </w:rPr>
            </w:pPr>
            <w:r>
              <w:rPr>
                <w:rFonts w:hint="eastAsia" w:ascii="宋体" w:hAnsi="宋体" w:eastAsia="宋体" w:cs="宋体"/>
                <w:sz w:val="24"/>
                <w:szCs w:val="24"/>
                <w:lang w:val="en-US" w:eastAsia="zh-CN"/>
              </w:rPr>
              <w:t>备注</w:t>
            </w:r>
          </w:p>
        </w:tc>
      </w:tr>
      <w:tr w14:paraId="036A9299">
        <w:tblPrEx>
          <w:tblCellMar>
            <w:top w:w="0" w:type="dxa"/>
            <w:left w:w="0" w:type="dxa"/>
            <w:bottom w:w="0" w:type="dxa"/>
            <w:right w:w="0" w:type="dxa"/>
          </w:tblCellMar>
        </w:tblPrEx>
        <w:trPr>
          <w:trHeight w:val="1052" w:hRule="atLeast"/>
          <w:jc w:val="center"/>
        </w:trPr>
        <w:tc>
          <w:tcPr>
            <w:tcW w:w="3614"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ACCF048">
            <w:pPr>
              <w:keepNext w:val="0"/>
              <w:keepLines w:val="0"/>
              <w:pageBreakBefore w:val="0"/>
              <w:widowControl/>
              <w:suppressLineNumbers w:val="0"/>
              <w:overflowPunct/>
              <w:topLinePunct w:val="0"/>
              <w:autoSpaceDE/>
              <w:autoSpaceDN/>
              <w:bidi w:val="0"/>
              <w:spacing w:before="100" w:beforeAutospacing="1" w:after="100" w:afterAutospacing="1" w:line="500" w:lineRule="atLeast"/>
              <w:ind w:left="0" w:right="0"/>
              <w:jc w:val="center"/>
              <w:outlineLvl w:val="9"/>
              <w:rPr>
                <w:rFonts w:hint="default" w:ascii="宋体" w:hAnsi="宋体" w:eastAsia="宋体" w:cs="仿宋"/>
                <w:bCs/>
                <w:color w:val="auto"/>
                <w:kern w:val="0"/>
                <w:sz w:val="24"/>
                <w:szCs w:val="24"/>
                <w:highlight w:val="none"/>
              </w:rPr>
            </w:pPr>
          </w:p>
        </w:tc>
        <w:tc>
          <w:tcPr>
            <w:tcW w:w="1880"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6F5C2B70">
            <w:pPr>
              <w:keepNext w:val="0"/>
              <w:keepLines w:val="0"/>
              <w:pageBreakBefore w:val="0"/>
              <w:widowControl w:val="0"/>
              <w:suppressLineNumbers w:val="0"/>
              <w:overflowPunct/>
              <w:topLinePunct w:val="0"/>
              <w:autoSpaceDE/>
              <w:autoSpaceDN/>
              <w:bidi w:val="0"/>
              <w:spacing w:before="100" w:beforeAutospacing="1" w:after="100" w:afterAutospacing="1" w:line="500" w:lineRule="atLeast"/>
              <w:ind w:left="280" w:right="0"/>
              <w:jc w:val="center"/>
              <w:outlineLvl w:val="9"/>
              <w:rPr>
                <w:rFonts w:hint="default" w:ascii="宋体" w:hAnsi="宋体" w:eastAsia="宋体" w:cs="仿宋"/>
                <w:bCs/>
                <w:color w:val="auto"/>
                <w:kern w:val="0"/>
                <w:sz w:val="24"/>
                <w:szCs w:val="24"/>
                <w:highlight w:val="none"/>
              </w:rPr>
            </w:pPr>
          </w:p>
        </w:tc>
        <w:tc>
          <w:tcPr>
            <w:tcW w:w="1683"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14:paraId="5FFF3267">
            <w:pPr>
              <w:keepNext w:val="0"/>
              <w:keepLines w:val="0"/>
              <w:pageBreakBefore w:val="0"/>
              <w:widowControl/>
              <w:suppressLineNumbers w:val="0"/>
              <w:overflowPunct/>
              <w:topLinePunct w:val="0"/>
              <w:autoSpaceDE/>
              <w:autoSpaceDN/>
              <w:bidi w:val="0"/>
              <w:spacing w:before="100" w:beforeAutospacing="1" w:after="100" w:afterAutospacing="1" w:line="460" w:lineRule="atLeast"/>
              <w:ind w:left="0" w:right="0"/>
              <w:jc w:val="left"/>
              <w:outlineLvl w:val="9"/>
              <w:rPr>
                <w:rFonts w:hint="default" w:ascii="宋体" w:hAnsi="宋体" w:eastAsia="宋体" w:cs="仿宋"/>
                <w:bCs/>
                <w:color w:val="auto"/>
                <w:kern w:val="0"/>
                <w:sz w:val="24"/>
                <w:szCs w:val="24"/>
                <w:highlight w:val="none"/>
              </w:rPr>
            </w:pPr>
          </w:p>
        </w:tc>
        <w:tc>
          <w:tcPr>
            <w:tcW w:w="1431"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3444098">
            <w:pPr>
              <w:keepNext w:val="0"/>
              <w:keepLines w:val="0"/>
              <w:pageBreakBefore w:val="0"/>
              <w:widowControl/>
              <w:suppressLineNumbers w:val="0"/>
              <w:overflowPunct/>
              <w:topLinePunct w:val="0"/>
              <w:autoSpaceDE/>
              <w:autoSpaceDN/>
              <w:bidi w:val="0"/>
              <w:spacing w:before="100" w:beforeAutospacing="1" w:after="100" w:afterAutospacing="1" w:line="460" w:lineRule="atLeast"/>
              <w:ind w:left="0" w:right="0"/>
              <w:jc w:val="left"/>
              <w:outlineLvl w:val="9"/>
              <w:rPr>
                <w:rFonts w:hint="default" w:ascii="宋体" w:hAnsi="宋体" w:eastAsia="宋体" w:cs="仿宋"/>
                <w:bCs/>
                <w:color w:val="auto"/>
                <w:kern w:val="0"/>
                <w:sz w:val="24"/>
                <w:szCs w:val="24"/>
                <w:highlight w:val="none"/>
              </w:rPr>
            </w:pPr>
          </w:p>
        </w:tc>
        <w:tc>
          <w:tcPr>
            <w:tcW w:w="1071"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6AFB0281">
            <w:pPr>
              <w:keepNext w:val="0"/>
              <w:keepLines w:val="0"/>
              <w:pageBreakBefore w:val="0"/>
              <w:widowControl/>
              <w:suppressLineNumbers w:val="0"/>
              <w:overflowPunct/>
              <w:topLinePunct w:val="0"/>
              <w:autoSpaceDE/>
              <w:autoSpaceDN/>
              <w:bidi w:val="0"/>
              <w:spacing w:before="100" w:beforeAutospacing="1" w:after="100" w:afterAutospacing="1" w:line="460" w:lineRule="atLeast"/>
              <w:ind w:left="0" w:right="0"/>
              <w:jc w:val="left"/>
              <w:outlineLvl w:val="9"/>
              <w:rPr>
                <w:rFonts w:hint="default" w:ascii="宋体" w:hAnsi="宋体" w:eastAsia="宋体" w:cs="仿宋"/>
                <w:bCs/>
                <w:color w:val="auto"/>
                <w:kern w:val="0"/>
                <w:sz w:val="24"/>
                <w:szCs w:val="24"/>
                <w:highlight w:val="none"/>
              </w:rPr>
            </w:pPr>
          </w:p>
        </w:tc>
      </w:tr>
      <w:tr w14:paraId="3F09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679" w:type="dxa"/>
            <w:gridSpan w:val="5"/>
            <w:vAlign w:val="center"/>
          </w:tcPr>
          <w:p w14:paraId="229DCD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left"/>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单价总计</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）：（大写）                                   </w:t>
            </w:r>
          </w:p>
        </w:tc>
      </w:tr>
      <w:tr w14:paraId="7E06D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679" w:type="dxa"/>
            <w:gridSpan w:val="5"/>
            <w:vAlign w:val="center"/>
          </w:tcPr>
          <w:p w14:paraId="74707B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jc w:val="left"/>
              <w:textAlignment w:val="auto"/>
              <w:rPr>
                <w:rFonts w:hint="default" w:ascii="宋体" w:hAnsi="宋体" w:eastAsia="宋体" w:cs="宋体"/>
                <w:color w:val="auto"/>
                <w:sz w:val="24"/>
                <w:szCs w:val="24"/>
                <w:highlight w:val="none"/>
                <w:lang w:val="en-US"/>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备注：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表内报价为投标单价合计总价</w:t>
            </w:r>
            <w:r>
              <w:rPr>
                <w:rFonts w:hint="eastAsia" w:asciiTheme="minorEastAsia" w:hAnsiTheme="minorEastAsia" w:eastAsiaTheme="minorEastAsia" w:cstheme="minorEastAsia"/>
                <w:color w:val="000000" w:themeColor="text1"/>
                <w:sz w:val="24"/>
                <w:szCs w:val="24"/>
                <w14:textFill>
                  <w14:solidFill>
                    <w14:schemeClr w14:val="tx1"/>
                  </w14:solidFill>
                </w14:textFill>
              </w:rPr>
              <w:t>，保留小数点后两位。</w:t>
            </w:r>
          </w:p>
        </w:tc>
      </w:tr>
      <w:bookmarkEnd w:id="270"/>
    </w:tbl>
    <w:p w14:paraId="3FC66AE8">
      <w:pPr>
        <w:pageBreakBefore w:val="0"/>
        <w:widowControl w:val="0"/>
        <w:overflowPunct/>
        <w:topLinePunct w:val="0"/>
        <w:autoSpaceDE/>
        <w:autoSpaceDN/>
        <w:bidi w:val="0"/>
        <w:adjustRightInd w:val="0"/>
        <w:snapToGrid w:val="0"/>
        <w:spacing w:line="480" w:lineRule="auto"/>
        <w:jc w:val="left"/>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ascii="宋体" w:hAnsi="宋体" w:eastAsia="宋体" w:cs="宋体"/>
          <w:color w:val="auto"/>
          <w:sz w:val="24"/>
          <w:szCs w:val="24"/>
          <w:highlight w:val="none"/>
        </w:rPr>
        <w:t>：</w:t>
      </w:r>
    </w:p>
    <w:p w14:paraId="28E2B8EA">
      <w:pPr>
        <w:pageBreakBefore w:val="0"/>
        <w:widowControl w:val="0"/>
        <w:overflowPunct/>
        <w:topLinePunct w:val="0"/>
        <w:autoSpaceDE/>
        <w:autoSpaceDN/>
        <w:bidi w:val="0"/>
        <w:adjustRightInd w:val="0"/>
        <w:snapToGrid w:val="0"/>
        <w:spacing w:line="480" w:lineRule="auto"/>
        <w:ind w:firstLine="240" w:firstLineChars="100"/>
        <w:jc w:val="left"/>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投标人所报的价格应考虑到可能发生的所有与完成本项目相关服务及履行合同义务有关的一切费用。</w:t>
      </w:r>
    </w:p>
    <w:p w14:paraId="5F78171F">
      <w:pPr>
        <w:pageBreakBefore w:val="0"/>
        <w:widowControl w:val="0"/>
        <w:overflowPunct/>
        <w:topLinePunct w:val="0"/>
        <w:autoSpaceDE/>
        <w:autoSpaceDN/>
        <w:bidi w:val="0"/>
        <w:adjustRightInd w:val="0"/>
        <w:snapToGrid w:val="0"/>
        <w:spacing w:line="480" w:lineRule="auto"/>
        <w:jc w:val="left"/>
        <w:outlineLvl w:val="9"/>
        <w:rPr>
          <w:rFonts w:ascii="宋体" w:hAnsi="宋体" w:eastAsia="宋体" w:cs="宋体"/>
          <w:color w:val="auto"/>
          <w:sz w:val="24"/>
          <w:szCs w:val="24"/>
          <w:highlight w:val="none"/>
        </w:rPr>
      </w:pPr>
    </w:p>
    <w:p w14:paraId="2CBEC383">
      <w:pPr>
        <w:pageBreakBefore w:val="0"/>
        <w:overflowPunct/>
        <w:topLinePunct w:val="0"/>
        <w:autoSpaceDE/>
        <w:autoSpaceDN/>
        <w:bidi w:val="0"/>
        <w:outlineLvl w:val="9"/>
        <w:rPr>
          <w:color w:val="auto"/>
          <w:highlight w:val="none"/>
          <w:lang w:val="en-US" w:eastAsia="zh-CN" w:bidi="ar-SA"/>
        </w:rPr>
      </w:pPr>
    </w:p>
    <w:p w14:paraId="7126CAC8">
      <w:pPr>
        <w:pageBreakBefore w:val="0"/>
        <w:widowControl w:val="0"/>
        <w:overflowPunct/>
        <w:topLinePunct w:val="0"/>
        <w:autoSpaceDE/>
        <w:autoSpaceDN/>
        <w:bidi w:val="0"/>
        <w:adjustRightInd w:val="0"/>
        <w:snapToGrid w:val="0"/>
        <w:spacing w:line="480" w:lineRule="auto"/>
        <w:jc w:val="left"/>
        <w:outlineLvl w:val="9"/>
        <w:rPr>
          <w:rFonts w:ascii="宋体" w:hAnsi="宋体" w:eastAsia="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供应商（单位名称及公章）：____________________________</w:t>
      </w:r>
    </w:p>
    <w:p w14:paraId="606B6E65">
      <w:pPr>
        <w:pageBreakBefore w:val="0"/>
        <w:widowControl w:val="0"/>
        <w:overflowPunct/>
        <w:topLinePunct w:val="0"/>
        <w:autoSpaceDE/>
        <w:autoSpaceDN/>
        <w:bidi w:val="0"/>
        <w:adjustRightInd w:val="0"/>
        <w:snapToGrid w:val="0"/>
        <w:spacing w:line="480" w:lineRule="auto"/>
        <w:outlineLvl w:val="9"/>
        <w:rPr>
          <w:rFonts w:ascii="宋体" w:hAnsi="宋体" w:eastAsia="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被授权人（签字）：____________________________</w:t>
      </w:r>
    </w:p>
    <w:p w14:paraId="49138E04">
      <w:pPr>
        <w:pageBreakBefore w:val="0"/>
        <w:widowControl w:val="0"/>
        <w:overflowPunct/>
        <w:topLinePunct w:val="0"/>
        <w:autoSpaceDE/>
        <w:autoSpaceDN/>
        <w:bidi w:val="0"/>
        <w:adjustRightInd w:val="0"/>
        <w:snapToGrid w:val="0"/>
        <w:spacing w:line="480" w:lineRule="auto"/>
        <w:outlineLvl w:val="9"/>
        <w:rPr>
          <w:rFonts w:ascii="宋体" w:hAnsi="宋体" w:eastAsia="宋体"/>
          <w:color w:val="auto"/>
          <w:sz w:val="24"/>
          <w:szCs w:val="24"/>
          <w:highlight w:val="none"/>
        </w:rPr>
      </w:pPr>
      <w:r>
        <w:rPr>
          <w:rFonts w:hint="eastAsia" w:ascii="宋体" w:hAnsi="宋体" w:eastAsia="宋体" w:cs="宋体"/>
          <w:color w:val="auto"/>
          <w:sz w:val="24"/>
          <w:szCs w:val="24"/>
          <w:highlight w:val="none"/>
        </w:rPr>
        <w:t>日</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期：_______年_______月_______日</w:t>
      </w:r>
    </w:p>
    <w:p w14:paraId="7F93AD86">
      <w:pPr>
        <w:pageBreakBefore w:val="0"/>
        <w:widowControl w:val="0"/>
        <w:kinsoku w:val="0"/>
        <w:overflowPunct/>
        <w:topLinePunct w:val="0"/>
        <w:autoSpaceDE/>
        <w:autoSpaceDN/>
        <w:bidi w:val="0"/>
        <w:spacing w:line="480" w:lineRule="auto"/>
        <w:jc w:val="left"/>
        <w:outlineLvl w:val="9"/>
        <w:rPr>
          <w:rFonts w:ascii="宋体" w:hAnsi="宋体" w:eastAsia="宋体"/>
          <w:color w:val="auto"/>
          <w:sz w:val="24"/>
          <w:szCs w:val="24"/>
          <w:highlight w:val="none"/>
        </w:rPr>
      </w:pPr>
    </w:p>
    <w:p w14:paraId="7EE3BCC6">
      <w:pPr>
        <w:pageBreakBefore w:val="0"/>
        <w:overflowPunct/>
        <w:topLinePunct w:val="0"/>
        <w:autoSpaceDE/>
        <w:autoSpaceDN/>
        <w:bidi w:val="0"/>
        <w:spacing w:line="240" w:lineRule="auto"/>
        <w:jc w:val="left"/>
        <w:outlineLvl w:val="9"/>
        <w:rPr>
          <w:rFonts w:ascii="宋体" w:hAnsi="宋体" w:eastAsia="宋体"/>
          <w:b/>
          <w:color w:val="auto"/>
          <w:sz w:val="24"/>
          <w:szCs w:val="24"/>
          <w:highlight w:val="none"/>
        </w:rPr>
      </w:pPr>
      <w:bookmarkStart w:id="271" w:name="_Toc536202396"/>
      <w:bookmarkStart w:id="272" w:name="_Toc536202327"/>
      <w:bookmarkStart w:id="273" w:name="_Toc23316536"/>
      <w:bookmarkStart w:id="274" w:name="_Toc536429336"/>
      <w:bookmarkStart w:id="275" w:name="_Toc23315685"/>
      <w:bookmarkStart w:id="276" w:name="_Toc23677"/>
      <w:bookmarkStart w:id="277" w:name="_Toc536429389"/>
      <w:bookmarkStart w:id="278" w:name="_Toc23694"/>
      <w:bookmarkStart w:id="279" w:name="_Toc13642253"/>
      <w:bookmarkStart w:id="280" w:name="_Toc23316698"/>
      <w:bookmarkStart w:id="281" w:name="_Toc23316600"/>
      <w:r>
        <w:rPr>
          <w:rFonts w:ascii="宋体" w:hAnsi="宋体" w:eastAsia="宋体"/>
          <w:b/>
          <w:color w:val="auto"/>
          <w:sz w:val="24"/>
          <w:szCs w:val="24"/>
          <w:highlight w:val="none"/>
        </w:rPr>
        <w:br w:type="page"/>
      </w:r>
    </w:p>
    <w:p w14:paraId="28A61259">
      <w:pPr>
        <w:keepNext/>
        <w:keepLines/>
        <w:pageBreakBefore w:val="0"/>
        <w:widowControl/>
        <w:numPr>
          <w:ilvl w:val="0"/>
          <w:numId w:val="0"/>
        </w:numPr>
        <w:kinsoku/>
        <w:wordWrap/>
        <w:overflowPunct/>
        <w:topLinePunct w:val="0"/>
        <w:autoSpaceDE/>
        <w:autoSpaceDN/>
        <w:bidi w:val="0"/>
        <w:adjustRightInd/>
        <w:snapToGrid/>
        <w:spacing w:after="196" w:afterLines="50"/>
        <w:ind w:left="0" w:leftChars="0" w:firstLine="643" w:firstLineChars="200"/>
        <w:jc w:val="center"/>
        <w:textAlignment w:val="auto"/>
        <w:outlineLvl w:val="9"/>
        <w:rPr>
          <w:rFonts w:hint="eastAsia" w:ascii="宋体" w:hAnsi="宋体" w:eastAsia="宋体" w:cs="Times New Roman"/>
          <w:b/>
          <w:bCs w:val="0"/>
          <w:color w:val="auto"/>
          <w:highlight w:val="none"/>
          <w:lang w:val="en-US" w:eastAsia="zh-CN"/>
        </w:rPr>
      </w:pPr>
      <w:bookmarkStart w:id="282" w:name="_Toc11657"/>
      <w:bookmarkStart w:id="283" w:name="_Toc22526"/>
      <w:r>
        <w:rPr>
          <w:rFonts w:hint="eastAsia" w:ascii="宋体" w:hAnsi="宋体" w:eastAsia="宋体" w:cs="Times New Roman"/>
          <w:b/>
          <w:bCs w:val="0"/>
          <w:color w:val="auto"/>
          <w:kern w:val="2"/>
          <w:sz w:val="32"/>
          <w:szCs w:val="32"/>
          <w:lang w:val="en-US" w:eastAsia="zh-CN" w:bidi="ar-SA"/>
        </w:rPr>
        <w:t>三、</w:t>
      </w:r>
      <w:r>
        <w:rPr>
          <w:rFonts w:hint="eastAsia" w:ascii="宋体" w:hAnsi="宋体" w:eastAsia="宋体" w:cs="Times New Roman"/>
          <w:b/>
          <w:bCs w:val="0"/>
          <w:color w:val="auto"/>
          <w:highlight w:val="none"/>
          <w:lang w:val="en-US" w:eastAsia="zh-CN"/>
        </w:rPr>
        <w:t>投标分项报价表</w:t>
      </w:r>
      <w:bookmarkEnd w:id="282"/>
      <w:bookmarkEnd w:id="283"/>
    </w:p>
    <w:bookmarkEnd w:id="271"/>
    <w:bookmarkEnd w:id="272"/>
    <w:bookmarkEnd w:id="273"/>
    <w:bookmarkEnd w:id="274"/>
    <w:bookmarkEnd w:id="275"/>
    <w:bookmarkEnd w:id="276"/>
    <w:bookmarkEnd w:id="277"/>
    <w:bookmarkEnd w:id="278"/>
    <w:bookmarkEnd w:id="279"/>
    <w:bookmarkEnd w:id="280"/>
    <w:bookmarkEnd w:id="281"/>
    <w:p w14:paraId="3071A7F7">
      <w:pPr>
        <w:pageBreakBefore w:val="0"/>
        <w:widowControl w:val="0"/>
        <w:overflowPunct/>
        <w:topLinePunct w:val="0"/>
        <w:autoSpaceDE/>
        <w:autoSpaceDN/>
        <w:bidi w:val="0"/>
        <w:spacing w:line="480" w:lineRule="exact"/>
        <w:outlineLvl w:val="9"/>
        <w:rPr>
          <w:rFonts w:hint="default" w:ascii="宋体" w:hAnsi="宋体" w:eastAsia="宋体" w:cs="宋体"/>
          <w:color w:val="auto"/>
          <w:sz w:val="24"/>
          <w:szCs w:val="24"/>
          <w:u w:val="single"/>
          <w:lang w:val="en-US" w:eastAsia="zh-CN"/>
        </w:rPr>
      </w:pPr>
      <w:bookmarkStart w:id="284" w:name="_Toc8710"/>
      <w:bookmarkStart w:id="285" w:name="_Toc11272"/>
      <w:bookmarkStart w:id="286" w:name="_Toc32589"/>
      <w:bookmarkStart w:id="287" w:name="_Toc19543353"/>
      <w:bookmarkStart w:id="288" w:name="_Toc10667"/>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lang w:val="en-US" w:eastAsia="zh-CN"/>
        </w:rPr>
        <w:t xml:space="preserve">                                                 单位：</w:t>
      </w:r>
      <w:r>
        <w:rPr>
          <w:rFonts w:hint="eastAsia" w:ascii="宋体" w:hAnsi="宋体" w:eastAsia="宋体" w:cs="宋体"/>
          <w:color w:val="auto"/>
          <w:sz w:val="24"/>
          <w:szCs w:val="24"/>
          <w:highlight w:val="none"/>
          <w:lang w:val="en-US" w:eastAsia="zh-CN"/>
        </w:rPr>
        <w:t>元</w:t>
      </w:r>
    </w:p>
    <w:p w14:paraId="130A592E">
      <w:pPr>
        <w:pageBreakBefore w:val="0"/>
        <w:overflowPunct/>
        <w:topLinePunct w:val="0"/>
        <w:autoSpaceDE/>
        <w:autoSpaceDN/>
        <w:bidi w:val="0"/>
        <w:spacing w:line="480" w:lineRule="exact"/>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第  页   共 页  </w:t>
      </w:r>
    </w:p>
    <w:tbl>
      <w:tblPr>
        <w:tblStyle w:val="43"/>
        <w:tblpPr w:leftFromText="180" w:rightFromText="180" w:vertAnchor="text" w:horzAnchor="page" w:tblpXSpec="center" w:tblpY="321"/>
        <w:tblOverlap w:val="never"/>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845"/>
        <w:gridCol w:w="961"/>
        <w:gridCol w:w="1034"/>
        <w:gridCol w:w="1034"/>
        <w:gridCol w:w="749"/>
        <w:gridCol w:w="738"/>
        <w:gridCol w:w="1070"/>
        <w:gridCol w:w="1070"/>
        <w:gridCol w:w="1096"/>
      </w:tblGrid>
      <w:tr w14:paraId="5B75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284" w:type="pct"/>
            <w:vAlign w:val="center"/>
          </w:tcPr>
          <w:p w14:paraId="4D476581">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464" w:type="pct"/>
            <w:vAlign w:val="center"/>
          </w:tcPr>
          <w:p w14:paraId="1FF1162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p>
        </w:tc>
        <w:tc>
          <w:tcPr>
            <w:tcW w:w="527" w:type="pct"/>
            <w:vAlign w:val="center"/>
          </w:tcPr>
          <w:p w14:paraId="6F83800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品牌</w:t>
            </w:r>
          </w:p>
        </w:tc>
        <w:tc>
          <w:tcPr>
            <w:tcW w:w="567" w:type="pct"/>
            <w:vAlign w:val="center"/>
          </w:tcPr>
          <w:p w14:paraId="4F42D0DA">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规格型号/技术参数</w:t>
            </w:r>
          </w:p>
        </w:tc>
        <w:tc>
          <w:tcPr>
            <w:tcW w:w="567" w:type="pct"/>
            <w:vAlign w:val="center"/>
          </w:tcPr>
          <w:p w14:paraId="3CAA3BEA">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生产</w:t>
            </w:r>
          </w:p>
          <w:p w14:paraId="4FA6B1C7">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厂家</w:t>
            </w:r>
          </w:p>
        </w:tc>
        <w:tc>
          <w:tcPr>
            <w:tcW w:w="411" w:type="pct"/>
            <w:vAlign w:val="center"/>
          </w:tcPr>
          <w:p w14:paraId="0A5E9EB1">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w:t>
            </w:r>
          </w:p>
        </w:tc>
        <w:tc>
          <w:tcPr>
            <w:tcW w:w="405" w:type="pct"/>
            <w:vAlign w:val="center"/>
          </w:tcPr>
          <w:p w14:paraId="56B8592D">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587" w:type="pct"/>
            <w:vAlign w:val="center"/>
          </w:tcPr>
          <w:p w14:paraId="301CB3F3">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r>
              <w:rPr>
                <w:rFonts w:hint="eastAsia" w:ascii="宋体" w:hAnsi="宋体" w:eastAsia="宋体" w:cs="宋体"/>
                <w:color w:val="000000" w:themeColor="text1"/>
                <w:sz w:val="24"/>
                <w:szCs w:val="24"/>
                <w14:textFill>
                  <w14:solidFill>
                    <w14:schemeClr w14:val="tx1"/>
                  </w14:solidFill>
                </w14:textFill>
              </w:rPr>
              <w:t>单价</w:t>
            </w:r>
          </w:p>
          <w:p w14:paraId="4563DCAA">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（元）</w:t>
            </w:r>
          </w:p>
        </w:tc>
        <w:tc>
          <w:tcPr>
            <w:tcW w:w="587" w:type="pct"/>
            <w:vAlign w:val="center"/>
          </w:tcPr>
          <w:p w14:paraId="3DD45917">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w:t>
            </w:r>
          </w:p>
          <w:p w14:paraId="35A559F4">
            <w:pPr>
              <w:keepNext w:val="0"/>
              <w:keepLines w:val="0"/>
              <w:widowControl/>
              <w:suppressLineNumbers w:val="0"/>
              <w:spacing w:before="0" w:beforeAutospacing="0" w:after="0" w:afterAutospacing="0" w:line="300" w:lineRule="exact"/>
              <w:ind w:left="0"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元</w:t>
            </w:r>
            <w:r>
              <w:rPr>
                <w:rFonts w:hint="eastAsia" w:ascii="宋体" w:hAnsi="宋体" w:eastAsia="宋体" w:cs="宋体"/>
                <w:color w:val="000000" w:themeColor="text1"/>
                <w:sz w:val="24"/>
                <w:szCs w:val="24"/>
                <w:lang w:eastAsia="zh-CN"/>
                <w14:textFill>
                  <w14:solidFill>
                    <w14:schemeClr w14:val="tx1"/>
                  </w14:solidFill>
                </w14:textFill>
              </w:rPr>
              <w:t>）</w:t>
            </w:r>
          </w:p>
        </w:tc>
        <w:tc>
          <w:tcPr>
            <w:tcW w:w="595" w:type="pct"/>
            <w:vAlign w:val="center"/>
          </w:tcPr>
          <w:p w14:paraId="7F610D04">
            <w:pPr>
              <w:keepNext w:val="0"/>
              <w:keepLines w:val="0"/>
              <w:widowControl/>
              <w:suppressLineNumbers w:val="0"/>
              <w:spacing w:before="0" w:beforeAutospacing="0" w:after="0" w:afterAutospacing="0" w:line="300" w:lineRule="exact"/>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产品外包装质保期</w:t>
            </w:r>
          </w:p>
        </w:tc>
      </w:tr>
      <w:tr w14:paraId="26ED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84" w:type="pct"/>
          </w:tcPr>
          <w:p w14:paraId="75A36BA3">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64" w:type="pct"/>
          </w:tcPr>
          <w:p w14:paraId="302BDF9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27" w:type="pct"/>
          </w:tcPr>
          <w:p w14:paraId="46C0FEB1">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3C63DAD7">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062A2ED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11" w:type="pct"/>
          </w:tcPr>
          <w:p w14:paraId="53699473">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05" w:type="pct"/>
          </w:tcPr>
          <w:p w14:paraId="6CDD7D8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0834A5E8">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22C244FB">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95" w:type="pct"/>
          </w:tcPr>
          <w:p w14:paraId="24181882">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r>
      <w:tr w14:paraId="2266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84" w:type="pct"/>
          </w:tcPr>
          <w:p w14:paraId="1EF8F524">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64" w:type="pct"/>
          </w:tcPr>
          <w:p w14:paraId="3B1D515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27" w:type="pct"/>
          </w:tcPr>
          <w:p w14:paraId="75A1040D">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4F25838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4A1524D4">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11" w:type="pct"/>
          </w:tcPr>
          <w:p w14:paraId="106BE91C">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05" w:type="pct"/>
          </w:tcPr>
          <w:p w14:paraId="55ED2C3D">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146ACE91">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4BE24B9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95" w:type="pct"/>
          </w:tcPr>
          <w:p w14:paraId="71C7B373">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r>
      <w:tr w14:paraId="4E9D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84" w:type="pct"/>
          </w:tcPr>
          <w:p w14:paraId="316DDFC4">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64" w:type="pct"/>
          </w:tcPr>
          <w:p w14:paraId="6391DA5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27" w:type="pct"/>
          </w:tcPr>
          <w:p w14:paraId="4B593679">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0382ACA1">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69A6C23B">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11" w:type="pct"/>
          </w:tcPr>
          <w:p w14:paraId="423E158A">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05" w:type="pct"/>
          </w:tcPr>
          <w:p w14:paraId="7E81A59B">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73241756">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700681EA">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95" w:type="pct"/>
          </w:tcPr>
          <w:p w14:paraId="2901E61B">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r>
      <w:tr w14:paraId="5B20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84" w:type="pct"/>
          </w:tcPr>
          <w:p w14:paraId="01C18325">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64" w:type="pct"/>
          </w:tcPr>
          <w:p w14:paraId="093792C9">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27" w:type="pct"/>
          </w:tcPr>
          <w:p w14:paraId="37C130BC">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6F070AD4">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66D7FDE2">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11" w:type="pct"/>
          </w:tcPr>
          <w:p w14:paraId="1A0282E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05" w:type="pct"/>
          </w:tcPr>
          <w:p w14:paraId="2EB39CC9">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101512D6">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6A1DB070">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95" w:type="pct"/>
          </w:tcPr>
          <w:p w14:paraId="48DFAA10">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r>
      <w:tr w14:paraId="73FE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284" w:type="pct"/>
          </w:tcPr>
          <w:p w14:paraId="03EE8AD7">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64" w:type="pct"/>
          </w:tcPr>
          <w:p w14:paraId="01C943C7">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27" w:type="pct"/>
          </w:tcPr>
          <w:p w14:paraId="10E67C57">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45D3C89A">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67" w:type="pct"/>
          </w:tcPr>
          <w:p w14:paraId="567E96A0">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11" w:type="pct"/>
          </w:tcPr>
          <w:p w14:paraId="1C1B03F9">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405" w:type="pct"/>
          </w:tcPr>
          <w:p w14:paraId="3186983F">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14CC550C">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87" w:type="pct"/>
          </w:tcPr>
          <w:p w14:paraId="460BE42D">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c>
          <w:tcPr>
            <w:tcW w:w="595" w:type="pct"/>
          </w:tcPr>
          <w:p w14:paraId="486601D2">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14:textFill>
                  <w14:solidFill>
                    <w14:schemeClr w14:val="tx1"/>
                  </w14:solidFill>
                </w14:textFill>
              </w:rPr>
            </w:pPr>
          </w:p>
        </w:tc>
      </w:tr>
      <w:tr w14:paraId="02F2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5000" w:type="pct"/>
            <w:gridSpan w:val="10"/>
          </w:tcPr>
          <w:p w14:paraId="345728AE">
            <w:pPr>
              <w:keepNext w:val="0"/>
              <w:keepLines w:val="0"/>
              <w:widowControl/>
              <w:suppressLineNumbers w:val="0"/>
              <w:spacing w:before="0" w:beforeAutospacing="0" w:after="0" w:afterAutospacing="0" w:line="520" w:lineRule="exact"/>
              <w:ind w:left="0" w:right="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单价总计</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元</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小写：</w:t>
            </w:r>
          </w:p>
        </w:tc>
      </w:tr>
    </w:tbl>
    <w:p w14:paraId="125F5DD2">
      <w:pPr>
        <w:pageBreakBefore w:val="0"/>
        <w:overflowPunct/>
        <w:topLinePunct w:val="0"/>
        <w:autoSpaceDE/>
        <w:autoSpaceDN/>
        <w:bidi w:val="0"/>
        <w:spacing w:line="480" w:lineRule="exact"/>
        <w:outlineLvl w:val="9"/>
        <w:rPr>
          <w:rFonts w:hint="eastAsia" w:ascii="宋体" w:hAnsi="宋体" w:eastAsia="宋体" w:cs="宋体"/>
          <w:color w:val="auto"/>
          <w:sz w:val="24"/>
          <w:szCs w:val="24"/>
        </w:rPr>
      </w:pPr>
    </w:p>
    <w:p w14:paraId="28E5F3C1">
      <w:pPr>
        <w:pageBreakBefore w:val="0"/>
        <w:overflowPunct/>
        <w:topLinePunct w:val="0"/>
        <w:autoSpaceDE/>
        <w:autoSpaceDN/>
        <w:bidi w:val="0"/>
        <w:spacing w:line="48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rPr>
        <w:t>注：1.投标人可根据实际情况自行扩展表格细项。</w:t>
      </w:r>
    </w:p>
    <w:p w14:paraId="2E7DDF5A">
      <w:pPr>
        <w:pageBreakBefore w:val="0"/>
        <w:overflowPunct/>
        <w:topLinePunct w:val="0"/>
        <w:autoSpaceDE/>
        <w:autoSpaceDN/>
        <w:bidi w:val="0"/>
        <w:spacing w:line="48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2.如果分项报价合计与投标总报价不一致，以分项报价合计为准。</w:t>
      </w:r>
    </w:p>
    <w:p w14:paraId="2B600D28">
      <w:pPr>
        <w:pageBreakBefore w:val="0"/>
        <w:overflowPunct/>
        <w:topLinePunct w:val="0"/>
        <w:autoSpaceDE/>
        <w:autoSpaceDN/>
        <w:bidi w:val="0"/>
        <w:spacing w:line="48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3.如果不提供详细分项报价将视为没有实质性响应</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w:t>
      </w:r>
    </w:p>
    <w:p w14:paraId="6E178686">
      <w:pPr>
        <w:pageBreakBefore w:val="0"/>
        <w:overflowPunct/>
        <w:topLinePunct w:val="0"/>
        <w:autoSpaceDE/>
        <w:autoSpaceDN/>
        <w:bidi w:val="0"/>
        <w:spacing w:line="480" w:lineRule="exact"/>
        <w:ind w:firstLine="480" w:firstLineChars="200"/>
        <w:outlineLvl w:val="9"/>
        <w:rPr>
          <w:rFonts w:hint="eastAsia" w:ascii="宋体" w:hAnsi="宋体" w:eastAsia="宋体" w:cs="宋体"/>
          <w:color w:val="auto"/>
          <w:sz w:val="24"/>
          <w:szCs w:val="24"/>
        </w:rPr>
      </w:pPr>
    </w:p>
    <w:p w14:paraId="58E5AC77">
      <w:pPr>
        <w:pageBreakBefore w:val="0"/>
        <w:overflowPunct/>
        <w:topLinePunct w:val="0"/>
        <w:autoSpaceDE/>
        <w:autoSpaceDN/>
        <w:bidi w:val="0"/>
        <w:spacing w:line="480" w:lineRule="exact"/>
        <w:ind w:firstLine="480" w:firstLineChars="200"/>
        <w:outlineLvl w:val="9"/>
        <w:rPr>
          <w:rFonts w:hint="eastAsia" w:ascii="宋体" w:hAnsi="宋体" w:eastAsia="宋体" w:cs="宋体"/>
          <w:color w:val="auto"/>
          <w:sz w:val="24"/>
          <w:szCs w:val="24"/>
        </w:rPr>
      </w:pPr>
    </w:p>
    <w:p w14:paraId="5D784BED">
      <w:pPr>
        <w:pageBreakBefore w:val="0"/>
        <w:overflowPunct/>
        <w:topLinePunct w:val="0"/>
        <w:autoSpaceDE/>
        <w:autoSpaceDN/>
        <w:bidi w:val="0"/>
        <w:spacing w:line="480" w:lineRule="exact"/>
        <w:ind w:firstLine="480" w:firstLineChars="200"/>
        <w:outlineLvl w:val="9"/>
        <w:rPr>
          <w:rFonts w:hint="eastAsia" w:ascii="宋体" w:hAnsi="宋体" w:eastAsia="宋体" w:cs="宋体"/>
          <w:color w:val="auto"/>
          <w:sz w:val="24"/>
          <w:szCs w:val="24"/>
        </w:rPr>
      </w:pPr>
    </w:p>
    <w:p w14:paraId="726EA4AA">
      <w:pPr>
        <w:pageBreakBefore w:val="0"/>
        <w:widowControl w:val="0"/>
        <w:overflowPunct/>
        <w:topLinePunct w:val="0"/>
        <w:autoSpaceDE/>
        <w:autoSpaceDN/>
        <w:bidi w:val="0"/>
        <w:adjustRightInd w:val="0"/>
        <w:snapToGrid w:val="0"/>
        <w:spacing w:line="480" w:lineRule="exact"/>
        <w:jc w:val="left"/>
        <w:outlineLvl w:val="9"/>
        <w:rPr>
          <w:rFonts w:hint="default" w:ascii="宋体" w:hAnsi="宋体" w:eastAsia="宋体"/>
          <w:color w:val="auto"/>
          <w:sz w:val="24"/>
          <w:szCs w:val="24"/>
          <w:u w:val="single"/>
          <w:lang w:val="en-US" w:eastAsia="zh-CN"/>
        </w:rPr>
      </w:pPr>
      <w:r>
        <w:rPr>
          <w:rFonts w:hint="eastAsia" w:ascii="宋体" w:hAnsi="宋体" w:eastAsia="宋体" w:cs="宋体"/>
          <w:color w:val="auto"/>
          <w:sz w:val="24"/>
          <w:szCs w:val="24"/>
          <w:lang w:val="en-US" w:eastAsia="zh-CN"/>
        </w:rPr>
        <w:t>投标人名称</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62E2F6DA">
      <w:pPr>
        <w:pageBreakBefore w:val="0"/>
        <w:widowControl w:val="0"/>
        <w:overflowPunct/>
        <w:topLinePunct w:val="0"/>
        <w:autoSpaceDE/>
        <w:autoSpaceDN/>
        <w:bidi w:val="0"/>
        <w:adjustRightInd w:val="0"/>
        <w:snapToGrid w:val="0"/>
        <w:spacing w:line="480" w:lineRule="exact"/>
        <w:jc w:val="left"/>
        <w:outlineLvl w:val="9"/>
        <w:rPr>
          <w:rFonts w:hint="eastAsia" w:ascii="宋体" w:hAnsi="宋体" w:eastAsia="宋体" w:cs="宋体"/>
          <w:b/>
          <w:bCs/>
          <w:color w:val="auto"/>
          <w:sz w:val="24"/>
          <w:szCs w:val="24"/>
          <w:u w:val="non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b/>
          <w:bCs/>
          <w:color w:val="auto"/>
          <w:sz w:val="24"/>
          <w:szCs w:val="24"/>
          <w:u w:val="none"/>
          <w:lang w:val="en-US" w:eastAsia="zh-CN"/>
        </w:rPr>
        <w:t>_________________</w:t>
      </w:r>
    </w:p>
    <w:p w14:paraId="7E7AFFB7">
      <w:pPr>
        <w:pageBreakBefore w:val="0"/>
        <w:widowControl w:val="0"/>
        <w:overflowPunct/>
        <w:topLinePunct w:val="0"/>
        <w:autoSpaceDE/>
        <w:autoSpaceDN/>
        <w:bidi w:val="0"/>
        <w:adjustRightInd w:val="0"/>
        <w:snapToGrid w:val="0"/>
        <w:spacing w:line="480" w:lineRule="exact"/>
        <w:outlineLvl w:val="9"/>
        <w:rPr>
          <w:rFonts w:ascii="宋体" w:hAnsi="宋体" w:eastAsia="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日 </w:t>
      </w:r>
    </w:p>
    <w:p w14:paraId="1FFF6EF2">
      <w:pPr>
        <w:pStyle w:val="53"/>
        <w:pageBreakBefore w:val="0"/>
        <w:overflowPunct/>
        <w:topLinePunct w:val="0"/>
        <w:autoSpaceDE/>
        <w:autoSpaceDN/>
        <w:bidi w:val="0"/>
        <w:outlineLvl w:val="9"/>
        <w:rPr>
          <w:color w:val="auto"/>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63F562F0">
      <w:pPr>
        <w:pageBreakBefore w:val="0"/>
        <w:overflowPunct/>
        <w:topLinePunct w:val="0"/>
        <w:autoSpaceDE/>
        <w:autoSpaceDN/>
        <w:bidi w:val="0"/>
        <w:outlineLvl w:val="9"/>
      </w:pPr>
    </w:p>
    <w:p w14:paraId="29B56AE5">
      <w:pPr>
        <w:keepNext/>
        <w:keepLines/>
        <w:pageBreakBefore w:val="0"/>
        <w:widowControl/>
        <w:kinsoku/>
        <w:wordWrap/>
        <w:overflowPunct/>
        <w:topLinePunct w:val="0"/>
        <w:autoSpaceDE/>
        <w:autoSpaceDN/>
        <w:bidi w:val="0"/>
        <w:adjustRightInd/>
        <w:snapToGrid/>
        <w:spacing w:after="196" w:afterLines="50"/>
        <w:jc w:val="center"/>
        <w:textAlignment w:val="auto"/>
        <w:outlineLvl w:val="9"/>
        <w:rPr>
          <w:rFonts w:hint="eastAsia" w:ascii="宋体" w:hAnsi="宋体" w:eastAsia="宋体" w:cs="Times New Roman"/>
          <w:b/>
          <w:bCs w:val="0"/>
          <w:color w:val="000000" w:themeColor="text1"/>
          <w:highlight w:val="none"/>
          <w:lang w:eastAsia="zh-CN"/>
          <w14:textFill>
            <w14:solidFill>
              <w14:schemeClr w14:val="tx1"/>
            </w14:solidFill>
          </w14:textFill>
        </w:rPr>
      </w:pPr>
      <w:bookmarkStart w:id="289" w:name="_Toc30945"/>
      <w:r>
        <w:rPr>
          <w:rFonts w:hint="eastAsia" w:ascii="宋体" w:hAnsi="宋体" w:eastAsia="宋体" w:cs="Times New Roman"/>
          <w:b/>
          <w:bCs w:val="0"/>
          <w:color w:val="auto"/>
          <w:highlight w:val="none"/>
          <w:lang w:val="en-US" w:eastAsia="zh-CN"/>
        </w:rPr>
        <w:t>四</w:t>
      </w:r>
      <w:r>
        <w:rPr>
          <w:rFonts w:hint="eastAsia" w:ascii="宋体" w:hAnsi="宋体" w:eastAsia="宋体" w:cs="Times New Roman"/>
          <w:b/>
          <w:bCs w:val="0"/>
          <w:color w:val="auto"/>
          <w:highlight w:val="none"/>
          <w:lang w:eastAsia="zh-CN"/>
        </w:rPr>
        <w:t>、</w:t>
      </w:r>
      <w:r>
        <w:rPr>
          <w:rFonts w:hint="eastAsia" w:ascii="宋体" w:hAnsi="宋体" w:eastAsia="宋体" w:cs="Times New Roman"/>
          <w:b/>
          <w:bCs w:val="0"/>
          <w:color w:val="000000" w:themeColor="text1"/>
          <w:highlight w:val="none"/>
          <w:lang w:val="en-US" w:eastAsia="zh-CN"/>
          <w14:textFill>
            <w14:solidFill>
              <w14:schemeClr w14:val="tx1"/>
            </w14:solidFill>
          </w14:textFill>
        </w:rPr>
        <w:t xml:space="preserve">  </w:t>
      </w:r>
      <w:r>
        <w:rPr>
          <w:rFonts w:hint="eastAsia" w:ascii="宋体" w:hAnsi="宋体" w:eastAsia="宋体" w:cs="Times New Roman"/>
          <w:b/>
          <w:bCs w:val="0"/>
          <w:color w:val="000000" w:themeColor="text1"/>
          <w:highlight w:val="none"/>
          <w:lang w:eastAsia="zh-CN"/>
          <w14:textFill>
            <w14:solidFill>
              <w14:schemeClr w14:val="tx1"/>
            </w14:solidFill>
          </w14:textFill>
        </w:rPr>
        <w:t>供应商</w:t>
      </w:r>
      <w:bookmarkEnd w:id="284"/>
      <w:bookmarkEnd w:id="285"/>
      <w:bookmarkEnd w:id="286"/>
      <w:bookmarkEnd w:id="289"/>
      <w:r>
        <w:rPr>
          <w:rFonts w:hint="eastAsia" w:ascii="宋体" w:hAnsi="宋体" w:eastAsia="宋体" w:cs="Times New Roman"/>
          <w:b/>
          <w:bCs w:val="0"/>
          <w:color w:val="000000" w:themeColor="text1"/>
          <w:highlight w:val="none"/>
          <w:lang w:eastAsia="zh-CN"/>
          <w14:textFill>
            <w14:solidFill>
              <w14:schemeClr w14:val="tx1"/>
            </w14:solidFill>
          </w14:textFill>
        </w:rPr>
        <w:t>资格证明文件</w:t>
      </w:r>
    </w:p>
    <w:p w14:paraId="405B575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kern w:val="0"/>
          <w:sz w:val="24"/>
          <w:szCs w:val="24"/>
          <w:shd w:val="clear" w:fill="FFFFFF"/>
          <w:lang w:val="en-US" w:eastAsia="zh-CN" w:bidi="ar"/>
        </w:rPr>
        <w:t>1.</w:t>
      </w:r>
      <w:r>
        <w:rPr>
          <w:rFonts w:hint="eastAsia" w:ascii="宋体" w:hAnsi="宋体" w:eastAsia="宋体" w:cs="宋体"/>
          <w:i w:val="0"/>
          <w:iCs w:val="0"/>
          <w:caps w:val="0"/>
          <w:color w:val="333333"/>
          <w:spacing w:val="0"/>
          <w:sz w:val="24"/>
          <w:szCs w:val="24"/>
          <w:shd w:val="clear" w:fill="FFFFFF"/>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eastAsia="宋体" w:cs="宋体"/>
          <w:i w:val="0"/>
          <w:iCs w:val="0"/>
          <w:caps w:val="0"/>
          <w:color w:val="333333"/>
          <w:spacing w:val="0"/>
          <w:sz w:val="24"/>
          <w:szCs w:val="24"/>
          <w:shd w:val="clear" w:fill="FFFFFF"/>
          <w:lang w:eastAsia="zh-CN"/>
        </w:rPr>
        <w:t>自然人参与的提供其身份证明</w:t>
      </w:r>
      <w:r>
        <w:rPr>
          <w:rFonts w:hint="eastAsia" w:ascii="宋体" w:hAnsi="宋体" w:eastAsia="宋体" w:cs="宋体"/>
          <w:i w:val="0"/>
          <w:iCs w:val="0"/>
          <w:caps w:val="0"/>
          <w:color w:val="333333"/>
          <w:spacing w:val="0"/>
          <w:sz w:val="24"/>
          <w:szCs w:val="24"/>
          <w:shd w:val="clear" w:fill="FFFFFF"/>
        </w:rPr>
        <w:t>。</w:t>
      </w:r>
    </w:p>
    <w:p w14:paraId="2CD11157">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kern w:val="0"/>
          <w:sz w:val="24"/>
          <w:szCs w:val="24"/>
          <w:lang w:val="en-US" w:eastAsia="zh-CN" w:bidi="ar"/>
        </w:rPr>
        <w:t>2.</w:t>
      </w:r>
      <w:r>
        <w:rPr>
          <w:rFonts w:hint="eastAsia" w:ascii="宋体" w:hAnsi="宋体" w:eastAsia="宋体" w:cs="宋体"/>
          <w:i w:val="0"/>
          <w:iCs w:val="0"/>
          <w:caps w:val="0"/>
          <w:color w:val="333333"/>
          <w:spacing w:val="0"/>
          <w:sz w:val="24"/>
          <w:szCs w:val="24"/>
          <w:shd w:val="clear" w:fill="FFFFFF"/>
        </w:rPr>
        <w:t>法定代表人授权书及被授权人身份证明资料（法定代表人直接投标时需提交其身份证明资料）（非法人投标供应商参照执行）。</w:t>
      </w:r>
    </w:p>
    <w:p w14:paraId="38EC0DD2">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3.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3DD1036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4.书面声明：投标人必须提供参加政府采购活动前3年内在经营活动中没有重大违法记录的书面声明。</w:t>
      </w:r>
    </w:p>
    <w:p w14:paraId="6C6EF5E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5.财务状况报告：提供</w:t>
      </w:r>
      <w:r>
        <w:rPr>
          <w:rFonts w:hint="eastAsia" w:ascii="宋体" w:hAnsi="宋体" w:eastAsia="宋体" w:cs="宋体"/>
          <w:i w:val="0"/>
          <w:iCs w:val="0"/>
          <w:caps w:val="0"/>
          <w:color w:val="333333"/>
          <w:spacing w:val="0"/>
          <w:sz w:val="24"/>
          <w:szCs w:val="24"/>
          <w:shd w:val="clear" w:fill="FFFFFF"/>
          <w:lang w:val="en-US" w:eastAsia="zh-CN"/>
        </w:rPr>
        <w:t>2025年度</w:t>
      </w:r>
      <w:r>
        <w:rPr>
          <w:rFonts w:hint="eastAsia" w:ascii="宋体" w:hAnsi="宋体" w:eastAsia="宋体" w:cs="宋体"/>
          <w:i w:val="0"/>
          <w:iCs w:val="0"/>
          <w:caps w:val="0"/>
          <w:color w:val="333333"/>
          <w:spacing w:val="0"/>
          <w:sz w:val="24"/>
          <w:szCs w:val="24"/>
          <w:shd w:val="clear" w:fill="FFFFFF"/>
        </w:rPr>
        <w:t>经审计的财务审计报告或投标截止时间前六个月内基本开户银行出具的资信证明（成立时间至提交响应文件截止时间不足一年的可提供成立后任意时段的资产负债表）。</w:t>
      </w:r>
    </w:p>
    <w:p w14:paraId="1967906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6.税收缴纳证明：提供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缴纳的纳税证明或完税证明，依法免税或缓缴的单位应提供相关证明材料，纳税证明或完税证明上应有代收机构或税务机关的公章或业务专用章（成立时间至提交响应文件截止时间不足三个月的可不提供）。</w:t>
      </w:r>
    </w:p>
    <w:p w14:paraId="15D98BA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7.社会保障资金缴纳证明：提供</w:t>
      </w:r>
      <w:r>
        <w:rPr>
          <w:rFonts w:hint="eastAsia" w:ascii="宋体" w:hAnsi="宋体" w:eastAsia="宋体" w:cs="宋体"/>
          <w:i w:val="0"/>
          <w:iCs w:val="0"/>
          <w:caps w:val="0"/>
          <w:color w:val="333333"/>
          <w:spacing w:val="0"/>
          <w:sz w:val="24"/>
          <w:szCs w:val="24"/>
          <w:shd w:val="clear" w:fill="FFFFFF"/>
          <w:lang w:val="en-US" w:eastAsia="zh-CN"/>
        </w:rPr>
        <w:t>2026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月至今任意一个月社会保障资金缴存单据或社保机构开具的社会保险参保缴费情况证明，依法不需要缴纳社会保险资金的单位应提供相关证明材料，单据或证明上应有社保机构或代收机构的印章（成立时间至提交响应文件截止时间不足三个月的可不提供）。</w:t>
      </w:r>
    </w:p>
    <w:p w14:paraId="560884E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333333"/>
          <w:spacing w:val="0"/>
          <w:sz w:val="24"/>
          <w:szCs w:val="24"/>
          <w:shd w:val="clear" w:fill="FFFFFF"/>
        </w:rPr>
        <w:t>本项目不接受联合体投标。</w:t>
      </w:r>
    </w:p>
    <w:p w14:paraId="476B8000">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9.提供具有履行合同所必需的设备和专业技术能力的承诺书（格式自拟）。</w:t>
      </w:r>
    </w:p>
    <w:p w14:paraId="0C11D217">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i w:val="0"/>
          <w:iCs w:val="0"/>
          <w:caps w:val="0"/>
          <w:color w:val="333333"/>
          <w:spacing w:val="0"/>
          <w:sz w:val="24"/>
          <w:szCs w:val="24"/>
          <w:shd w:val="clear" w:fill="FFFFFF"/>
        </w:rPr>
      </w:pPr>
    </w:p>
    <w:p w14:paraId="07ADD51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leftChars="0" w:right="0" w:rightChars="0" w:firstLine="480" w:firstLineChars="0"/>
        <w:jc w:val="both"/>
        <w:textAlignment w:val="auto"/>
        <w:outlineLvl w:val="9"/>
        <w:rPr>
          <w:rFonts w:hint="eastAsia" w:ascii="宋体" w:hAnsi="宋体" w:eastAsia="宋体" w:cs="宋体"/>
          <w:color w:val="auto"/>
          <w:sz w:val="24"/>
          <w:szCs w:val="24"/>
        </w:rPr>
      </w:pPr>
    </w:p>
    <w:p w14:paraId="7D0B9130">
      <w:pPr>
        <w:pageBreakBefore w:val="0"/>
        <w:tabs>
          <w:tab w:val="left" w:pos="210"/>
        </w:tabs>
        <w:overflowPunct/>
        <w:topLinePunct w:val="0"/>
        <w:autoSpaceDE/>
        <w:autoSpaceDN/>
        <w:bidi w:val="0"/>
        <w:spacing w:line="420" w:lineRule="exact"/>
        <w:jc w:val="center"/>
        <w:outlineLvl w:val="9"/>
        <w:rPr>
          <w:rFonts w:hint="eastAsia" w:ascii="宋体" w:hAnsi="宋体" w:eastAsia="宋体" w:cs="宋体"/>
          <w:b/>
          <w:color w:val="auto"/>
          <w:kern w:val="0"/>
          <w:sz w:val="32"/>
          <w:szCs w:val="32"/>
          <w:highlight w:val="none"/>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0361FA0E">
      <w:pPr>
        <w:pageBreakBefore w:val="0"/>
        <w:tabs>
          <w:tab w:val="left" w:pos="210"/>
        </w:tabs>
        <w:overflowPunct/>
        <w:topLinePunct w:val="0"/>
        <w:autoSpaceDE/>
        <w:autoSpaceDN/>
        <w:bidi w:val="0"/>
        <w:spacing w:line="420" w:lineRule="exact"/>
        <w:jc w:val="center"/>
        <w:outlineLvl w:val="9"/>
        <w:rPr>
          <w:rFonts w:hint="eastAsia" w:ascii="宋体" w:hAnsi="宋体" w:eastAsia="宋体" w:cs="宋体"/>
          <w:b/>
          <w:color w:val="auto"/>
          <w:kern w:val="0"/>
          <w:sz w:val="32"/>
          <w:szCs w:val="32"/>
          <w:highlight w:val="none"/>
        </w:rPr>
      </w:pPr>
    </w:p>
    <w:p w14:paraId="202AFDBC">
      <w:pPr>
        <w:pageBreakBefore w:val="0"/>
        <w:tabs>
          <w:tab w:val="left" w:pos="210"/>
        </w:tabs>
        <w:overflowPunct/>
        <w:topLinePunct w:val="0"/>
        <w:autoSpaceDE/>
        <w:autoSpaceDN/>
        <w:bidi w:val="0"/>
        <w:spacing w:line="420" w:lineRule="exact"/>
        <w:jc w:val="center"/>
        <w:outlineLvl w:val="9"/>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法定代表人证明书</w:t>
      </w:r>
    </w:p>
    <w:p w14:paraId="0297CB72">
      <w:pPr>
        <w:pageBreakBefore w:val="0"/>
        <w:tabs>
          <w:tab w:val="left" w:pos="210"/>
        </w:tabs>
        <w:overflowPunct/>
        <w:topLinePunct w:val="0"/>
        <w:autoSpaceDE/>
        <w:autoSpaceDN/>
        <w:bidi w:val="0"/>
        <w:spacing w:line="320" w:lineRule="exact"/>
        <w:jc w:val="center"/>
        <w:outlineLvl w:val="9"/>
        <w:rPr>
          <w:rFonts w:hint="eastAsia" w:ascii="宋体" w:hAnsi="宋体" w:eastAsia="宋体" w:cs="宋体"/>
          <w:b/>
          <w:color w:val="auto"/>
          <w:kern w:val="0"/>
          <w:sz w:val="32"/>
          <w:szCs w:val="32"/>
          <w:highlight w:val="none"/>
        </w:rPr>
      </w:pPr>
    </w:p>
    <w:tbl>
      <w:tblPr>
        <w:tblStyle w:val="42"/>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897"/>
        <w:gridCol w:w="2159"/>
        <w:gridCol w:w="457"/>
        <w:gridCol w:w="2161"/>
        <w:gridCol w:w="2118"/>
      </w:tblGrid>
      <w:tr w14:paraId="7EA5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360" w:type="dxa"/>
            <w:gridSpan w:val="6"/>
            <w:vAlign w:val="center"/>
          </w:tcPr>
          <w:p w14:paraId="24433E6E">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致：</w:t>
            </w:r>
            <w:r>
              <w:rPr>
                <w:rFonts w:hint="eastAsia" w:ascii="宋体" w:hAnsi="宋体" w:eastAsia="宋体" w:cs="宋体"/>
                <w:sz w:val="24"/>
                <w:szCs w:val="24"/>
                <w:lang w:eastAsia="zh-CN"/>
              </w:rPr>
              <w:t>安康市中心血站、</w:t>
            </w:r>
            <w:r>
              <w:rPr>
                <w:rFonts w:hint="eastAsia" w:ascii="宋体" w:hAnsi="宋体" w:eastAsia="宋体" w:cs="宋体"/>
                <w:color w:val="auto"/>
                <w:kern w:val="0"/>
                <w:sz w:val="24"/>
                <w:szCs w:val="24"/>
                <w:highlight w:val="none"/>
                <w:lang w:eastAsia="zh-CN"/>
              </w:rPr>
              <w:t>安康尚昊招标代理有限公司</w:t>
            </w:r>
          </w:p>
        </w:tc>
      </w:tr>
      <w:tr w14:paraId="6748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68" w:type="dxa"/>
            <w:vMerge w:val="restart"/>
            <w:vAlign w:val="center"/>
          </w:tcPr>
          <w:p w14:paraId="459647C9">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5E4F4FEA">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4FBD33B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73F76190">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33DE53A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64BBA34E">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5A3BFD1A">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1897" w:type="dxa"/>
            <w:vAlign w:val="center"/>
          </w:tcPr>
          <w:p w14:paraId="576EBFBB">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895" w:type="dxa"/>
            <w:gridSpan w:val="4"/>
            <w:vAlign w:val="center"/>
          </w:tcPr>
          <w:p w14:paraId="5A23ADB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5883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68" w:type="dxa"/>
            <w:vMerge w:val="continue"/>
            <w:vAlign w:val="center"/>
          </w:tcPr>
          <w:p w14:paraId="34BBEDF1">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2B45BE97">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895" w:type="dxa"/>
            <w:gridSpan w:val="4"/>
            <w:vAlign w:val="center"/>
          </w:tcPr>
          <w:p w14:paraId="365AEB2B">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247B7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68" w:type="dxa"/>
            <w:vMerge w:val="continue"/>
            <w:vAlign w:val="center"/>
          </w:tcPr>
          <w:p w14:paraId="061CA9C2">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1FFE4CFC">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895" w:type="dxa"/>
            <w:gridSpan w:val="4"/>
            <w:vAlign w:val="center"/>
          </w:tcPr>
          <w:p w14:paraId="4D78797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1AE6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568" w:type="dxa"/>
            <w:vMerge w:val="continue"/>
            <w:vAlign w:val="center"/>
          </w:tcPr>
          <w:p w14:paraId="4136FF57">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689A7E6A">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895" w:type="dxa"/>
            <w:gridSpan w:val="4"/>
            <w:vAlign w:val="center"/>
          </w:tcPr>
          <w:p w14:paraId="4D86ED28">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48EA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568" w:type="dxa"/>
            <w:vMerge w:val="continue"/>
            <w:vAlign w:val="center"/>
          </w:tcPr>
          <w:p w14:paraId="56D0F549">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0EFB6961">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895" w:type="dxa"/>
            <w:gridSpan w:val="4"/>
            <w:vAlign w:val="center"/>
          </w:tcPr>
          <w:p w14:paraId="67987A4D">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outlineLvl w:val="9"/>
              <w:rPr>
                <w:rFonts w:hint="eastAsia" w:ascii="宋体" w:hAnsi="宋体" w:eastAsia="宋体" w:cs="宋体"/>
                <w:color w:val="auto"/>
                <w:kern w:val="0"/>
                <w:sz w:val="24"/>
                <w:szCs w:val="24"/>
                <w:highlight w:val="none"/>
              </w:rPr>
            </w:pPr>
          </w:p>
        </w:tc>
      </w:tr>
      <w:tr w14:paraId="5238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568" w:type="dxa"/>
            <w:vMerge w:val="continue"/>
            <w:vAlign w:val="center"/>
          </w:tcPr>
          <w:p w14:paraId="0D5BF392">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664F0FCA">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895" w:type="dxa"/>
            <w:gridSpan w:val="4"/>
            <w:vAlign w:val="center"/>
          </w:tcPr>
          <w:p w14:paraId="1DC137D6">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16EE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68" w:type="dxa"/>
            <w:vMerge w:val="restart"/>
            <w:vAlign w:val="center"/>
          </w:tcPr>
          <w:p w14:paraId="20841B1C">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1897" w:type="dxa"/>
            <w:vAlign w:val="center"/>
          </w:tcPr>
          <w:p w14:paraId="2592F68C">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616" w:type="dxa"/>
            <w:gridSpan w:val="2"/>
            <w:vAlign w:val="center"/>
          </w:tcPr>
          <w:p w14:paraId="75E67BC6">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2161" w:type="dxa"/>
            <w:vAlign w:val="center"/>
          </w:tcPr>
          <w:p w14:paraId="63A483E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118" w:type="dxa"/>
            <w:vAlign w:val="center"/>
          </w:tcPr>
          <w:p w14:paraId="19570F9D">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1DC08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568" w:type="dxa"/>
            <w:vMerge w:val="continue"/>
            <w:vAlign w:val="center"/>
          </w:tcPr>
          <w:p w14:paraId="15EF648A">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195023F9">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616" w:type="dxa"/>
            <w:gridSpan w:val="2"/>
            <w:vAlign w:val="center"/>
          </w:tcPr>
          <w:p w14:paraId="6236AF17">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2161" w:type="dxa"/>
            <w:vAlign w:val="center"/>
          </w:tcPr>
          <w:p w14:paraId="05960409">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118" w:type="dxa"/>
            <w:vAlign w:val="center"/>
          </w:tcPr>
          <w:p w14:paraId="0C968C01">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019C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568" w:type="dxa"/>
            <w:vMerge w:val="continue"/>
            <w:vAlign w:val="center"/>
          </w:tcPr>
          <w:p w14:paraId="4024DB20">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1897" w:type="dxa"/>
            <w:vAlign w:val="center"/>
          </w:tcPr>
          <w:p w14:paraId="54241320">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895" w:type="dxa"/>
            <w:gridSpan w:val="4"/>
            <w:vAlign w:val="center"/>
          </w:tcPr>
          <w:p w14:paraId="037F5C02">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r>
      <w:tr w14:paraId="35A6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9" w:hRule="atLeast"/>
          <w:jc w:val="center"/>
        </w:trPr>
        <w:tc>
          <w:tcPr>
            <w:tcW w:w="568" w:type="dxa"/>
            <w:vMerge w:val="restart"/>
            <w:vAlign w:val="center"/>
          </w:tcPr>
          <w:p w14:paraId="4DF39F91">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056" w:type="dxa"/>
            <w:gridSpan w:val="2"/>
            <w:vMerge w:val="restart"/>
            <w:vAlign w:val="center"/>
          </w:tcPr>
          <w:p w14:paraId="1A23DBD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736" w:type="dxa"/>
            <w:gridSpan w:val="3"/>
            <w:vAlign w:val="center"/>
          </w:tcPr>
          <w:p w14:paraId="5989972D">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tc>
      </w:tr>
      <w:tr w14:paraId="0E2B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jc w:val="center"/>
        </w:trPr>
        <w:tc>
          <w:tcPr>
            <w:tcW w:w="568" w:type="dxa"/>
            <w:vMerge w:val="continue"/>
            <w:vAlign w:val="center"/>
          </w:tcPr>
          <w:p w14:paraId="716D0F36">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4056" w:type="dxa"/>
            <w:gridSpan w:val="2"/>
            <w:vMerge w:val="continue"/>
            <w:vAlign w:val="center"/>
          </w:tcPr>
          <w:p w14:paraId="3A7F25B8">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tc>
        <w:tc>
          <w:tcPr>
            <w:tcW w:w="4736" w:type="dxa"/>
            <w:gridSpan w:val="3"/>
            <w:vAlign w:val="bottom"/>
          </w:tcPr>
          <w:p w14:paraId="1BF28205">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4DC77DDD">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0DC309B4">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6E1259F9">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center"/>
              <w:outlineLvl w:val="9"/>
              <w:rPr>
                <w:rFonts w:hint="eastAsia" w:ascii="宋体" w:hAnsi="宋体" w:eastAsia="宋体" w:cs="宋体"/>
                <w:color w:val="auto"/>
                <w:kern w:val="0"/>
                <w:sz w:val="24"/>
                <w:szCs w:val="24"/>
                <w:highlight w:val="none"/>
              </w:rPr>
            </w:pPr>
          </w:p>
          <w:p w14:paraId="65816025">
            <w:pPr>
              <w:keepNext w:val="0"/>
              <w:keepLines w:val="0"/>
              <w:pageBreakBefore w:val="0"/>
              <w:widowControl/>
              <w:suppressLineNumbers w:val="0"/>
              <w:tabs>
                <w:tab w:val="left" w:pos="210"/>
              </w:tabs>
              <w:overflowPunct/>
              <w:topLinePunct w:val="0"/>
              <w:autoSpaceDE/>
              <w:autoSpaceDN/>
              <w:bidi w:val="0"/>
              <w:spacing w:before="0" w:beforeAutospacing="0" w:after="0" w:afterAutospacing="0" w:line="320" w:lineRule="exact"/>
              <w:ind w:left="0" w:right="0"/>
              <w:jc w:val="right"/>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561E0E30">
      <w:pPr>
        <w:keepNext/>
        <w:keepLines/>
        <w:pageBreakBefore w:val="0"/>
        <w:widowControl/>
        <w:kinsoku/>
        <w:wordWrap/>
        <w:overflowPunct/>
        <w:topLinePunct w:val="0"/>
        <w:autoSpaceDE/>
        <w:autoSpaceDN/>
        <w:bidi w:val="0"/>
        <w:adjustRightInd/>
        <w:snapToGrid/>
        <w:spacing w:after="196" w:afterLines="50"/>
        <w:jc w:val="center"/>
        <w:textAlignment w:val="auto"/>
        <w:outlineLvl w:val="9"/>
        <w:rPr>
          <w:rFonts w:hint="eastAsia" w:ascii="宋体" w:hAnsi="宋体" w:eastAsia="宋体" w:cs="Times New Roman"/>
          <w:b/>
          <w:bCs w:val="0"/>
          <w:color w:val="auto"/>
          <w:highlight w:val="none"/>
          <w:lang w:eastAsia="zh-CN"/>
        </w:rPr>
      </w:pPr>
      <w:bookmarkStart w:id="290" w:name="_Toc19543356"/>
      <w:bookmarkStart w:id="291" w:name="_Toc10261"/>
      <w:bookmarkStart w:id="292" w:name="_Toc13614"/>
      <w:bookmarkStart w:id="293" w:name="_Toc12562"/>
      <w:bookmarkStart w:id="294" w:name="_Toc2406"/>
      <w:r>
        <w:rPr>
          <w:rFonts w:hint="eastAsia" w:ascii="宋体" w:hAnsi="宋体" w:eastAsia="宋体" w:cs="Times New Roman"/>
          <w:b/>
          <w:bCs w:val="0"/>
          <w:color w:val="auto"/>
          <w:highlight w:val="none"/>
          <w:lang w:eastAsia="zh-CN"/>
        </w:rPr>
        <w:t>法定代表人授权书</w:t>
      </w:r>
      <w:bookmarkEnd w:id="290"/>
      <w:bookmarkEnd w:id="291"/>
      <w:bookmarkEnd w:id="292"/>
      <w:bookmarkEnd w:id="293"/>
      <w:bookmarkEnd w:id="294"/>
    </w:p>
    <w:p w14:paraId="210519AE">
      <w:pPr>
        <w:pStyle w:val="18"/>
        <w:pageBreakBefore w:val="0"/>
        <w:overflowPunct/>
        <w:topLinePunct w:val="0"/>
        <w:autoSpaceDE/>
        <w:autoSpaceDN/>
        <w:bidi w:val="0"/>
        <w:spacing w:line="400" w:lineRule="exact"/>
        <w:jc w:val="left"/>
        <w:outlineLvl w:val="9"/>
        <w:rPr>
          <w:rFonts w:hint="eastAsia" w:ascii="宋体" w:hAnsi="宋体" w:eastAsia="宋体" w:cs="宋体"/>
          <w:color w:val="auto"/>
          <w:sz w:val="24"/>
          <w:szCs w:val="24"/>
          <w:highlight w:val="none"/>
        </w:rPr>
      </w:pPr>
      <w:r>
        <w:rPr>
          <w:rFonts w:hint="eastAsia" w:ascii="宋体" w:hAnsi="宋体" w:eastAsia="宋体" w:cs="宋体"/>
          <w:sz w:val="24"/>
          <w:szCs w:val="24"/>
          <w:lang w:eastAsia="zh-CN"/>
        </w:rPr>
        <w:t>安康市中心血站、</w:t>
      </w:r>
      <w:r>
        <w:rPr>
          <w:rFonts w:hint="eastAsia" w:ascii="宋体" w:hAnsi="宋体" w:eastAsia="宋体" w:cs="宋体"/>
          <w:color w:val="auto"/>
          <w:sz w:val="24"/>
          <w:szCs w:val="24"/>
          <w:highlight w:val="none"/>
        </w:rPr>
        <w:t>安康尚昊招标代理有限公司：</w:t>
      </w:r>
    </w:p>
    <w:p w14:paraId="2B1B04B6">
      <w:pPr>
        <w:pageBreakBefore w:val="0"/>
        <w:tabs>
          <w:tab w:val="left" w:pos="8820"/>
        </w:tabs>
        <w:overflowPunct/>
        <w:topLinePunct w:val="0"/>
        <w:autoSpaceDE/>
        <w:autoSpaceDN/>
        <w:bidi w:val="0"/>
        <w:spacing w:line="400" w:lineRule="exact"/>
        <w:ind w:firstLine="57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系注册于</w:t>
      </w:r>
      <w:r>
        <w:rPr>
          <w:rFonts w:hint="eastAsia" w:ascii="宋体" w:hAnsi="宋体" w:eastAsia="宋体" w:cs="宋体"/>
          <w:color w:val="auto"/>
          <w:sz w:val="24"/>
          <w:szCs w:val="24"/>
          <w:highlight w:val="none"/>
          <w:u w:val="single"/>
        </w:rPr>
        <w:t xml:space="preserve">  （供应商地址）</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（供应商名称） </w:t>
      </w:r>
      <w:r>
        <w:rPr>
          <w:rFonts w:hint="eastAsia" w:ascii="宋体" w:hAnsi="宋体" w:eastAsia="宋体" w:cs="宋体"/>
          <w:color w:val="auto"/>
          <w:sz w:val="24"/>
          <w:szCs w:val="24"/>
          <w:highlight w:val="none"/>
        </w:rPr>
        <w:t>的法定代表人，现代表公司授权下面签字的</w:t>
      </w:r>
      <w:r>
        <w:rPr>
          <w:rFonts w:hint="eastAsia" w:ascii="宋体" w:hAnsi="宋体" w:eastAsia="宋体" w:cs="宋体"/>
          <w:color w:val="auto"/>
          <w:sz w:val="24"/>
          <w:szCs w:val="24"/>
          <w:highlight w:val="none"/>
          <w:u w:val="single"/>
        </w:rPr>
        <w:t xml:space="preserve">（被授权人的姓名、职务） </w:t>
      </w:r>
      <w:r>
        <w:rPr>
          <w:rFonts w:hint="eastAsia" w:ascii="宋体" w:hAnsi="宋体" w:eastAsia="宋体" w:cs="宋体"/>
          <w:color w:val="auto"/>
          <w:sz w:val="24"/>
          <w:szCs w:val="24"/>
          <w:highlight w:val="none"/>
        </w:rPr>
        <w:t>为我公司合法代理人，代表本公司参加</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的采购活动。以我方名义全权处理该项目有关</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、签订合同以及执行合同等一切事宜。</w:t>
      </w:r>
    </w:p>
    <w:p w14:paraId="6A5B5A94">
      <w:pPr>
        <w:pageBreakBefore w:val="0"/>
        <w:overflowPunct/>
        <w:topLinePunct w:val="0"/>
        <w:autoSpaceDE/>
        <w:autoSpaceDN/>
        <w:bidi w:val="0"/>
        <w:spacing w:line="4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有效期自</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color w:val="auto"/>
          <w:sz w:val="24"/>
          <w:szCs w:val="24"/>
          <w:highlight w:val="none"/>
        </w:rPr>
        <w:t>日历日，特此声明。</w:t>
      </w:r>
    </w:p>
    <w:p w14:paraId="23557A01">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outlineLvl w:val="9"/>
        <w:rPr>
          <w:rFonts w:hint="eastAsia" w:ascii="宋体" w:hAnsi="宋体" w:eastAsia="宋体" w:cs="宋体"/>
          <w:sz w:val="24"/>
          <w:szCs w:val="24"/>
          <w:highlight w:val="none"/>
        </w:rPr>
      </w:pPr>
      <w:bookmarkStart w:id="295" w:name="_Toc1298"/>
      <w:bookmarkStart w:id="296" w:name="_Toc9507"/>
      <w:bookmarkStart w:id="297" w:name="_Toc12960"/>
      <w:bookmarkStart w:id="298" w:name="_Toc6900"/>
      <w:r>
        <w:rPr>
          <w:rFonts w:hint="eastAsia" w:ascii="宋体" w:hAnsi="宋体" w:eastAsia="宋体" w:cs="宋体"/>
          <w:sz w:val="24"/>
          <w:szCs w:val="24"/>
          <w:highlight w:val="none"/>
        </w:rPr>
        <w:t>委托单位：    （公章）                  法定代表人（签字或盖章）：</w:t>
      </w:r>
    </w:p>
    <w:p w14:paraId="3AA544BE">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签发日期：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2318A34">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附：被授权人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签字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14:paraId="4EFB8981">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634B6F9">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传真：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1D1683F9">
      <w:pPr>
        <w:keepNext w:val="0"/>
        <w:keepLines w:val="0"/>
        <w:pageBreakBefore w:val="0"/>
        <w:widowControl/>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法定代表人/被授权人身份证复印件</w:t>
      </w:r>
    </w:p>
    <w:tbl>
      <w:tblPr>
        <w:tblStyle w:val="42"/>
        <w:tblW w:w="866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5593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57" w:hRule="atLeast"/>
        </w:trPr>
        <w:tc>
          <w:tcPr>
            <w:tcW w:w="4330" w:type="dxa"/>
            <w:shd w:val="clear" w:color="auto" w:fill="E0E0E0"/>
            <w:vAlign w:val="center"/>
          </w:tcPr>
          <w:p w14:paraId="37ACB7FD">
            <w:pPr>
              <w:keepNext w:val="0"/>
              <w:keepLines w:val="0"/>
              <w:pageBreakBefore w:val="0"/>
              <w:widowControl/>
              <w:suppressLineNumbers w:val="0"/>
              <w:overflowPunct/>
              <w:topLinePunct w:val="0"/>
              <w:autoSpaceDE/>
              <w:autoSpaceDN/>
              <w:bidi w:val="0"/>
              <w:snapToGrid w:val="0"/>
              <w:spacing w:before="0" w:beforeAutospacing="0" w:after="0" w:afterAutospacing="0" w:line="500" w:lineRule="exact"/>
              <w:ind w:left="0" w:right="0"/>
              <w:jc w:val="center"/>
              <w:outlineLvl w:val="9"/>
              <w:rPr>
                <w:rFonts w:hint="eastAsia" w:ascii="宋体" w:hAnsi="宋体" w:eastAsia="宋体" w:cs="宋体"/>
                <w:sz w:val="24"/>
                <w:szCs w:val="24"/>
                <w:highlight w:val="none"/>
                <w:shd w:val="pct10" w:color="auto" w:fill="FFFFFF"/>
              </w:rPr>
            </w:pPr>
            <w:r>
              <w:rPr>
                <w:rFonts w:hint="eastAsia" w:ascii="宋体" w:hAnsi="宋体" w:eastAsia="宋体" w:cs="宋体"/>
                <w:sz w:val="24"/>
                <w:szCs w:val="24"/>
                <w:highlight w:val="none"/>
                <w:shd w:val="pct10" w:color="auto" w:fill="FFFFFF"/>
              </w:rPr>
              <w:t>法定代表人身份证复印件（正面）</w:t>
            </w:r>
          </w:p>
        </w:tc>
        <w:tc>
          <w:tcPr>
            <w:tcW w:w="4330" w:type="dxa"/>
            <w:shd w:val="clear" w:color="auto" w:fill="E0E0E0"/>
            <w:vAlign w:val="center"/>
          </w:tcPr>
          <w:p w14:paraId="5A255452">
            <w:pPr>
              <w:keepNext w:val="0"/>
              <w:keepLines w:val="0"/>
              <w:pageBreakBefore w:val="0"/>
              <w:widowControl/>
              <w:suppressLineNumbers w:val="0"/>
              <w:overflowPunct/>
              <w:topLinePunct w:val="0"/>
              <w:autoSpaceDE/>
              <w:autoSpaceDN/>
              <w:bidi w:val="0"/>
              <w:snapToGrid w:val="0"/>
              <w:spacing w:before="0" w:beforeAutospacing="0" w:after="0" w:afterAutospacing="0" w:line="500" w:lineRule="exact"/>
              <w:ind w:left="0" w:right="0"/>
              <w:jc w:val="center"/>
              <w:outlineLvl w:val="9"/>
              <w:rPr>
                <w:rFonts w:hint="eastAsia" w:ascii="宋体" w:hAnsi="宋体" w:eastAsia="宋体" w:cs="宋体"/>
                <w:sz w:val="24"/>
                <w:szCs w:val="24"/>
                <w:highlight w:val="none"/>
                <w:shd w:val="pct10" w:color="auto" w:fill="FFFFFF"/>
              </w:rPr>
            </w:pPr>
            <w:r>
              <w:rPr>
                <w:rFonts w:hint="eastAsia" w:ascii="宋体" w:hAnsi="宋体" w:eastAsia="宋体" w:cs="宋体"/>
                <w:sz w:val="24"/>
                <w:szCs w:val="24"/>
                <w:highlight w:val="none"/>
                <w:shd w:val="pct10" w:color="auto" w:fill="FFFFFF"/>
              </w:rPr>
              <w:t>被授权人身份证复印件（正面）</w:t>
            </w:r>
          </w:p>
        </w:tc>
      </w:tr>
      <w:tr w14:paraId="0E8E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517" w:hRule="atLeast"/>
        </w:trPr>
        <w:tc>
          <w:tcPr>
            <w:tcW w:w="4330" w:type="dxa"/>
            <w:shd w:val="clear" w:color="auto" w:fill="E0E0E0"/>
            <w:vAlign w:val="center"/>
          </w:tcPr>
          <w:p w14:paraId="3CB6E036">
            <w:pPr>
              <w:keepNext w:val="0"/>
              <w:keepLines w:val="0"/>
              <w:pageBreakBefore w:val="0"/>
              <w:widowControl/>
              <w:suppressLineNumbers w:val="0"/>
              <w:overflowPunct/>
              <w:topLinePunct w:val="0"/>
              <w:autoSpaceDE/>
              <w:autoSpaceDN/>
              <w:bidi w:val="0"/>
              <w:snapToGrid w:val="0"/>
              <w:spacing w:before="0" w:beforeAutospacing="0" w:after="0" w:afterAutospacing="0" w:line="500" w:lineRule="exact"/>
              <w:ind w:left="0" w:right="0"/>
              <w:jc w:val="center"/>
              <w:outlineLvl w:val="9"/>
              <w:rPr>
                <w:rFonts w:hint="eastAsia" w:ascii="宋体" w:hAnsi="宋体" w:eastAsia="宋体" w:cs="宋体"/>
                <w:sz w:val="24"/>
                <w:szCs w:val="24"/>
                <w:highlight w:val="none"/>
                <w:shd w:val="pct10" w:color="auto" w:fill="FFFFFF"/>
              </w:rPr>
            </w:pPr>
            <w:r>
              <w:rPr>
                <w:rFonts w:hint="eastAsia" w:ascii="宋体" w:hAnsi="宋体" w:eastAsia="宋体" w:cs="宋体"/>
                <w:sz w:val="24"/>
                <w:szCs w:val="24"/>
                <w:highlight w:val="none"/>
                <w:shd w:val="pct10" w:color="auto" w:fill="FFFFFF"/>
              </w:rPr>
              <w:t>法定代表人身份证复印件（反面）</w:t>
            </w:r>
          </w:p>
        </w:tc>
        <w:tc>
          <w:tcPr>
            <w:tcW w:w="4330" w:type="dxa"/>
            <w:shd w:val="clear" w:color="auto" w:fill="E0E0E0"/>
            <w:vAlign w:val="center"/>
          </w:tcPr>
          <w:p w14:paraId="77C5E926">
            <w:pPr>
              <w:keepNext w:val="0"/>
              <w:keepLines w:val="0"/>
              <w:pageBreakBefore w:val="0"/>
              <w:widowControl/>
              <w:suppressLineNumbers w:val="0"/>
              <w:overflowPunct/>
              <w:topLinePunct w:val="0"/>
              <w:autoSpaceDE/>
              <w:autoSpaceDN/>
              <w:bidi w:val="0"/>
              <w:snapToGrid w:val="0"/>
              <w:spacing w:before="0" w:beforeAutospacing="0" w:after="0" w:afterAutospacing="0" w:line="500" w:lineRule="exact"/>
              <w:ind w:left="0" w:right="0"/>
              <w:jc w:val="center"/>
              <w:outlineLvl w:val="9"/>
              <w:rPr>
                <w:rFonts w:hint="eastAsia" w:ascii="宋体" w:hAnsi="宋体" w:eastAsia="宋体" w:cs="宋体"/>
                <w:sz w:val="24"/>
                <w:szCs w:val="24"/>
                <w:highlight w:val="none"/>
                <w:shd w:val="pct10" w:color="auto" w:fill="FFFFFF"/>
              </w:rPr>
            </w:pPr>
            <w:r>
              <w:rPr>
                <w:rFonts w:hint="eastAsia" w:ascii="宋体" w:hAnsi="宋体" w:eastAsia="宋体" w:cs="宋体"/>
                <w:sz w:val="24"/>
                <w:szCs w:val="24"/>
                <w:highlight w:val="none"/>
                <w:shd w:val="pct10" w:color="auto" w:fill="FFFFFF"/>
              </w:rPr>
              <w:t>被授权人身份证复印件（反面）</w:t>
            </w:r>
          </w:p>
        </w:tc>
      </w:tr>
    </w:tbl>
    <w:p w14:paraId="119C41C2">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14:paraId="35CA29B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sz w:val="24"/>
          <w:szCs w:val="24"/>
          <w:highlight w:val="none"/>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highlight w:val="none"/>
        </w:rPr>
        <w:t>本授权书有效期自</w:t>
      </w:r>
      <w:r>
        <w:rPr>
          <w:rFonts w:hint="eastAsia" w:ascii="宋体" w:hAnsi="宋体" w:eastAsia="宋体" w:cs="宋体"/>
          <w:sz w:val="24"/>
          <w:szCs w:val="24"/>
          <w:highlight w:val="none"/>
          <w:lang w:val="en-US" w:eastAsia="zh-CN"/>
        </w:rPr>
        <w:t>谈判会议</w:t>
      </w:r>
      <w:r>
        <w:rPr>
          <w:rFonts w:hint="eastAsia" w:ascii="宋体" w:hAnsi="宋体" w:eastAsia="宋体" w:cs="宋体"/>
          <w:sz w:val="24"/>
          <w:szCs w:val="24"/>
          <w:highlight w:val="none"/>
        </w:rPr>
        <w:t>之日计算不得少于九十天。</w:t>
      </w:r>
    </w:p>
    <w:p w14:paraId="5A0BF01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sz w:val="24"/>
          <w:szCs w:val="24"/>
          <w:highlight w:val="none"/>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r>
        <w:rPr>
          <w:rFonts w:hint="eastAsia" w:ascii="宋体" w:hAnsi="宋体" w:eastAsia="宋体" w:cs="宋体"/>
          <w:color w:val="auto"/>
          <w:kern w:val="0"/>
          <w:sz w:val="24"/>
          <w:szCs w:val="24"/>
          <w:lang w:val="en-US" w:eastAsia="zh-CN" w:bidi="ar-SA"/>
        </w:rPr>
        <w:t>2．</w:t>
      </w:r>
      <w:r>
        <w:rPr>
          <w:rFonts w:hint="eastAsia" w:ascii="宋体" w:hAnsi="宋体" w:eastAsia="宋体" w:cs="宋体"/>
          <w:sz w:val="24"/>
          <w:szCs w:val="24"/>
          <w:highlight w:val="none"/>
        </w:rPr>
        <w:t>授权书内容填写要明确，文字要工整清楚，涂改无效。</w:t>
      </w:r>
    </w:p>
    <w:p w14:paraId="5B72ACEC">
      <w:pPr>
        <w:pageBreakBefore w:val="0"/>
        <w:numPr>
          <w:ilvl w:val="0"/>
          <w:numId w:val="0"/>
        </w:numPr>
        <w:overflowPunct/>
        <w:topLinePunct w:val="0"/>
        <w:autoSpaceDE/>
        <w:autoSpaceDN/>
        <w:bidi w:val="0"/>
        <w:spacing w:line="460" w:lineRule="exact"/>
        <w:ind w:firstLine="562" w:firstLineChars="200"/>
        <w:jc w:val="center"/>
        <w:outlineLvl w:val="9"/>
        <w:rPr>
          <w:rFonts w:hint="eastAsia" w:ascii="宋体" w:hAnsi="宋体" w:eastAsia="宋体" w:cs="Times New Roman"/>
          <w:b/>
          <w:bCs w:val="0"/>
          <w:color w:val="auto"/>
          <w:highlight w:val="none"/>
          <w:lang w:eastAsia="zh-CN"/>
        </w:rPr>
      </w:pPr>
    </w:p>
    <w:p w14:paraId="698FC6E9">
      <w:pPr>
        <w:pageBreakBefore w:val="0"/>
        <w:numPr>
          <w:ilvl w:val="0"/>
          <w:numId w:val="0"/>
        </w:numPr>
        <w:overflowPunct/>
        <w:topLinePunct w:val="0"/>
        <w:autoSpaceDE/>
        <w:autoSpaceDN/>
        <w:bidi w:val="0"/>
        <w:spacing w:line="460" w:lineRule="exact"/>
        <w:ind w:firstLine="562" w:firstLineChars="200"/>
        <w:jc w:val="center"/>
        <w:outlineLvl w:val="9"/>
        <w:rPr>
          <w:rFonts w:hint="eastAsia" w:ascii="宋体" w:hAnsi="宋体" w:eastAsia="宋体" w:cs="Times New Roman"/>
          <w:b/>
          <w:bCs w:val="0"/>
          <w:color w:val="auto"/>
          <w:highlight w:val="none"/>
          <w:lang w:eastAsia="zh-CN"/>
        </w:rPr>
      </w:pPr>
      <w:r>
        <w:rPr>
          <w:rFonts w:hint="eastAsia" w:ascii="宋体" w:hAnsi="宋体" w:eastAsia="宋体" w:cs="Times New Roman"/>
          <w:b/>
          <w:bCs w:val="0"/>
          <w:color w:val="auto"/>
          <w:highlight w:val="none"/>
          <w:lang w:eastAsia="zh-CN"/>
        </w:rPr>
        <w:t>无重大违法记录声明</w:t>
      </w:r>
      <w:bookmarkEnd w:id="295"/>
      <w:bookmarkEnd w:id="296"/>
      <w:bookmarkEnd w:id="297"/>
      <w:bookmarkEnd w:id="298"/>
    </w:p>
    <w:p w14:paraId="5434DBA6">
      <w:pPr>
        <w:pStyle w:val="37"/>
        <w:rPr>
          <w:rFonts w:hint="eastAsia"/>
        </w:rPr>
      </w:pPr>
    </w:p>
    <w:p w14:paraId="43E67EFA">
      <w:pPr>
        <w:pageBreakBefore w:val="0"/>
        <w:overflowPunct/>
        <w:topLinePunct w:val="0"/>
        <w:autoSpaceDE/>
        <w:autoSpaceDN/>
        <w:bidi w:val="0"/>
        <w:adjustRightInd w:val="0"/>
        <w:snapToGrid w:val="0"/>
        <w:spacing w:line="408" w:lineRule="auto"/>
        <w:outlineLvl w:val="9"/>
        <w:rPr>
          <w:rFonts w:hint="eastAsia" w:ascii="宋体" w:hAnsi="宋体" w:eastAsia="宋体" w:cs="宋体"/>
          <w:kern w:val="0"/>
          <w:sz w:val="24"/>
          <w:szCs w:val="24"/>
        </w:rPr>
      </w:pPr>
      <w:r>
        <w:rPr>
          <w:rFonts w:hint="eastAsia" w:ascii="宋体" w:hAnsi="宋体" w:eastAsia="宋体" w:cs="宋体"/>
          <w:sz w:val="24"/>
          <w:szCs w:val="24"/>
          <w:lang w:eastAsia="zh-CN"/>
        </w:rPr>
        <w:t>安康市中心血站、</w:t>
      </w:r>
      <w:r>
        <w:rPr>
          <w:rFonts w:hint="eastAsia" w:ascii="宋体" w:hAnsi="宋体" w:eastAsia="宋体" w:cs="宋体"/>
          <w:sz w:val="24"/>
          <w:szCs w:val="24"/>
        </w:rPr>
        <w:t>安康尚昊招标代理有限公司</w:t>
      </w:r>
      <w:r>
        <w:rPr>
          <w:rFonts w:hint="eastAsia" w:ascii="宋体" w:hAnsi="宋体" w:eastAsia="宋体" w:cs="宋体"/>
          <w:bCs/>
          <w:sz w:val="24"/>
          <w:szCs w:val="24"/>
        </w:rPr>
        <w:t>：</w:t>
      </w:r>
    </w:p>
    <w:p w14:paraId="1E21FD78">
      <w:pPr>
        <w:pageBreakBefore w:val="0"/>
        <w:overflowPunct/>
        <w:topLinePunct w:val="0"/>
        <w:autoSpaceDE/>
        <w:autoSpaceDN/>
        <w:bidi w:val="0"/>
        <w:adjustRightInd w:val="0"/>
        <w:snapToGrid w:val="0"/>
        <w:spacing w:line="408" w:lineRule="auto"/>
        <w:outlineLvl w:val="9"/>
        <w:rPr>
          <w:rFonts w:hint="eastAsia" w:ascii="宋体" w:hAnsi="宋体" w:eastAsia="宋体" w:cs="宋体"/>
          <w:bCs/>
          <w:sz w:val="24"/>
          <w:szCs w:val="24"/>
        </w:rPr>
      </w:pPr>
      <w:r>
        <w:rPr>
          <w:rFonts w:hint="eastAsia" w:ascii="宋体" w:hAnsi="宋体" w:eastAsia="宋体" w:cs="宋体"/>
          <w:bCs/>
          <w:sz w:val="24"/>
          <w:szCs w:val="24"/>
        </w:rPr>
        <w:t xml:space="preserve">   我方愿响应贵方</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日发布的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）公告内容，参与投标，提供采购人需求中规定的全部内容。作为参加本次政府采购活动的投标人，郑重承诺：</w:t>
      </w:r>
    </w:p>
    <w:p w14:paraId="1D54E0A1">
      <w:pPr>
        <w:pageBreakBefore w:val="0"/>
        <w:overflowPunct/>
        <w:topLinePunct w:val="0"/>
        <w:autoSpaceDE/>
        <w:autoSpaceDN/>
        <w:bidi w:val="0"/>
        <w:adjustRightInd w:val="0"/>
        <w:snapToGrid w:val="0"/>
        <w:spacing w:line="408" w:lineRule="auto"/>
        <w:outlineLvl w:val="9"/>
        <w:rPr>
          <w:rFonts w:hint="eastAsia" w:ascii="宋体" w:hAnsi="宋体" w:eastAsia="宋体" w:cs="宋体"/>
          <w:bCs/>
          <w:sz w:val="24"/>
          <w:szCs w:val="24"/>
        </w:rPr>
      </w:pPr>
      <w:r>
        <w:rPr>
          <w:rFonts w:hint="eastAsia" w:ascii="宋体" w:hAnsi="宋体" w:eastAsia="宋体" w:cs="宋体"/>
          <w:bCs/>
          <w:sz w:val="24"/>
          <w:szCs w:val="24"/>
        </w:rPr>
        <w:t xml:space="preserve">    1.我方参加本次政府采购活动近三年内，在经营活动中没有重大违法记录及其他违法采购活动记录，未被列入失信被执行人名单，未被列入重大税收违法案件记录名单，未被列入政府采购严重违法失信行为记录名单。</w:t>
      </w:r>
    </w:p>
    <w:p w14:paraId="3DECB251">
      <w:pPr>
        <w:pageBreakBefore w:val="0"/>
        <w:overflowPunct/>
        <w:topLinePunct w:val="0"/>
        <w:autoSpaceDE/>
        <w:autoSpaceDN/>
        <w:bidi w:val="0"/>
        <w:adjustRightInd w:val="0"/>
        <w:snapToGrid w:val="0"/>
        <w:spacing w:line="408" w:lineRule="auto"/>
        <w:outlineLvl w:val="9"/>
        <w:rPr>
          <w:rFonts w:hint="eastAsia" w:ascii="宋体" w:hAnsi="宋体" w:eastAsia="宋体" w:cs="宋体"/>
          <w:bCs/>
          <w:sz w:val="24"/>
          <w:szCs w:val="24"/>
        </w:rPr>
      </w:pPr>
      <w:r>
        <w:rPr>
          <w:rFonts w:hint="eastAsia" w:ascii="宋体" w:hAnsi="宋体" w:eastAsia="宋体" w:cs="宋体"/>
          <w:bCs/>
          <w:sz w:val="24"/>
          <w:szCs w:val="24"/>
        </w:rPr>
        <w:t xml:space="preserve">    2.我方参与本次政府采购活动近三年内：没有处于被责令停业的状态；没有处于被行政主管部门取消投标资格的处罚期内；在近三年内没有行政主管部门已书面认定的重大质量问题；没有在近三年内被人民法院判决犯有行贿罪的记录。</w:t>
      </w:r>
    </w:p>
    <w:p w14:paraId="42018A3D">
      <w:pPr>
        <w:pageBreakBefore w:val="0"/>
        <w:overflowPunct/>
        <w:topLinePunct w:val="0"/>
        <w:autoSpaceDE/>
        <w:autoSpaceDN/>
        <w:bidi w:val="0"/>
        <w:adjustRightInd w:val="0"/>
        <w:snapToGrid w:val="0"/>
        <w:spacing w:line="408" w:lineRule="auto"/>
        <w:outlineLvl w:val="9"/>
        <w:rPr>
          <w:rFonts w:hint="eastAsia" w:ascii="宋体" w:hAnsi="宋体" w:eastAsia="宋体" w:cs="宋体"/>
          <w:bCs/>
          <w:sz w:val="24"/>
          <w:szCs w:val="24"/>
        </w:rPr>
      </w:pPr>
      <w:r>
        <w:rPr>
          <w:rFonts w:hint="eastAsia" w:ascii="宋体" w:hAnsi="宋体" w:eastAsia="宋体" w:cs="宋体"/>
          <w:bCs/>
          <w:sz w:val="24"/>
          <w:szCs w:val="24"/>
        </w:rPr>
        <w:t xml:space="preserve">   本公司对上述承诺的真实性负责，如有虚假，我方自行承担一切后果及法律责任。</w:t>
      </w:r>
    </w:p>
    <w:p w14:paraId="14163BDA">
      <w:pPr>
        <w:pageBreakBefore w:val="0"/>
        <w:overflowPunct/>
        <w:topLinePunct w:val="0"/>
        <w:autoSpaceDE/>
        <w:autoSpaceDN/>
        <w:bidi w:val="0"/>
        <w:adjustRightInd w:val="0"/>
        <w:snapToGrid w:val="0"/>
        <w:spacing w:line="408" w:lineRule="auto"/>
        <w:outlineLvl w:val="9"/>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注：在对</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文件中此声明函真实性和有效性进行审查、验证时，如有造假/情况不一致/未按要求提供的，按无效文件处理。</w:t>
      </w:r>
    </w:p>
    <w:p w14:paraId="239B0B8A">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rPr>
      </w:pPr>
    </w:p>
    <w:p w14:paraId="1D5903BD">
      <w:pPr>
        <w:pageBreakBefore w:val="0"/>
        <w:overflowPunct/>
        <w:topLinePunct w:val="0"/>
        <w:autoSpaceDE/>
        <w:autoSpaceDN/>
        <w:bidi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1893D4C5">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rPr>
      </w:pPr>
    </w:p>
    <w:p w14:paraId="54A1C354">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rPr>
      </w:pPr>
    </w:p>
    <w:p w14:paraId="70799BE3">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lang w:eastAsia="zh-CN"/>
        </w:rPr>
      </w:pPr>
    </w:p>
    <w:p w14:paraId="17E09C00">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w:t>
      </w:r>
    </w:p>
    <w:p w14:paraId="21CA7A45">
      <w:pPr>
        <w:pageBreakBefore w:val="0"/>
        <w:overflowPunct/>
        <w:topLinePunct w:val="0"/>
        <w:autoSpaceDE/>
        <w:autoSpaceDN/>
        <w:bidi w:val="0"/>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w:t>
      </w:r>
    </w:p>
    <w:p w14:paraId="5D7E3A6B">
      <w:pPr>
        <w:pageBreakBefore w:val="0"/>
        <w:overflowPunct/>
        <w:topLinePunct w:val="0"/>
        <w:autoSpaceDE/>
        <w:autoSpaceDN/>
        <w:bidi w:val="0"/>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期：________年________月________日</w:t>
      </w:r>
    </w:p>
    <w:p w14:paraId="4A282AD8">
      <w:pPr>
        <w:pageBreakBefore w:val="0"/>
        <w:overflowPunct/>
        <w:topLinePunct w:val="0"/>
        <w:autoSpaceDE/>
        <w:autoSpaceDN/>
        <w:bidi w:val="0"/>
        <w:outlineLvl w:val="9"/>
        <w:rPr>
          <w:rFonts w:hint="eastAsia" w:ascii="宋体" w:hAnsi="宋体" w:eastAsia="宋体" w:cs="宋体"/>
          <w:color w:val="auto"/>
          <w:highlight w:val="none"/>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25C7001C">
      <w:pPr>
        <w:keepNext/>
        <w:keepLines/>
        <w:pageBreakBefore w:val="0"/>
        <w:widowControl/>
        <w:kinsoku/>
        <w:wordWrap/>
        <w:overflowPunct/>
        <w:topLinePunct w:val="0"/>
        <w:autoSpaceDE/>
        <w:autoSpaceDN/>
        <w:bidi w:val="0"/>
        <w:adjustRightInd/>
        <w:snapToGrid/>
        <w:spacing w:after="196" w:afterLines="50"/>
        <w:jc w:val="center"/>
        <w:textAlignment w:val="auto"/>
        <w:outlineLvl w:val="9"/>
        <w:rPr>
          <w:rFonts w:hint="eastAsia" w:ascii="宋体" w:hAnsi="宋体" w:eastAsia="宋体" w:cs="Times New Roman"/>
          <w:b/>
          <w:bCs w:val="0"/>
          <w:color w:val="auto"/>
          <w:highlight w:val="none"/>
          <w:lang w:eastAsia="zh-CN"/>
        </w:rPr>
      </w:pPr>
      <w:bookmarkStart w:id="299" w:name="_Toc27509"/>
      <w:bookmarkStart w:id="300" w:name="_Toc19929"/>
      <w:r>
        <w:rPr>
          <w:rFonts w:hint="eastAsia" w:ascii="宋体" w:hAnsi="宋体" w:eastAsia="宋体" w:cs="Times New Roman"/>
          <w:b/>
          <w:bCs w:val="0"/>
          <w:color w:val="auto"/>
          <w:highlight w:val="none"/>
          <w:lang w:eastAsia="zh-CN"/>
        </w:rPr>
        <w:t>投标人非联合体投标声明</w:t>
      </w:r>
      <w:bookmarkEnd w:id="299"/>
      <w:bookmarkEnd w:id="300"/>
    </w:p>
    <w:p w14:paraId="14425E15">
      <w:pPr>
        <w:pageBreakBefore w:val="0"/>
        <w:overflowPunct/>
        <w:topLinePunct w:val="0"/>
        <w:autoSpaceDE/>
        <w:autoSpaceDN/>
        <w:bidi w:val="0"/>
        <w:adjustRightInd w:val="0"/>
        <w:snapToGrid w:val="0"/>
        <w:spacing w:line="360" w:lineRule="auto"/>
        <w:outlineLvl w:val="9"/>
        <w:rPr>
          <w:rFonts w:hint="eastAsia" w:ascii="仿宋" w:hAnsi="仿宋" w:eastAsia="仿宋" w:cs="黑体"/>
          <w:bCs/>
          <w:color w:val="auto"/>
          <w:sz w:val="28"/>
          <w:szCs w:val="28"/>
          <w:highlight w:val="none"/>
        </w:rPr>
      </w:pPr>
    </w:p>
    <w:p w14:paraId="351E1D5F">
      <w:pPr>
        <w:pageBreakBefore w:val="0"/>
        <w:overflowPunct/>
        <w:topLinePunct w:val="0"/>
        <w:autoSpaceDE/>
        <w:autoSpaceDN/>
        <w:bidi w:val="0"/>
        <w:adjustRightInd w:val="0"/>
        <w:snapToGrid w:val="0"/>
        <w:spacing w:line="408" w:lineRule="auto"/>
        <w:outlineLvl w:val="9"/>
        <w:rPr>
          <w:rFonts w:hint="eastAsia" w:ascii="宋体" w:hAnsi="宋体" w:eastAsia="宋体" w:cs="宋体"/>
          <w:bCs/>
          <w:color w:val="auto"/>
          <w:sz w:val="24"/>
          <w:szCs w:val="24"/>
          <w:highlight w:val="none"/>
        </w:rPr>
      </w:pPr>
      <w:r>
        <w:rPr>
          <w:rFonts w:hint="eastAsia" w:ascii="宋体" w:hAnsi="宋体" w:eastAsia="宋体" w:cs="宋体"/>
          <w:sz w:val="24"/>
          <w:szCs w:val="24"/>
          <w:lang w:eastAsia="zh-CN"/>
        </w:rPr>
        <w:t>安康市中心血站、</w:t>
      </w:r>
      <w:r>
        <w:rPr>
          <w:rFonts w:hint="eastAsia" w:ascii="宋体" w:hAnsi="宋体" w:eastAsia="宋体" w:cs="宋体"/>
          <w:sz w:val="24"/>
          <w:szCs w:val="24"/>
        </w:rPr>
        <w:t>安康尚昊招标代理有限公司</w:t>
      </w:r>
      <w:r>
        <w:rPr>
          <w:rFonts w:hint="eastAsia" w:ascii="宋体" w:hAnsi="宋体" w:eastAsia="宋体" w:cs="宋体"/>
          <w:bCs/>
          <w:color w:val="auto"/>
          <w:sz w:val="24"/>
          <w:szCs w:val="24"/>
          <w:highlight w:val="none"/>
        </w:rPr>
        <w:t>：</w:t>
      </w:r>
    </w:p>
    <w:p w14:paraId="33EDD7B1">
      <w:pPr>
        <w:pageBreakBefore w:val="0"/>
        <w:kinsoku/>
        <w:wordWrap/>
        <w:overflowPunct/>
        <w:topLinePunct w:val="0"/>
        <w:autoSpaceDE/>
        <w:autoSpaceDN/>
        <w:bidi w:val="0"/>
        <w:adjustRightInd w:val="0"/>
        <w:snapToGrid w:val="0"/>
        <w:spacing w:line="408" w:lineRule="auto"/>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我方愿响应贵方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日发布的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）招标内容，参与投标，提供采购人需求中规定的全部内容。本公司就参加投标工作，作出郑重声明：</w:t>
      </w:r>
    </w:p>
    <w:p w14:paraId="6E95209C">
      <w:pPr>
        <w:pageBreakBefore w:val="0"/>
        <w:kinsoku/>
        <w:wordWrap/>
        <w:overflowPunct/>
        <w:topLinePunct w:val="0"/>
        <w:autoSpaceDE/>
        <w:autoSpaceDN/>
        <w:bidi w:val="0"/>
        <w:adjustRightInd w:val="0"/>
        <w:snapToGrid w:val="0"/>
        <w:spacing w:line="408" w:lineRule="auto"/>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1.本公司保证在本项目投标中不与其他单位围标、串标，不出让投标资格，不向采购人、采购代理机构和评标委员会成员行贿。</w:t>
      </w:r>
    </w:p>
    <w:p w14:paraId="1E9DD198">
      <w:pPr>
        <w:pageBreakBefore w:val="0"/>
        <w:kinsoku/>
        <w:wordWrap/>
        <w:overflowPunct/>
        <w:topLinePunct w:val="0"/>
        <w:autoSpaceDE/>
        <w:autoSpaceDN/>
        <w:bidi w:val="0"/>
        <w:adjustRightInd w:val="0"/>
        <w:snapToGrid w:val="0"/>
        <w:spacing w:line="408" w:lineRule="auto"/>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2.本公司保证本项目并非联合体投标，本项目服务由本公司独立承担。</w:t>
      </w:r>
    </w:p>
    <w:p w14:paraId="7F1E1A67">
      <w:pPr>
        <w:pageBreakBefore w:val="0"/>
        <w:kinsoku/>
        <w:wordWrap/>
        <w:overflowPunct/>
        <w:topLinePunct w:val="0"/>
        <w:autoSpaceDE/>
        <w:autoSpaceDN/>
        <w:bidi w:val="0"/>
        <w:adjustRightInd w:val="0"/>
        <w:snapToGrid w:val="0"/>
        <w:spacing w:line="408" w:lineRule="auto"/>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本公司违反上述保证，或本声明陈述与事实不符，经查实，我方自行承担一切后果及法律责任。</w:t>
      </w:r>
    </w:p>
    <w:p w14:paraId="3EED14D2">
      <w:pPr>
        <w:pageBreakBefore w:val="0"/>
        <w:kinsoku/>
        <w:wordWrap/>
        <w:overflowPunct/>
        <w:topLinePunct w:val="0"/>
        <w:autoSpaceDE/>
        <w:autoSpaceDN/>
        <w:bidi w:val="0"/>
        <w:adjustRightInd w:val="0"/>
        <w:snapToGrid w:val="0"/>
        <w:spacing w:line="408" w:lineRule="auto"/>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特此声明。</w:t>
      </w:r>
    </w:p>
    <w:p w14:paraId="6C1EEA3D">
      <w:pPr>
        <w:pStyle w:val="12"/>
        <w:pageBreakBefore w:val="0"/>
        <w:overflowPunct/>
        <w:topLinePunct w:val="0"/>
        <w:autoSpaceDE/>
        <w:autoSpaceDN/>
        <w:bidi w:val="0"/>
        <w:outlineLvl w:val="9"/>
        <w:rPr>
          <w:rFonts w:hint="eastAsia"/>
          <w:color w:val="auto"/>
          <w:highlight w:val="none"/>
        </w:rPr>
      </w:pPr>
    </w:p>
    <w:p w14:paraId="1BC70DE6">
      <w:pPr>
        <w:pageBreakBefore w:val="0"/>
        <w:overflowPunct/>
        <w:topLinePunct w:val="0"/>
        <w:autoSpaceDE/>
        <w:autoSpaceDN/>
        <w:bidi w:val="0"/>
        <w:outlineLvl w:val="9"/>
        <w:rPr>
          <w:rFonts w:hint="eastAsia"/>
          <w:color w:val="auto"/>
          <w:highlight w:val="none"/>
        </w:rPr>
      </w:pPr>
    </w:p>
    <w:p w14:paraId="529E8729">
      <w:pPr>
        <w:pageBreakBefore w:val="0"/>
        <w:overflowPunct/>
        <w:topLinePunct w:val="0"/>
        <w:autoSpaceDE/>
        <w:autoSpaceDN/>
        <w:bidi w:val="0"/>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w:t>
      </w:r>
    </w:p>
    <w:p w14:paraId="4B6E5916">
      <w:pPr>
        <w:pageBreakBefore w:val="0"/>
        <w:overflowPunct/>
        <w:topLinePunct w:val="0"/>
        <w:autoSpaceDE/>
        <w:autoSpaceDN/>
        <w:bidi w:val="0"/>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w:t>
      </w:r>
    </w:p>
    <w:p w14:paraId="71683DDC">
      <w:pPr>
        <w:pageBreakBefore w:val="0"/>
        <w:overflowPunct/>
        <w:topLinePunct w:val="0"/>
        <w:autoSpaceDE/>
        <w:autoSpaceDN/>
        <w:bidi w:val="0"/>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期：________年________月________日</w:t>
      </w:r>
    </w:p>
    <w:p w14:paraId="4C64CC86">
      <w:pPr>
        <w:pStyle w:val="12"/>
        <w:pageBreakBefore w:val="0"/>
        <w:overflowPunct/>
        <w:topLinePunct w:val="0"/>
        <w:autoSpaceDE/>
        <w:autoSpaceDN/>
        <w:bidi w:val="0"/>
        <w:outlineLvl w:val="9"/>
        <w:rPr>
          <w:rFonts w:hint="eastAsia"/>
          <w:color w:val="auto"/>
          <w:highlight w:val="none"/>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30140F1B">
      <w:pPr>
        <w:pageBreakBefore w:val="0"/>
        <w:overflowPunct/>
        <w:topLinePunct w:val="0"/>
        <w:autoSpaceDE/>
        <w:autoSpaceDN/>
        <w:bidi w:val="0"/>
        <w:spacing w:after="190" w:afterLines="50" w:line="480" w:lineRule="exact"/>
        <w:jc w:val="center"/>
        <w:outlineLvl w:val="9"/>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中小企业声明函（货物）</w:t>
      </w:r>
    </w:p>
    <w:p w14:paraId="1FE1C08F">
      <w:pPr>
        <w:pStyle w:val="13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本公司（联合体）郑重声明，根据《政府采购促进中小企业发展管理办法》（财库﹝2020﹞46号）的规定，本公司 （联合体）参加</w:t>
      </w:r>
      <w:r>
        <w:rPr>
          <w:rFonts w:hint="eastAsia" w:ascii="宋体" w:hAnsi="宋体" w:eastAsia="宋体" w:cs="宋体"/>
          <w:b w:val="0"/>
          <w:bCs w:val="0"/>
          <w:color w:val="000000"/>
          <w:sz w:val="24"/>
          <w:szCs w:val="24"/>
          <w:u w:val="single"/>
        </w:rPr>
        <w:t>（单位名称）</w:t>
      </w:r>
      <w:r>
        <w:rPr>
          <w:rFonts w:hint="eastAsia" w:ascii="宋体" w:hAnsi="宋体" w:eastAsia="宋体" w:cs="宋体"/>
          <w:b w:val="0"/>
          <w:bCs w:val="0"/>
          <w:color w:val="000000"/>
          <w:sz w:val="24"/>
          <w:szCs w:val="24"/>
        </w:rPr>
        <w:t>的</w:t>
      </w:r>
      <w:r>
        <w:rPr>
          <w:rFonts w:hint="eastAsia" w:ascii="宋体" w:hAnsi="宋体" w:eastAsia="宋体" w:cs="宋体"/>
          <w:b w:val="0"/>
          <w:bCs w:val="0"/>
          <w:color w:val="000000"/>
          <w:sz w:val="24"/>
          <w:szCs w:val="24"/>
          <w:u w:val="single"/>
        </w:rPr>
        <w:t>（项目名称）</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采购活动，提供的货物全部由符合政策要求的中小企业制造。相关企业 （含联合体中的中小企业、签订分包意向协议的中小企业） 的具体情况如下：</w:t>
      </w:r>
    </w:p>
    <w:p w14:paraId="73930B52">
      <w:pPr>
        <w:pStyle w:val="13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kern w:val="2"/>
          <w:sz w:val="24"/>
          <w:szCs w:val="24"/>
          <w:lang w:val="en-US" w:eastAsia="zh-CN" w:bidi="ar-SA"/>
        </w:rPr>
        <w:t>1.</w:t>
      </w:r>
      <w:r>
        <w:rPr>
          <w:rFonts w:hint="eastAsia" w:ascii="宋体" w:hAnsi="宋体" w:eastAsia="宋体" w:cs="宋体"/>
          <w:b w:val="0"/>
          <w:bCs w:val="0"/>
          <w:color w:val="000000"/>
          <w:sz w:val="24"/>
          <w:szCs w:val="24"/>
          <w:u w:val="single"/>
        </w:rPr>
        <w:t>（标的名称）</w:t>
      </w:r>
      <w:r>
        <w:rPr>
          <w:rFonts w:hint="eastAsia" w:ascii="宋体" w:hAnsi="宋体" w:eastAsia="宋体" w:cs="宋体"/>
          <w:b w:val="0"/>
          <w:bCs w:val="0"/>
          <w:color w:val="000000"/>
          <w:sz w:val="24"/>
          <w:szCs w:val="24"/>
        </w:rPr>
        <w:t xml:space="preserve"> ，属于</w:t>
      </w:r>
      <w:r>
        <w:rPr>
          <w:rFonts w:hint="eastAsia" w:ascii="宋体" w:hAnsi="宋体" w:eastAsia="宋体" w:cs="宋体"/>
          <w:b w:val="0"/>
          <w:bCs w:val="0"/>
          <w:color w:val="000000"/>
          <w:sz w:val="24"/>
          <w:szCs w:val="24"/>
          <w:u w:val="single"/>
        </w:rPr>
        <w:t xml:space="preserve">（采购文件中明确的所属行业） </w:t>
      </w:r>
      <w:r>
        <w:rPr>
          <w:rFonts w:hint="eastAsia" w:ascii="宋体" w:hAnsi="宋体" w:eastAsia="宋体" w:cs="宋体"/>
          <w:b w:val="0"/>
          <w:bCs w:val="0"/>
          <w:color w:val="000000"/>
          <w:sz w:val="24"/>
          <w:szCs w:val="24"/>
        </w:rPr>
        <w:t>行业；制造商为</w:t>
      </w:r>
      <w:r>
        <w:rPr>
          <w:rFonts w:hint="eastAsia" w:ascii="宋体" w:hAnsi="宋体" w:eastAsia="宋体" w:cs="宋体"/>
          <w:b w:val="0"/>
          <w:bCs w:val="0"/>
          <w:color w:val="000000"/>
          <w:sz w:val="24"/>
          <w:szCs w:val="24"/>
          <w:u w:val="single"/>
        </w:rPr>
        <w:t>（企业名称）</w:t>
      </w:r>
      <w:r>
        <w:rPr>
          <w:rFonts w:hint="eastAsia" w:ascii="宋体" w:hAnsi="宋体" w:eastAsia="宋体" w:cs="宋体"/>
          <w:b w:val="0"/>
          <w:bCs w:val="0"/>
          <w:color w:val="000000"/>
          <w:sz w:val="24"/>
          <w:szCs w:val="24"/>
        </w:rPr>
        <w:t>，从业人员</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人，营业收入为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万元，资产总额为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万元</w:t>
      </w:r>
      <w:r>
        <w:rPr>
          <w:rFonts w:hint="eastAsia" w:ascii="宋体" w:hAnsi="宋体" w:eastAsia="宋体" w:cs="宋体"/>
          <w:b w:val="0"/>
          <w:bCs w:val="0"/>
          <w:color w:val="000000"/>
          <w:sz w:val="32"/>
          <w:szCs w:val="32"/>
          <w:vertAlign w:val="superscript"/>
        </w:rPr>
        <w:t xml:space="preserve"> 1</w:t>
      </w:r>
      <w:r>
        <w:rPr>
          <w:rFonts w:hint="eastAsia" w:ascii="宋体" w:hAnsi="宋体" w:eastAsia="宋体" w:cs="宋体"/>
          <w:b w:val="0"/>
          <w:bCs w:val="0"/>
          <w:color w:val="000000"/>
          <w:sz w:val="24"/>
          <w:szCs w:val="24"/>
        </w:rPr>
        <w:t>，属于</w:t>
      </w:r>
      <w:r>
        <w:rPr>
          <w:rFonts w:hint="eastAsia" w:ascii="宋体" w:hAnsi="宋体" w:eastAsia="宋体" w:cs="宋体"/>
          <w:b w:val="0"/>
          <w:bCs w:val="0"/>
          <w:color w:val="000000"/>
          <w:sz w:val="24"/>
          <w:szCs w:val="24"/>
          <w:u w:val="single"/>
        </w:rPr>
        <w:t>（中型企业、小型企业、微型企业）</w:t>
      </w:r>
      <w:r>
        <w:rPr>
          <w:rFonts w:hint="eastAsia" w:ascii="宋体" w:hAnsi="宋体" w:eastAsia="宋体" w:cs="宋体"/>
          <w:b w:val="0"/>
          <w:bCs w:val="0"/>
          <w:color w:val="000000"/>
          <w:sz w:val="24"/>
          <w:szCs w:val="24"/>
        </w:rPr>
        <w:t xml:space="preserve">； </w:t>
      </w:r>
    </w:p>
    <w:p w14:paraId="15609684">
      <w:pPr>
        <w:pStyle w:val="13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w:t>
      </w:r>
      <w:r>
        <w:rPr>
          <w:rFonts w:hint="eastAsia" w:ascii="宋体" w:hAnsi="宋体" w:eastAsia="宋体" w:cs="宋体"/>
          <w:b w:val="0"/>
          <w:bCs w:val="0"/>
          <w:color w:val="000000"/>
          <w:sz w:val="24"/>
          <w:szCs w:val="24"/>
          <w:u w:val="single"/>
        </w:rPr>
        <w:t xml:space="preserve"> （标的名称） </w:t>
      </w:r>
      <w:r>
        <w:rPr>
          <w:rFonts w:hint="eastAsia" w:ascii="宋体" w:hAnsi="宋体" w:eastAsia="宋体" w:cs="宋体"/>
          <w:b w:val="0"/>
          <w:bCs w:val="0"/>
          <w:color w:val="000000"/>
          <w:sz w:val="24"/>
          <w:szCs w:val="24"/>
        </w:rPr>
        <w:t>，属于</w:t>
      </w:r>
      <w:r>
        <w:rPr>
          <w:rFonts w:hint="eastAsia" w:ascii="宋体" w:hAnsi="宋体" w:eastAsia="宋体" w:cs="宋体"/>
          <w:b w:val="0"/>
          <w:bCs w:val="0"/>
          <w:color w:val="000000"/>
          <w:sz w:val="24"/>
          <w:szCs w:val="24"/>
          <w:u w:val="single"/>
        </w:rPr>
        <w:t xml:space="preserve">（采购文件中明确的所属行业） </w:t>
      </w:r>
      <w:r>
        <w:rPr>
          <w:rFonts w:hint="eastAsia" w:ascii="宋体" w:hAnsi="宋体" w:eastAsia="宋体" w:cs="宋体"/>
          <w:b w:val="0"/>
          <w:bCs w:val="0"/>
          <w:color w:val="000000"/>
          <w:sz w:val="24"/>
          <w:szCs w:val="24"/>
        </w:rPr>
        <w:t>行业；制造商为</w:t>
      </w:r>
      <w:r>
        <w:rPr>
          <w:rFonts w:hint="eastAsia" w:ascii="宋体" w:hAnsi="宋体" w:eastAsia="宋体" w:cs="宋体"/>
          <w:b w:val="0"/>
          <w:bCs w:val="0"/>
          <w:color w:val="000000"/>
          <w:sz w:val="24"/>
          <w:szCs w:val="24"/>
          <w:u w:val="single"/>
        </w:rPr>
        <w:t>（企业名称）</w:t>
      </w:r>
      <w:r>
        <w:rPr>
          <w:rFonts w:hint="eastAsia" w:ascii="宋体" w:hAnsi="宋体" w:eastAsia="宋体" w:cs="宋体"/>
          <w:b w:val="0"/>
          <w:bCs w:val="0"/>
          <w:color w:val="000000"/>
          <w:sz w:val="24"/>
          <w:szCs w:val="24"/>
        </w:rPr>
        <w:t>，从业人员</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人，营业收入为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万元，资产总额为</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万元，属于</w:t>
      </w:r>
      <w:r>
        <w:rPr>
          <w:rFonts w:hint="eastAsia" w:ascii="宋体" w:hAnsi="宋体" w:eastAsia="宋体" w:cs="宋体"/>
          <w:b w:val="0"/>
          <w:bCs w:val="0"/>
          <w:color w:val="000000"/>
          <w:sz w:val="24"/>
          <w:szCs w:val="24"/>
          <w:u w:val="single"/>
        </w:rPr>
        <w:t>（中型企业、小型 企业、微型企业）</w:t>
      </w:r>
      <w:r>
        <w:rPr>
          <w:rFonts w:hint="eastAsia" w:ascii="宋体" w:hAnsi="宋体" w:eastAsia="宋体" w:cs="宋体"/>
          <w:b w:val="0"/>
          <w:bCs w:val="0"/>
          <w:color w:val="000000"/>
          <w:sz w:val="24"/>
          <w:szCs w:val="24"/>
        </w:rPr>
        <w:t xml:space="preserve">； </w:t>
      </w:r>
    </w:p>
    <w:p w14:paraId="2DE21894">
      <w:pPr>
        <w:pStyle w:val="13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p>
    <w:p w14:paraId="1495C7E5">
      <w:pPr>
        <w:pStyle w:val="13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以上企业，不属于大企业的分支机构，不存在控股股东为大企业的情形，也不存在与大企业的负责人为同一人的情形。 </w:t>
      </w:r>
    </w:p>
    <w:p w14:paraId="5050D7CC">
      <w:pPr>
        <w:pStyle w:val="13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baseline"/>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本企业对上述声明内容的真实性负责。如有虚假，将依法承担相应责任。 </w:t>
      </w:r>
    </w:p>
    <w:p w14:paraId="46B0EB34">
      <w:pPr>
        <w:pageBreakBefore w:val="0"/>
        <w:overflowPunct/>
        <w:topLinePunct w:val="0"/>
        <w:autoSpaceDE/>
        <w:autoSpaceDN/>
        <w:bidi w:val="0"/>
        <w:spacing w:after="190" w:afterLines="50" w:line="480" w:lineRule="exact"/>
        <w:ind w:firstLine="480" w:firstLineChars="200"/>
        <w:jc w:val="both"/>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w:t>
      </w:r>
    </w:p>
    <w:p w14:paraId="67649EDC">
      <w:pPr>
        <w:pageBreakBefore w:val="0"/>
        <w:overflowPunct/>
        <w:topLinePunct w:val="0"/>
        <w:autoSpaceDE/>
        <w:autoSpaceDN/>
        <w:bidi w:val="0"/>
        <w:spacing w:after="190" w:afterLines="50" w:line="480" w:lineRule="exact"/>
        <w:ind w:firstLine="5280" w:firstLineChars="2200"/>
        <w:jc w:val="both"/>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2B352D10">
      <w:pPr>
        <w:pageBreakBefore w:val="0"/>
        <w:overflowPunct/>
        <w:topLinePunct w:val="0"/>
        <w:autoSpaceDE/>
        <w:autoSpaceDN/>
        <w:bidi w:val="0"/>
        <w:spacing w:after="190" w:afterLines="50" w:line="480" w:lineRule="exact"/>
        <w:ind w:firstLine="5280" w:firstLineChars="2200"/>
        <w:jc w:val="both"/>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6AEAFB3">
      <w:pPr>
        <w:pStyle w:val="139"/>
        <w:pageBreakBefore w:val="0"/>
        <w:overflowPunct/>
        <w:topLinePunct w:val="0"/>
        <w:autoSpaceDE/>
        <w:autoSpaceDN/>
        <w:bidi w:val="0"/>
        <w:outlineLvl w:val="9"/>
        <w:rPr>
          <w:rFonts w:hint="eastAsia"/>
          <w:lang w:val="en-US" w:eastAsia="zh-CN"/>
        </w:rPr>
      </w:pPr>
    </w:p>
    <w:p w14:paraId="1FC9E77D">
      <w:pPr>
        <w:pStyle w:val="36"/>
        <w:pageBreakBefore w:val="0"/>
        <w:overflowPunct/>
        <w:topLinePunct w:val="0"/>
        <w:autoSpaceDE/>
        <w:autoSpaceDN/>
        <w:bidi w:val="0"/>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227443FC">
      <w:pPr>
        <w:pStyle w:val="137"/>
        <w:pageBreakBefore w:val="0"/>
        <w:overflowPunct/>
        <w:topLinePunct w:val="0"/>
        <w:autoSpaceDE/>
        <w:autoSpaceDN/>
        <w:bidi w:val="0"/>
        <w:outlineLvl w:val="9"/>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02CF0701">
      <w:pPr>
        <w:pStyle w:val="36"/>
        <w:pageBreakBefore w:val="0"/>
        <w:overflowPunct/>
        <w:topLinePunct w:val="0"/>
        <w:autoSpaceDE/>
        <w:autoSpaceDN/>
        <w:bidi w:val="0"/>
        <w:outlineLvl w:val="9"/>
        <w:rPr>
          <w:rFonts w:hint="eastAsia" w:ascii="宋体" w:hAnsi="宋体" w:eastAsia="宋体" w:cs="宋体"/>
          <w:b w:val="0"/>
          <w:bCs/>
          <w:color w:val="auto"/>
          <w:kern w:val="2"/>
          <w:sz w:val="24"/>
          <w:szCs w:val="24"/>
          <w:highlight w:val="none"/>
          <w:lang w:val="en-US" w:eastAsia="zh-CN" w:bidi="ar-SA"/>
        </w:rPr>
      </w:pPr>
    </w:p>
    <w:p w14:paraId="7F5B52F4">
      <w:pPr>
        <w:pageBreakBefore w:val="0"/>
        <w:overflowPunct/>
        <w:topLinePunct w:val="0"/>
        <w:autoSpaceDE/>
        <w:autoSpaceDN/>
        <w:bidi w:val="0"/>
        <w:ind w:firstLine="0" w:firstLineChars="0"/>
        <w:jc w:val="center"/>
        <w:outlineLvl w:val="9"/>
        <w:rPr>
          <w:rFonts w:hint="eastAsia" w:ascii="宋体" w:hAnsi="宋体" w:eastAsia="宋体" w:cs="宋体"/>
          <w:b/>
          <w:sz w:val="32"/>
          <w:szCs w:val="32"/>
          <w:u w:val="none"/>
          <w:lang w:eastAsia="zh-CN"/>
        </w:rPr>
      </w:pPr>
      <w:bookmarkStart w:id="301" w:name="_Toc5069"/>
      <w:bookmarkStart w:id="302" w:name="_Toc29189"/>
      <w:bookmarkStart w:id="303" w:name="_Toc16281"/>
      <w:bookmarkStart w:id="304" w:name="_Toc342"/>
      <w:r>
        <w:rPr>
          <w:rFonts w:hint="eastAsia" w:ascii="宋体" w:hAnsi="宋体" w:eastAsia="宋体" w:cs="宋体"/>
          <w:b/>
          <w:sz w:val="32"/>
          <w:szCs w:val="32"/>
          <w:u w:val="none"/>
          <w:lang w:eastAsia="zh-CN"/>
        </w:rPr>
        <w:t>关于符合本国产品标准的声明函</w:t>
      </w:r>
    </w:p>
    <w:p w14:paraId="32F69022">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本公司（单位）郑重声明，根据《国务院办公厅关于在政府采购中实施本国产品标准及相关政策的通知》（国办发〔2025〕34号）的规定，本公司（单位）提供的以下产品属于本国产品。具体情况如下：</w:t>
      </w:r>
    </w:p>
    <w:p w14:paraId="01BDE2EA">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1.</w:t>
      </w:r>
      <w:r>
        <w:rPr>
          <w:rFonts w:hint="eastAsia" w:ascii="宋体" w:hAnsi="宋体" w:eastAsia="宋体" w:cs="宋体"/>
          <w:kern w:val="0"/>
          <w:sz w:val="24"/>
          <w:szCs w:val="20"/>
          <w:u w:val="single"/>
          <w:lang w:eastAsia="zh-CN"/>
        </w:rPr>
        <w:t>（产品名称1）</w:t>
      </w:r>
      <w:r>
        <w:rPr>
          <w:rFonts w:hint="eastAsia" w:ascii="宋体" w:hAnsi="宋体" w:eastAsia="宋体" w:cs="宋体"/>
          <w:kern w:val="0"/>
          <w:sz w:val="24"/>
          <w:szCs w:val="20"/>
          <w:lang w:eastAsia="zh-CN"/>
        </w:rPr>
        <w:t>1，生产厂为</w:t>
      </w:r>
      <w:r>
        <w:rPr>
          <w:rFonts w:hint="eastAsia" w:ascii="宋体" w:hAnsi="宋体" w:eastAsia="宋体" w:cs="宋体"/>
          <w:kern w:val="0"/>
          <w:sz w:val="24"/>
          <w:szCs w:val="20"/>
          <w:u w:val="single"/>
          <w:lang w:eastAsia="zh-CN"/>
        </w:rPr>
        <w:t>（厂名）</w:t>
      </w:r>
      <w:r>
        <w:rPr>
          <w:rFonts w:hint="eastAsia" w:ascii="宋体" w:hAnsi="宋体" w:eastAsia="宋体" w:cs="宋体"/>
          <w:kern w:val="0"/>
          <w:sz w:val="24"/>
          <w:szCs w:val="20"/>
          <w:u w:val="none"/>
          <w:lang w:eastAsia="zh-CN"/>
        </w:rPr>
        <w:t>2</w:t>
      </w:r>
      <w:r>
        <w:rPr>
          <w:rFonts w:hint="eastAsia" w:ascii="宋体" w:hAnsi="宋体" w:eastAsia="宋体" w:cs="宋体"/>
          <w:kern w:val="0"/>
          <w:sz w:val="24"/>
          <w:szCs w:val="20"/>
          <w:lang w:eastAsia="zh-CN"/>
        </w:rPr>
        <w:t>，厂址为</w:t>
      </w:r>
      <w:r>
        <w:rPr>
          <w:rFonts w:hint="eastAsia" w:ascii="宋体" w:hAnsi="宋体" w:eastAsia="宋体" w:cs="宋体"/>
          <w:kern w:val="0"/>
          <w:sz w:val="24"/>
          <w:szCs w:val="20"/>
          <w:u w:val="single"/>
          <w:lang w:eastAsia="zh-CN"/>
        </w:rPr>
        <w:t>（生产厂址）</w:t>
      </w:r>
      <w:r>
        <w:rPr>
          <w:rFonts w:hint="eastAsia" w:ascii="宋体" w:hAnsi="宋体" w:eastAsia="宋体" w:cs="宋体"/>
          <w:kern w:val="0"/>
          <w:sz w:val="24"/>
          <w:szCs w:val="20"/>
          <w:lang w:eastAsia="zh-CN"/>
        </w:rPr>
        <w:t>。</w:t>
      </w:r>
      <w:r>
        <w:rPr>
          <w:rFonts w:hint="eastAsia" w:ascii="宋体" w:hAnsi="宋体" w:eastAsia="宋体" w:cs="宋体"/>
          <w:kern w:val="0"/>
          <w:sz w:val="24"/>
          <w:szCs w:val="20"/>
          <w:u w:val="single"/>
          <w:lang w:eastAsia="zh-CN"/>
        </w:rPr>
        <w:t>（产品名称1）</w:t>
      </w:r>
      <w:r>
        <w:rPr>
          <w:rFonts w:hint="eastAsia" w:ascii="宋体" w:hAnsi="宋体" w:eastAsia="宋体" w:cs="宋体"/>
          <w:kern w:val="0"/>
          <w:sz w:val="24"/>
          <w:szCs w:val="20"/>
          <w:lang w:eastAsia="zh-CN"/>
        </w:rPr>
        <w:t>的中国境内生产的组件成本占比≥</w:t>
      </w:r>
      <w:r>
        <w:rPr>
          <w:rFonts w:hint="eastAsia" w:ascii="宋体" w:hAnsi="宋体" w:eastAsia="宋体" w:cs="宋体"/>
          <w:kern w:val="0"/>
          <w:sz w:val="24"/>
          <w:szCs w:val="20"/>
          <w:u w:val="single"/>
          <w:lang w:eastAsia="zh-CN"/>
        </w:rPr>
        <w:t>（规定比例）</w:t>
      </w:r>
      <w:r>
        <w:rPr>
          <w:rFonts w:hint="eastAsia" w:ascii="宋体" w:hAnsi="宋体" w:eastAsia="宋体" w:cs="宋体"/>
          <w:kern w:val="0"/>
          <w:sz w:val="24"/>
          <w:szCs w:val="20"/>
          <w:lang w:eastAsia="zh-CN"/>
        </w:rPr>
        <w:t>3。</w:t>
      </w:r>
      <w:r>
        <w:rPr>
          <w:rFonts w:hint="eastAsia" w:ascii="宋体" w:hAnsi="宋体" w:eastAsia="宋体" w:cs="宋体"/>
          <w:kern w:val="0"/>
          <w:sz w:val="24"/>
          <w:szCs w:val="20"/>
          <w:u w:val="single"/>
          <w:lang w:eastAsia="zh-CN"/>
        </w:rPr>
        <w:t>（产品名称1）</w:t>
      </w:r>
      <w:r>
        <w:rPr>
          <w:rFonts w:hint="eastAsia" w:ascii="宋体" w:hAnsi="宋体" w:eastAsia="宋体" w:cs="宋体"/>
          <w:kern w:val="0"/>
          <w:sz w:val="24"/>
          <w:szCs w:val="20"/>
          <w:lang w:eastAsia="zh-CN"/>
        </w:rPr>
        <w:t>的</w:t>
      </w:r>
      <w:r>
        <w:rPr>
          <w:rFonts w:hint="eastAsia" w:ascii="宋体" w:hAnsi="宋体" w:eastAsia="宋体" w:cs="宋体"/>
          <w:kern w:val="0"/>
          <w:sz w:val="24"/>
          <w:szCs w:val="20"/>
          <w:u w:val="single"/>
          <w:lang w:eastAsia="zh-CN"/>
        </w:rPr>
        <w:t>（关键组件）</w:t>
      </w:r>
      <w:r>
        <w:rPr>
          <w:rFonts w:hint="eastAsia" w:ascii="宋体" w:hAnsi="宋体" w:eastAsia="宋体" w:cs="宋体"/>
          <w:kern w:val="0"/>
          <w:sz w:val="24"/>
          <w:szCs w:val="20"/>
          <w:lang w:eastAsia="zh-CN"/>
        </w:rPr>
        <w:t>4在中国境内生产。</w:t>
      </w:r>
      <w:r>
        <w:rPr>
          <w:rFonts w:hint="eastAsia" w:ascii="宋体" w:hAnsi="宋体" w:eastAsia="宋体" w:cs="宋体"/>
          <w:kern w:val="0"/>
          <w:sz w:val="24"/>
          <w:szCs w:val="20"/>
          <w:u w:val="single"/>
          <w:lang w:eastAsia="zh-CN"/>
        </w:rPr>
        <w:t>（产品名称1）</w:t>
      </w:r>
      <w:r>
        <w:rPr>
          <w:rFonts w:hint="eastAsia" w:ascii="宋体" w:hAnsi="宋体" w:eastAsia="宋体" w:cs="宋体"/>
          <w:kern w:val="0"/>
          <w:sz w:val="24"/>
          <w:szCs w:val="20"/>
          <w:lang w:eastAsia="zh-CN"/>
        </w:rPr>
        <w:t>的</w:t>
      </w:r>
      <w:r>
        <w:rPr>
          <w:rFonts w:hint="eastAsia" w:ascii="宋体" w:hAnsi="宋体" w:eastAsia="宋体" w:cs="宋体"/>
          <w:kern w:val="0"/>
          <w:sz w:val="24"/>
          <w:szCs w:val="20"/>
          <w:u w:val="single"/>
          <w:lang w:eastAsia="zh-CN"/>
        </w:rPr>
        <w:t>（关键工序）5</w:t>
      </w:r>
      <w:r>
        <w:rPr>
          <w:rFonts w:hint="eastAsia" w:ascii="宋体" w:hAnsi="宋体" w:eastAsia="宋体" w:cs="宋体"/>
          <w:kern w:val="0"/>
          <w:sz w:val="24"/>
          <w:szCs w:val="20"/>
          <w:lang w:eastAsia="zh-CN"/>
        </w:rPr>
        <w:t>在中国境内完成。</w:t>
      </w:r>
    </w:p>
    <w:p w14:paraId="16D1B4A0">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val="en-US" w:eastAsia="zh-CN"/>
        </w:rPr>
        <w:t>2</w:t>
      </w:r>
      <w:r>
        <w:rPr>
          <w:rFonts w:hint="eastAsia" w:ascii="宋体" w:hAnsi="宋体" w:eastAsia="宋体" w:cs="宋体"/>
          <w:kern w:val="0"/>
          <w:sz w:val="24"/>
          <w:szCs w:val="20"/>
          <w:lang w:eastAsia="zh-CN"/>
        </w:rPr>
        <w:t>.</w:t>
      </w:r>
      <w:r>
        <w:rPr>
          <w:rFonts w:hint="eastAsia" w:ascii="宋体" w:hAnsi="宋体" w:eastAsia="宋体" w:cs="宋体"/>
          <w:kern w:val="0"/>
          <w:sz w:val="24"/>
          <w:szCs w:val="20"/>
          <w:u w:val="single"/>
          <w:lang w:eastAsia="zh-CN"/>
        </w:rPr>
        <w:t>（产品名称</w:t>
      </w:r>
      <w:r>
        <w:rPr>
          <w:rFonts w:hint="eastAsia" w:ascii="宋体" w:hAnsi="宋体" w:eastAsia="宋体" w:cs="宋体"/>
          <w:kern w:val="0"/>
          <w:sz w:val="24"/>
          <w:szCs w:val="20"/>
          <w:u w:val="single"/>
          <w:lang w:val="en-US" w:eastAsia="zh-CN"/>
        </w:rPr>
        <w:t>2</w:t>
      </w:r>
      <w:r>
        <w:rPr>
          <w:rFonts w:hint="eastAsia" w:ascii="宋体" w:hAnsi="宋体" w:eastAsia="宋体" w:cs="宋体"/>
          <w:kern w:val="0"/>
          <w:sz w:val="24"/>
          <w:szCs w:val="20"/>
          <w:u w:val="single"/>
          <w:lang w:eastAsia="zh-CN"/>
        </w:rPr>
        <w:t>）</w:t>
      </w:r>
      <w:r>
        <w:rPr>
          <w:rFonts w:hint="eastAsia" w:ascii="宋体" w:hAnsi="宋体" w:eastAsia="宋体" w:cs="宋体"/>
          <w:kern w:val="0"/>
          <w:sz w:val="24"/>
          <w:szCs w:val="20"/>
          <w:lang w:eastAsia="zh-CN"/>
        </w:rPr>
        <w:t>1，生产厂为</w:t>
      </w:r>
      <w:r>
        <w:rPr>
          <w:rFonts w:hint="eastAsia" w:ascii="宋体" w:hAnsi="宋体" w:eastAsia="宋体" w:cs="宋体"/>
          <w:kern w:val="0"/>
          <w:sz w:val="24"/>
          <w:szCs w:val="20"/>
          <w:u w:val="single"/>
          <w:lang w:eastAsia="zh-CN"/>
        </w:rPr>
        <w:t>（厂名）</w:t>
      </w:r>
      <w:r>
        <w:rPr>
          <w:rFonts w:hint="eastAsia" w:ascii="宋体" w:hAnsi="宋体" w:eastAsia="宋体" w:cs="宋体"/>
          <w:kern w:val="0"/>
          <w:sz w:val="24"/>
          <w:szCs w:val="20"/>
          <w:u w:val="none"/>
          <w:lang w:eastAsia="zh-CN"/>
        </w:rPr>
        <w:t>2</w:t>
      </w:r>
      <w:r>
        <w:rPr>
          <w:rFonts w:hint="eastAsia" w:ascii="宋体" w:hAnsi="宋体" w:eastAsia="宋体" w:cs="宋体"/>
          <w:kern w:val="0"/>
          <w:sz w:val="24"/>
          <w:szCs w:val="20"/>
          <w:lang w:eastAsia="zh-CN"/>
        </w:rPr>
        <w:t>，厂址为</w:t>
      </w:r>
      <w:r>
        <w:rPr>
          <w:rFonts w:hint="eastAsia" w:ascii="宋体" w:hAnsi="宋体" w:eastAsia="宋体" w:cs="宋体"/>
          <w:kern w:val="0"/>
          <w:sz w:val="24"/>
          <w:szCs w:val="20"/>
          <w:u w:val="single"/>
          <w:lang w:eastAsia="zh-CN"/>
        </w:rPr>
        <w:t>（生产厂址）</w:t>
      </w:r>
      <w:r>
        <w:rPr>
          <w:rFonts w:hint="eastAsia" w:ascii="宋体" w:hAnsi="宋体" w:eastAsia="宋体" w:cs="宋体"/>
          <w:kern w:val="0"/>
          <w:sz w:val="24"/>
          <w:szCs w:val="20"/>
          <w:lang w:eastAsia="zh-CN"/>
        </w:rPr>
        <w:t>。</w:t>
      </w:r>
      <w:r>
        <w:rPr>
          <w:rFonts w:hint="eastAsia" w:ascii="宋体" w:hAnsi="宋体" w:eastAsia="宋体" w:cs="宋体"/>
          <w:kern w:val="0"/>
          <w:sz w:val="24"/>
          <w:szCs w:val="20"/>
          <w:u w:val="single"/>
          <w:lang w:eastAsia="zh-CN"/>
        </w:rPr>
        <w:t>（产品名称</w:t>
      </w:r>
      <w:r>
        <w:rPr>
          <w:rFonts w:hint="eastAsia" w:ascii="宋体" w:hAnsi="宋体" w:eastAsia="宋体" w:cs="宋体"/>
          <w:kern w:val="0"/>
          <w:sz w:val="24"/>
          <w:szCs w:val="20"/>
          <w:u w:val="single"/>
          <w:lang w:val="en-US" w:eastAsia="zh-CN"/>
        </w:rPr>
        <w:t>2</w:t>
      </w:r>
      <w:r>
        <w:rPr>
          <w:rFonts w:hint="eastAsia" w:ascii="宋体" w:hAnsi="宋体" w:eastAsia="宋体" w:cs="宋体"/>
          <w:kern w:val="0"/>
          <w:sz w:val="24"/>
          <w:szCs w:val="20"/>
          <w:u w:val="single"/>
          <w:lang w:eastAsia="zh-CN"/>
        </w:rPr>
        <w:t>）</w:t>
      </w:r>
      <w:r>
        <w:rPr>
          <w:rFonts w:hint="eastAsia" w:ascii="宋体" w:hAnsi="宋体" w:eastAsia="宋体" w:cs="宋体"/>
          <w:kern w:val="0"/>
          <w:sz w:val="24"/>
          <w:szCs w:val="20"/>
          <w:lang w:eastAsia="zh-CN"/>
        </w:rPr>
        <w:t>的中国境内生产的组件成本占比≥</w:t>
      </w:r>
      <w:r>
        <w:rPr>
          <w:rFonts w:hint="eastAsia" w:ascii="宋体" w:hAnsi="宋体" w:eastAsia="宋体" w:cs="宋体"/>
          <w:kern w:val="0"/>
          <w:sz w:val="24"/>
          <w:szCs w:val="20"/>
          <w:u w:val="single"/>
          <w:lang w:eastAsia="zh-CN"/>
        </w:rPr>
        <w:t>（规定比例）</w:t>
      </w:r>
      <w:r>
        <w:rPr>
          <w:rFonts w:hint="eastAsia" w:ascii="宋体" w:hAnsi="宋体" w:eastAsia="宋体" w:cs="宋体"/>
          <w:kern w:val="0"/>
          <w:sz w:val="24"/>
          <w:szCs w:val="20"/>
          <w:lang w:eastAsia="zh-CN"/>
        </w:rPr>
        <w:t>3。</w:t>
      </w:r>
      <w:r>
        <w:rPr>
          <w:rFonts w:hint="eastAsia" w:ascii="宋体" w:hAnsi="宋体" w:eastAsia="宋体" w:cs="宋体"/>
          <w:kern w:val="0"/>
          <w:sz w:val="24"/>
          <w:szCs w:val="20"/>
          <w:u w:val="single"/>
          <w:lang w:eastAsia="zh-CN"/>
        </w:rPr>
        <w:t>（产品名称1）</w:t>
      </w:r>
      <w:r>
        <w:rPr>
          <w:rFonts w:hint="eastAsia" w:ascii="宋体" w:hAnsi="宋体" w:eastAsia="宋体" w:cs="宋体"/>
          <w:kern w:val="0"/>
          <w:sz w:val="24"/>
          <w:szCs w:val="20"/>
          <w:lang w:eastAsia="zh-CN"/>
        </w:rPr>
        <w:t>的</w:t>
      </w:r>
      <w:r>
        <w:rPr>
          <w:rFonts w:hint="eastAsia" w:ascii="宋体" w:hAnsi="宋体" w:eastAsia="宋体" w:cs="宋体"/>
          <w:kern w:val="0"/>
          <w:sz w:val="24"/>
          <w:szCs w:val="20"/>
          <w:u w:val="single"/>
          <w:lang w:eastAsia="zh-CN"/>
        </w:rPr>
        <w:t>（关键组件）</w:t>
      </w:r>
      <w:r>
        <w:rPr>
          <w:rFonts w:hint="eastAsia" w:ascii="宋体" w:hAnsi="宋体" w:eastAsia="宋体" w:cs="宋体"/>
          <w:kern w:val="0"/>
          <w:sz w:val="24"/>
          <w:szCs w:val="20"/>
          <w:lang w:eastAsia="zh-CN"/>
        </w:rPr>
        <w:t>4在中国境内生产。</w:t>
      </w:r>
      <w:r>
        <w:rPr>
          <w:rFonts w:hint="eastAsia" w:ascii="宋体" w:hAnsi="宋体" w:eastAsia="宋体" w:cs="宋体"/>
          <w:kern w:val="0"/>
          <w:sz w:val="24"/>
          <w:szCs w:val="20"/>
          <w:u w:val="single"/>
          <w:lang w:eastAsia="zh-CN"/>
        </w:rPr>
        <w:t>（产品名称</w:t>
      </w:r>
      <w:r>
        <w:rPr>
          <w:rFonts w:hint="eastAsia" w:ascii="宋体" w:hAnsi="宋体" w:eastAsia="宋体" w:cs="宋体"/>
          <w:kern w:val="0"/>
          <w:sz w:val="24"/>
          <w:szCs w:val="20"/>
          <w:u w:val="single"/>
          <w:lang w:val="en-US" w:eastAsia="zh-CN"/>
        </w:rPr>
        <w:t>2</w:t>
      </w:r>
      <w:r>
        <w:rPr>
          <w:rFonts w:hint="eastAsia" w:ascii="宋体" w:hAnsi="宋体" w:eastAsia="宋体" w:cs="宋体"/>
          <w:kern w:val="0"/>
          <w:sz w:val="24"/>
          <w:szCs w:val="20"/>
          <w:u w:val="single"/>
          <w:lang w:eastAsia="zh-CN"/>
        </w:rPr>
        <w:t>）</w:t>
      </w:r>
      <w:r>
        <w:rPr>
          <w:rFonts w:hint="eastAsia" w:ascii="宋体" w:hAnsi="宋体" w:eastAsia="宋体" w:cs="宋体"/>
          <w:kern w:val="0"/>
          <w:sz w:val="24"/>
          <w:szCs w:val="20"/>
          <w:lang w:eastAsia="zh-CN"/>
        </w:rPr>
        <w:t>的</w:t>
      </w:r>
      <w:r>
        <w:rPr>
          <w:rFonts w:hint="eastAsia" w:ascii="宋体" w:hAnsi="宋体" w:eastAsia="宋体" w:cs="宋体"/>
          <w:kern w:val="0"/>
          <w:sz w:val="24"/>
          <w:szCs w:val="20"/>
          <w:u w:val="single"/>
          <w:lang w:eastAsia="zh-CN"/>
        </w:rPr>
        <w:t>（关键工序）5</w:t>
      </w:r>
      <w:r>
        <w:rPr>
          <w:rFonts w:hint="eastAsia" w:ascii="宋体" w:hAnsi="宋体" w:eastAsia="宋体" w:cs="宋体"/>
          <w:kern w:val="0"/>
          <w:sz w:val="24"/>
          <w:szCs w:val="20"/>
          <w:lang w:eastAsia="zh-CN"/>
        </w:rPr>
        <w:t>在中国境内完成。</w:t>
      </w:r>
    </w:p>
    <w:p w14:paraId="2FB694CE">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w:t>
      </w:r>
    </w:p>
    <w:p w14:paraId="51867F24">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本公司（单位）对上述声明内容的真实性负责。如有虚假，愿承担相应法律责任。</w:t>
      </w:r>
    </w:p>
    <w:p w14:paraId="7BDFACF8">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p>
    <w:p w14:paraId="66F74C5E">
      <w:pPr>
        <w:pageBreakBefore w:val="0"/>
        <w:overflowPunct/>
        <w:topLinePunct w:val="0"/>
        <w:autoSpaceDE/>
        <w:autoSpaceDN/>
        <w:bidi w:val="0"/>
        <w:spacing w:line="360" w:lineRule="auto"/>
        <w:ind w:firstLine="3283" w:firstLineChars="1368"/>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公司（单位）名称（盖章）：　        </w:t>
      </w:r>
    </w:p>
    <w:p w14:paraId="409FFCF3">
      <w:pPr>
        <w:pageBreakBefore w:val="0"/>
        <w:overflowPunct/>
        <w:topLinePunct w:val="0"/>
        <w:autoSpaceDE/>
        <w:autoSpaceDN/>
        <w:bidi w:val="0"/>
        <w:spacing w:line="360" w:lineRule="auto"/>
        <w:ind w:firstLine="3283" w:firstLineChars="1368"/>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日期：　     年　  月　  日         </w:t>
      </w:r>
    </w:p>
    <w:p w14:paraId="17ED4069">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p>
    <w:p w14:paraId="552362AC">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p>
    <w:p w14:paraId="63EE93F0">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1.产品如有型号，请在“产品名称”栏一并填写。</w:t>
      </w:r>
    </w:p>
    <w:p w14:paraId="3F7B9CDD">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2.生产厂名与厂址应与生产厂营业执照载明的相关信息保持一致。</w:t>
      </w:r>
    </w:p>
    <w:p w14:paraId="247ED2FC">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3.该产品的中国境内生产的组件成本占比相关要求实施前，“规定比例”栏可不填，下同。</w:t>
      </w:r>
    </w:p>
    <w:p w14:paraId="2EA236E9">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4.该产品的关键组件要求实施前，“关键组件”栏可不填，下同。</w:t>
      </w:r>
    </w:p>
    <w:p w14:paraId="6A657569">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5.该产品的关键工序要求实施前，“关键工序”栏可不填，下同。</w:t>
      </w:r>
    </w:p>
    <w:p w14:paraId="61453F7C">
      <w:pPr>
        <w:pageBreakBefore w:val="0"/>
        <w:overflowPunct/>
        <w:topLinePunct w:val="0"/>
        <w:autoSpaceDE/>
        <w:autoSpaceDN/>
        <w:bidi w:val="0"/>
        <w:ind w:firstLine="0" w:firstLineChars="0"/>
        <w:jc w:val="both"/>
        <w:outlineLvl w:val="9"/>
        <w:rPr>
          <w:rFonts w:hint="eastAsia" w:ascii="宋体" w:hAnsi="宋体" w:eastAsia="宋体" w:cs="宋体"/>
          <w:kern w:val="0"/>
          <w:sz w:val="24"/>
          <w:szCs w:val="20"/>
          <w:lang w:eastAsia="zh-CN"/>
        </w:rPr>
      </w:pPr>
    </w:p>
    <w:p w14:paraId="74BFE5CD">
      <w:pPr>
        <w:pageBreakBefore w:val="0"/>
        <w:overflowPunct/>
        <w:topLinePunct w:val="0"/>
        <w:autoSpaceDE/>
        <w:autoSpaceDN/>
        <w:bidi w:val="0"/>
        <w:ind w:firstLine="0" w:firstLineChars="0"/>
        <w:jc w:val="both"/>
        <w:outlineLvl w:val="9"/>
        <w:rPr>
          <w:rFonts w:hint="eastAsia" w:ascii="宋体" w:hAnsi="宋体" w:eastAsia="宋体" w:cs="宋体"/>
          <w:kern w:val="0"/>
          <w:sz w:val="24"/>
          <w:szCs w:val="20"/>
          <w:u w:val="none"/>
          <w:lang w:val="en-US" w:eastAsia="zh-CN"/>
        </w:rPr>
      </w:pPr>
      <w:r>
        <w:rPr>
          <w:rFonts w:hint="eastAsia" w:ascii="宋体" w:hAnsi="宋体" w:eastAsia="宋体" w:cs="宋体"/>
          <w:kern w:val="0"/>
          <w:sz w:val="24"/>
          <w:szCs w:val="20"/>
          <w:u w:val="none"/>
          <w:lang w:val="en-US" w:eastAsia="zh-CN"/>
        </w:rPr>
        <w:t>注：产品在中国境内生产的组件成本，按照《中国境内生产的组件成本核算基本规则》计算。</w:t>
      </w:r>
    </w:p>
    <w:p w14:paraId="4030CE0B">
      <w:pPr>
        <w:pageBreakBefore w:val="0"/>
        <w:overflowPunct/>
        <w:topLinePunct w:val="0"/>
        <w:autoSpaceDE/>
        <w:autoSpaceDN/>
        <w:bidi w:val="0"/>
        <w:ind w:firstLine="0" w:firstLineChars="0"/>
        <w:jc w:val="center"/>
        <w:outlineLvl w:val="9"/>
        <w:rPr>
          <w:rFonts w:hint="eastAsia" w:ascii="宋体" w:hAnsi="宋体" w:eastAsia="宋体" w:cs="宋体"/>
          <w:i w:val="0"/>
          <w:iCs w:val="0"/>
          <w:caps w:val="0"/>
          <w:color w:val="383838"/>
          <w:spacing w:val="0"/>
          <w:sz w:val="36"/>
          <w:szCs w:val="36"/>
        </w:rPr>
      </w:pPr>
      <w:r>
        <w:rPr>
          <w:rFonts w:hint="eastAsia" w:ascii="Times New Roman" w:hAnsi="Times New Roman" w:eastAsia="仿宋_GB2312" w:cs="Times New Roman"/>
          <w:kern w:val="0"/>
          <w:sz w:val="24"/>
          <w:szCs w:val="20"/>
          <w:lang w:eastAsia="zh-CN"/>
        </w:rPr>
        <w:br w:type="page"/>
      </w:r>
      <w:r>
        <w:rPr>
          <w:rFonts w:hint="eastAsia" w:ascii="宋体" w:hAnsi="宋体" w:eastAsia="宋体" w:cs="宋体"/>
          <w:b/>
          <w:sz w:val="32"/>
          <w:szCs w:val="32"/>
          <w:u w:val="none"/>
          <w:lang w:eastAsia="zh-CN"/>
        </w:rPr>
        <w:t>中国境内生产的组件成本核算基本规则</w:t>
      </w:r>
    </w:p>
    <w:p w14:paraId="4F722CD7">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p>
    <w:p w14:paraId="4F7D8BC0">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3BCE0C8">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一、产品的一级组件是指直接组成产品的组件。产品的二级组件是指直接组成产品一级组件的组件。一级组件不可分解的，视同二级组件。</w:t>
      </w:r>
    </w:p>
    <w:p w14:paraId="46F509B8">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二、二级组件在中国境内生产的，其全部成本计入中国境内生产的组件成本；二级组件不在中国境内生产的，其成本不计入中国境内生产的组件成本。</w:t>
      </w:r>
    </w:p>
    <w:p w14:paraId="4AE62343">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三、产品总成本和组件成本以相关会计核算数据、采购合同、进货记录等为基础进行计算。</w:t>
      </w:r>
    </w:p>
    <w:p w14:paraId="2488A17E">
      <w:pPr>
        <w:pageBreakBefore w:val="0"/>
        <w:overflowPunct/>
        <w:topLinePunct w:val="0"/>
        <w:autoSpaceDE/>
        <w:autoSpaceDN/>
        <w:bidi w:val="0"/>
        <w:spacing w:line="360" w:lineRule="auto"/>
        <w:ind w:firstLine="567"/>
        <w:outlineLvl w:val="9"/>
        <w:rPr>
          <w:rFonts w:hint="eastAsia" w:ascii="宋体" w:hAnsi="宋体" w:eastAsia="宋体" w:cs="宋体"/>
          <w:kern w:val="0"/>
          <w:sz w:val="24"/>
          <w:szCs w:val="20"/>
          <w:lang w:eastAsia="zh-CN"/>
        </w:rPr>
      </w:pPr>
      <w:r>
        <w:rPr>
          <w:rFonts w:hint="eastAsia" w:ascii="宋体" w:hAnsi="宋体" w:eastAsia="宋体" w:cs="宋体"/>
          <w:kern w:val="0"/>
          <w:sz w:val="24"/>
          <w:szCs w:val="20"/>
          <w:lang w:eastAsia="zh-CN"/>
        </w:rPr>
        <w:t>四、需要对成本核算规则予以进一步明确的其他有关事项，由财政部会同有关部门另行规定。</w:t>
      </w:r>
    </w:p>
    <w:p w14:paraId="30E07186">
      <w:pPr>
        <w:pStyle w:val="3"/>
        <w:ind w:firstLine="482" w:firstLineChars="150"/>
        <w:jc w:val="center"/>
        <w:rPr>
          <w:rFonts w:hint="eastAsia" w:ascii="宋体" w:hAnsi="宋体" w:eastAsia="宋体" w:cs="宋体"/>
        </w:rPr>
        <w:sectPr>
          <w:pgSz w:w="11905" w:h="16838"/>
          <w:pgMar w:top="1247" w:right="1417" w:bottom="1247" w:left="1417" w:header="850" w:footer="992" w:gutter="0"/>
          <w:pgNumType w:fmt="decimal"/>
          <w:cols w:space="0" w:num="1"/>
          <w:rtlGutter w:val="0"/>
          <w:docGrid w:type="lines" w:linePitch="319" w:charSpace="0"/>
        </w:sectPr>
      </w:pPr>
    </w:p>
    <w:p w14:paraId="7C408D88">
      <w:pPr>
        <w:keepNext/>
        <w:keepLines/>
        <w:pageBreakBefore w:val="0"/>
        <w:widowControl/>
        <w:numPr>
          <w:ilvl w:val="0"/>
          <w:numId w:val="0"/>
        </w:numPr>
        <w:kinsoku/>
        <w:wordWrap/>
        <w:overflowPunct/>
        <w:topLinePunct w:val="0"/>
        <w:autoSpaceDE/>
        <w:autoSpaceDN/>
        <w:bidi w:val="0"/>
        <w:adjustRightInd/>
        <w:snapToGrid/>
        <w:spacing w:after="196" w:afterLines="50" w:line="240" w:lineRule="auto"/>
        <w:jc w:val="center"/>
        <w:textAlignment w:val="auto"/>
        <w:outlineLvl w:val="9"/>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五、技术商务响应偏离表</w:t>
      </w:r>
      <w:bookmarkEnd w:id="301"/>
      <w:bookmarkEnd w:id="302"/>
    </w:p>
    <w:p w14:paraId="6931DDE6">
      <w:pPr>
        <w:keepNext/>
        <w:keepLines/>
        <w:pageBreakBefore w:val="0"/>
        <w:widowControl/>
        <w:numPr>
          <w:ilvl w:val="0"/>
          <w:numId w:val="0"/>
        </w:numPr>
        <w:kinsoku/>
        <w:wordWrap/>
        <w:overflowPunct/>
        <w:topLinePunct w:val="0"/>
        <w:autoSpaceDE/>
        <w:autoSpaceDN/>
        <w:bidi w:val="0"/>
        <w:adjustRightInd/>
        <w:snapToGrid/>
        <w:spacing w:after="196" w:afterLines="50" w:line="240" w:lineRule="auto"/>
        <w:jc w:val="center"/>
        <w:textAlignment w:val="auto"/>
        <w:outlineLvl w:val="9"/>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bookmarkStart w:id="305" w:name="_Toc20014"/>
      <w:bookmarkStart w:id="306" w:name="_Toc6074"/>
      <w:r>
        <w:rPr>
          <w:rFonts w:hint="eastAsia" w:ascii="宋体" w:hAnsi="宋体" w:eastAsia="宋体" w:cs="宋体"/>
          <w:b/>
          <w:bCs/>
          <w:color w:val="000000" w:themeColor="text1"/>
          <w:sz w:val="32"/>
          <w:szCs w:val="32"/>
          <w:highlight w:val="none"/>
          <w:lang w:val="en-US" w:eastAsia="zh-CN"/>
          <w14:textFill>
            <w14:solidFill>
              <w14:schemeClr w14:val="tx1"/>
            </w14:solidFill>
          </w14:textFill>
        </w:rPr>
        <w:t>技术响应偏离表</w:t>
      </w:r>
      <w:bookmarkEnd w:id="305"/>
      <w:bookmarkEnd w:id="306"/>
    </w:p>
    <w:tbl>
      <w:tblPr>
        <w:tblStyle w:val="42"/>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23"/>
        <w:gridCol w:w="3584"/>
        <w:gridCol w:w="1760"/>
        <w:gridCol w:w="1369"/>
      </w:tblGrid>
      <w:tr w14:paraId="32EF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7FE99E23">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序号</w:t>
            </w:r>
          </w:p>
        </w:tc>
        <w:tc>
          <w:tcPr>
            <w:tcW w:w="2223" w:type="dxa"/>
            <w:vAlign w:val="center"/>
          </w:tcPr>
          <w:p w14:paraId="661C442B">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lang w:val="en-US" w:eastAsia="zh-CN"/>
                <w14:textFill>
                  <w14:solidFill>
                    <w14:schemeClr w14:val="tx1"/>
                  </w14:solidFill>
                </w14:textFill>
              </w:rPr>
              <w:t>谈判</w:t>
            </w:r>
            <w:r>
              <w:rPr>
                <w:rFonts w:hint="eastAsia" w:ascii="宋体" w:hAnsi="宋体" w:eastAsia="宋体" w:cs="宋体"/>
                <w:b/>
                <w:color w:val="000000" w:themeColor="text1"/>
                <w:sz w:val="24"/>
                <w:szCs w:val="20"/>
                <w:highlight w:val="none"/>
                <w14:textFill>
                  <w14:solidFill>
                    <w14:schemeClr w14:val="tx1"/>
                  </w14:solidFill>
                </w14:textFill>
              </w:rPr>
              <w:t>文件</w:t>
            </w:r>
            <w:r>
              <w:rPr>
                <w:rFonts w:hint="eastAsia" w:ascii="宋体" w:hAnsi="宋体" w:eastAsia="宋体" w:cs="宋体"/>
                <w:b/>
                <w:color w:val="000000" w:themeColor="text1"/>
                <w:sz w:val="24"/>
                <w:szCs w:val="20"/>
                <w:highlight w:val="none"/>
                <w:lang w:val="en-US" w:eastAsia="zh-CN"/>
                <w14:textFill>
                  <w14:solidFill>
                    <w14:schemeClr w14:val="tx1"/>
                  </w14:solidFill>
                </w14:textFill>
              </w:rPr>
              <w:t>技术</w:t>
            </w:r>
            <w:r>
              <w:rPr>
                <w:rFonts w:hint="eastAsia" w:ascii="宋体" w:hAnsi="宋体" w:eastAsia="宋体" w:cs="宋体"/>
                <w:b/>
                <w:color w:val="000000" w:themeColor="text1"/>
                <w:sz w:val="24"/>
                <w:szCs w:val="20"/>
                <w:highlight w:val="none"/>
                <w14:textFill>
                  <w14:solidFill>
                    <w14:schemeClr w14:val="tx1"/>
                  </w14:solidFill>
                </w14:textFill>
              </w:rPr>
              <w:t>要求</w:t>
            </w:r>
          </w:p>
        </w:tc>
        <w:tc>
          <w:tcPr>
            <w:tcW w:w="3584" w:type="dxa"/>
            <w:vAlign w:val="center"/>
          </w:tcPr>
          <w:p w14:paraId="4B0076AE">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lang w:val="en-US" w:eastAsia="zh-CN"/>
                <w14:textFill>
                  <w14:solidFill>
                    <w14:schemeClr w14:val="tx1"/>
                  </w14:solidFill>
                </w14:textFill>
              </w:rPr>
            </w:pPr>
            <w:r>
              <w:rPr>
                <w:rFonts w:hint="eastAsia" w:ascii="宋体" w:hAnsi="宋体" w:eastAsia="宋体" w:cs="宋体"/>
                <w:b/>
                <w:color w:val="000000" w:themeColor="text1"/>
                <w:sz w:val="24"/>
                <w:szCs w:val="20"/>
                <w:highlight w:val="none"/>
                <w:lang w:val="en-US" w:eastAsia="zh-CN"/>
                <w14:textFill>
                  <w14:solidFill>
                    <w14:schemeClr w14:val="tx1"/>
                  </w14:solidFill>
                </w14:textFill>
              </w:rPr>
              <w:t>响应</w:t>
            </w:r>
            <w:r>
              <w:rPr>
                <w:rFonts w:hint="eastAsia" w:ascii="宋体" w:hAnsi="宋体" w:eastAsia="宋体" w:cs="宋体"/>
                <w:b/>
                <w:color w:val="000000" w:themeColor="text1"/>
                <w:sz w:val="24"/>
                <w:szCs w:val="20"/>
                <w:highlight w:val="none"/>
                <w14:textFill>
                  <w14:solidFill>
                    <w14:schemeClr w14:val="tx1"/>
                  </w14:solidFill>
                </w14:textFill>
              </w:rPr>
              <w:t>文件</w:t>
            </w:r>
            <w:r>
              <w:rPr>
                <w:rFonts w:hint="eastAsia" w:ascii="宋体" w:hAnsi="宋体" w:eastAsia="宋体" w:cs="宋体"/>
                <w:b/>
                <w:color w:val="000000" w:themeColor="text1"/>
                <w:sz w:val="24"/>
                <w:szCs w:val="20"/>
                <w:highlight w:val="none"/>
                <w:lang w:val="en-US" w:eastAsia="zh-CN"/>
                <w14:textFill>
                  <w14:solidFill>
                    <w14:schemeClr w14:val="tx1"/>
                  </w14:solidFill>
                </w14:textFill>
              </w:rPr>
              <w:t>技术应答</w:t>
            </w:r>
          </w:p>
        </w:tc>
        <w:tc>
          <w:tcPr>
            <w:tcW w:w="1760" w:type="dxa"/>
            <w:vAlign w:val="center"/>
          </w:tcPr>
          <w:p w14:paraId="2EFE323B">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偏离</w:t>
            </w:r>
          </w:p>
          <w:p w14:paraId="14BF9B9E">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（无/正/负）</w:t>
            </w:r>
          </w:p>
        </w:tc>
        <w:tc>
          <w:tcPr>
            <w:tcW w:w="1369" w:type="dxa"/>
            <w:vAlign w:val="center"/>
          </w:tcPr>
          <w:p w14:paraId="3E99AB78">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偏离简述</w:t>
            </w:r>
          </w:p>
        </w:tc>
      </w:tr>
      <w:tr w14:paraId="71FC2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13C3CB75">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w:t>
            </w:r>
          </w:p>
        </w:tc>
        <w:tc>
          <w:tcPr>
            <w:tcW w:w="2223" w:type="dxa"/>
          </w:tcPr>
          <w:p w14:paraId="25E05290">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584" w:type="dxa"/>
          </w:tcPr>
          <w:p w14:paraId="60C1639C">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760" w:type="dxa"/>
          </w:tcPr>
          <w:p w14:paraId="4D03D9B3">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369" w:type="dxa"/>
          </w:tcPr>
          <w:p w14:paraId="27B70222">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14:paraId="42321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208B45D">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w:t>
            </w:r>
          </w:p>
        </w:tc>
        <w:tc>
          <w:tcPr>
            <w:tcW w:w="2223" w:type="dxa"/>
          </w:tcPr>
          <w:p w14:paraId="7019C26F">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584" w:type="dxa"/>
          </w:tcPr>
          <w:p w14:paraId="6AE0A35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760" w:type="dxa"/>
          </w:tcPr>
          <w:p w14:paraId="2E84D983">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369" w:type="dxa"/>
          </w:tcPr>
          <w:p w14:paraId="1005BB71">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14:paraId="1E9D4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57805A49">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w:t>
            </w:r>
          </w:p>
        </w:tc>
        <w:tc>
          <w:tcPr>
            <w:tcW w:w="2223" w:type="dxa"/>
          </w:tcPr>
          <w:p w14:paraId="17657218">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584" w:type="dxa"/>
          </w:tcPr>
          <w:p w14:paraId="2C31137F">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760" w:type="dxa"/>
          </w:tcPr>
          <w:p w14:paraId="20FED4F4">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369" w:type="dxa"/>
          </w:tcPr>
          <w:p w14:paraId="5751586E">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14:paraId="1E973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F6C7C0F">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4</w:t>
            </w:r>
          </w:p>
        </w:tc>
        <w:tc>
          <w:tcPr>
            <w:tcW w:w="2223" w:type="dxa"/>
          </w:tcPr>
          <w:p w14:paraId="063C70E8">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584" w:type="dxa"/>
          </w:tcPr>
          <w:p w14:paraId="666FF78E">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760" w:type="dxa"/>
          </w:tcPr>
          <w:p w14:paraId="1255AFCC">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369" w:type="dxa"/>
          </w:tcPr>
          <w:p w14:paraId="54BFFA28">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r w14:paraId="4D7D5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BCE6282">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w:t>
            </w:r>
          </w:p>
        </w:tc>
        <w:tc>
          <w:tcPr>
            <w:tcW w:w="2223" w:type="dxa"/>
          </w:tcPr>
          <w:p w14:paraId="591AB09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3584" w:type="dxa"/>
          </w:tcPr>
          <w:p w14:paraId="45102325">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760" w:type="dxa"/>
          </w:tcPr>
          <w:p w14:paraId="53EC903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c>
          <w:tcPr>
            <w:tcW w:w="1369" w:type="dxa"/>
          </w:tcPr>
          <w:p w14:paraId="59F13E58">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000000" w:themeColor="text1"/>
                <w:sz w:val="24"/>
                <w:szCs w:val="24"/>
                <w:highlight w:val="none"/>
                <w14:textFill>
                  <w14:solidFill>
                    <w14:schemeClr w14:val="tx1"/>
                  </w14:solidFill>
                </w14:textFill>
              </w:rPr>
            </w:pPr>
          </w:p>
        </w:tc>
      </w:tr>
    </w:tbl>
    <w:p w14:paraId="37EC93DF">
      <w:pPr>
        <w:pStyle w:val="26"/>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outlineLvl w:val="9"/>
        <w:rPr>
          <w:rFonts w:hint="eastAsia" w:ascii="宋体" w:hAnsi="宋体" w:eastAsia="宋体" w:cs="仿宋"/>
          <w:color w:val="auto"/>
          <w:kern w:val="2"/>
          <w:sz w:val="24"/>
          <w:szCs w:val="24"/>
          <w:lang w:val="en-US" w:eastAsia="zh-CN" w:bidi="ar-SA"/>
        </w:rPr>
      </w:pPr>
      <w:r>
        <w:rPr>
          <w:rFonts w:hint="eastAsia" w:ascii="宋体" w:hAnsi="宋体" w:eastAsia="宋体" w:cs="宋体"/>
          <w:color w:val="auto"/>
          <w:sz w:val="24"/>
          <w:szCs w:val="24"/>
          <w:highlight w:val="none"/>
        </w:rPr>
        <w:t>注</w:t>
      </w:r>
      <w:r>
        <w:rPr>
          <w:rFonts w:hint="eastAsia" w:ascii="宋体" w:hAnsi="宋体" w:eastAsia="宋体" w:cs="仿宋"/>
          <w:color w:val="auto"/>
          <w:kern w:val="2"/>
          <w:sz w:val="24"/>
          <w:szCs w:val="24"/>
          <w:lang w:val="en-US" w:eastAsia="zh-CN" w:bidi="ar-SA"/>
        </w:rPr>
        <w:t>：1.如有漏报、瞒报谈判文件所要求的技术指标等，将视为没有实质性响应谈判文件。谈判文件第三章 采购清单及采购要求必须逐条响应。</w:t>
      </w:r>
    </w:p>
    <w:p w14:paraId="151196BB">
      <w:pPr>
        <w:pStyle w:val="2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宋体" w:hAnsi="宋体" w:eastAsia="宋体" w:cs="仿宋"/>
          <w:color w:val="auto"/>
          <w:kern w:val="2"/>
          <w:sz w:val="24"/>
          <w:szCs w:val="24"/>
          <w:lang w:val="en-US" w:eastAsia="zh-CN" w:bidi="ar-SA"/>
        </w:rPr>
      </w:pPr>
      <w:r>
        <w:rPr>
          <w:rFonts w:hint="eastAsia" w:ascii="宋体" w:hAnsi="宋体" w:eastAsia="宋体" w:cs="仿宋"/>
          <w:color w:val="auto"/>
          <w:kern w:val="2"/>
          <w:sz w:val="24"/>
          <w:szCs w:val="24"/>
          <w:lang w:val="en-US" w:eastAsia="zh-CN" w:bidi="ar-SA"/>
        </w:rPr>
        <w:t>2.“响应文件响应条款”必须与响应文件中提供的证明材料的响应情况相一致。若在评审环节发现该项与响应文件证明材料的响应情况不一致，供应商自行承担因证明材料不全或不一致被视为技术要求偏离的风险。</w:t>
      </w:r>
    </w:p>
    <w:p w14:paraId="733D25C2">
      <w:pPr>
        <w:numPr>
          <w:ilvl w:val="0"/>
          <w:numId w:val="0"/>
        </w:numPr>
        <w:kinsoku/>
        <w:wordWrap/>
        <w:overflowPunct/>
        <w:topLinePunct w:val="0"/>
        <w:bidi w:val="0"/>
        <w:outlineLvl w:val="9"/>
        <w:rPr>
          <w:rFonts w:hint="eastAsia"/>
          <w:lang w:val="en-US" w:eastAsia="zh-CN"/>
        </w:rPr>
      </w:pPr>
    </w:p>
    <w:p w14:paraId="01FA265C">
      <w:pPr>
        <w:numPr>
          <w:ilvl w:val="0"/>
          <w:numId w:val="0"/>
        </w:numPr>
        <w:kinsoku/>
        <w:wordWrap/>
        <w:overflowPunct/>
        <w:topLinePunct w:val="0"/>
        <w:bidi w:val="0"/>
        <w:spacing w:line="400" w:lineRule="exact"/>
        <w:jc w:val="center"/>
        <w:outlineLvl w:val="9"/>
        <w:rPr>
          <w:rFonts w:hint="eastAsia" w:ascii="宋体" w:hAnsi="宋体"/>
          <w:b/>
          <w:color w:val="000000" w:themeColor="text1"/>
          <w:sz w:val="24"/>
          <w:szCs w:val="24"/>
          <w:highlight w:val="none"/>
          <w14:textFill>
            <w14:solidFill>
              <w14:schemeClr w14:val="tx1"/>
            </w14:solidFill>
          </w14:textFill>
        </w:rPr>
      </w:pPr>
    </w:p>
    <w:p w14:paraId="77DD2AD9">
      <w:pPr>
        <w:numPr>
          <w:ilvl w:val="0"/>
          <w:numId w:val="0"/>
        </w:numPr>
        <w:kinsoku/>
        <w:wordWrap/>
        <w:overflowPunct/>
        <w:topLinePunct w:val="0"/>
        <w:bidi w:val="0"/>
        <w:spacing w:line="400" w:lineRule="exact"/>
        <w:jc w:val="center"/>
        <w:outlineLvl w:val="9"/>
        <w:rPr>
          <w:rFonts w:hint="eastAsia" w:ascii="宋体" w:hAnsi="宋体"/>
          <w:b/>
          <w:color w:val="000000" w:themeColor="text1"/>
          <w:sz w:val="24"/>
          <w:szCs w:val="24"/>
          <w:highlight w:val="none"/>
          <w14:textFill>
            <w14:solidFill>
              <w14:schemeClr w14:val="tx1"/>
            </w14:solidFill>
          </w14:textFill>
        </w:rPr>
      </w:pPr>
    </w:p>
    <w:p w14:paraId="339B09DA">
      <w:pPr>
        <w:kinsoku/>
        <w:wordWrap/>
        <w:overflowPunct/>
        <w:topLinePunct w:val="0"/>
        <w:bidi w:val="0"/>
        <w:adjustRightInd w:val="0"/>
        <w:snapToGrid w:val="0"/>
        <w:spacing w:line="480" w:lineRule="auto"/>
        <w:jc w:val="left"/>
        <w:outlineLvl w:val="9"/>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供应商（单位名称及公章）：____________________________</w:t>
      </w:r>
    </w:p>
    <w:p w14:paraId="0D97F161">
      <w:pPr>
        <w:kinsoku/>
        <w:wordWrap/>
        <w:overflowPunct/>
        <w:topLinePunct w:val="0"/>
        <w:bidi w:val="0"/>
        <w:adjustRightInd w:val="0"/>
        <w:snapToGrid w:val="0"/>
        <w:spacing w:line="48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14:textFill>
            <w14:solidFill>
              <w14:schemeClr w14:val="tx1"/>
            </w14:solidFill>
          </w14:textFill>
        </w:rPr>
        <w:t>被授权人（签字）：____________________________</w:t>
      </w:r>
    </w:p>
    <w:p w14:paraId="20CF4EFB">
      <w:pPr>
        <w:kinsoku/>
        <w:wordWrap/>
        <w:overflowPunct/>
        <w:topLinePunct w:val="0"/>
        <w:bidi w:val="0"/>
        <w:adjustRightInd w:val="0"/>
        <w:snapToGrid w:val="0"/>
        <w:spacing w:line="480" w:lineRule="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期：_______年_______月_______日</w:t>
      </w:r>
    </w:p>
    <w:p w14:paraId="3DC49964">
      <w:pPr>
        <w:pStyle w:val="12"/>
        <w:kinsoku/>
        <w:wordWrap/>
        <w:overflowPunct/>
        <w:topLinePunct w:val="0"/>
        <w:bidi w:val="0"/>
        <w:outlineLvl w:val="9"/>
        <w:rPr>
          <w:rFonts w:hint="eastAsia"/>
          <w:color w:val="000000" w:themeColor="text1"/>
          <w:highlight w:val="none"/>
          <w:lang w:val="en-US" w:eastAsia="zh-CN"/>
          <w14:textFill>
            <w14:solidFill>
              <w14:schemeClr w14:val="tx1"/>
            </w14:solidFill>
          </w14:textFill>
        </w:rPr>
        <w:sectPr>
          <w:pgSz w:w="11905" w:h="16838"/>
          <w:pgMar w:top="1304" w:right="1304" w:bottom="1304" w:left="1304" w:header="964"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685ED127">
      <w:pPr>
        <w:keepNext/>
        <w:keepLines/>
        <w:pageBreakBefore w:val="0"/>
        <w:widowControl/>
        <w:numPr>
          <w:ilvl w:val="0"/>
          <w:numId w:val="0"/>
        </w:numPr>
        <w:kinsoku/>
        <w:wordWrap/>
        <w:overflowPunct/>
        <w:topLinePunct w:val="0"/>
        <w:autoSpaceDE/>
        <w:autoSpaceDN/>
        <w:bidi w:val="0"/>
        <w:adjustRightInd/>
        <w:snapToGrid/>
        <w:spacing w:after="196" w:afterLines="50" w:line="240" w:lineRule="auto"/>
        <w:jc w:val="center"/>
        <w:textAlignment w:val="auto"/>
        <w:outlineLvl w:val="9"/>
        <w:rPr>
          <w:rFonts w:hint="eastAsia" w:ascii="宋体" w:hAnsi="宋体" w:eastAsia="宋体" w:cs="宋体"/>
          <w:b/>
          <w:bCs/>
          <w:color w:val="auto"/>
          <w:sz w:val="32"/>
          <w:szCs w:val="32"/>
          <w:highlight w:val="none"/>
        </w:rPr>
      </w:pPr>
      <w:bookmarkStart w:id="307" w:name="_Toc27459"/>
      <w:bookmarkStart w:id="308" w:name="_Toc15555"/>
      <w:r>
        <w:rPr>
          <w:rFonts w:hint="eastAsia" w:ascii="宋体" w:hAnsi="宋体" w:eastAsia="宋体" w:cs="宋体"/>
          <w:b/>
          <w:bCs/>
          <w:color w:val="auto"/>
          <w:sz w:val="32"/>
          <w:szCs w:val="32"/>
          <w:highlight w:val="none"/>
          <w:lang w:val="en-US" w:eastAsia="zh-CN"/>
        </w:rPr>
        <w:t>商务响应偏离表</w:t>
      </w:r>
      <w:bookmarkEnd w:id="303"/>
      <w:bookmarkEnd w:id="304"/>
      <w:bookmarkEnd w:id="307"/>
      <w:bookmarkEnd w:id="308"/>
    </w:p>
    <w:bookmarkEnd w:id="287"/>
    <w:tbl>
      <w:tblPr>
        <w:tblStyle w:val="42"/>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23"/>
        <w:gridCol w:w="3167"/>
        <w:gridCol w:w="2177"/>
        <w:gridCol w:w="1369"/>
      </w:tblGrid>
      <w:tr w14:paraId="0B01D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321E680E">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序号</w:t>
            </w:r>
          </w:p>
        </w:tc>
        <w:tc>
          <w:tcPr>
            <w:tcW w:w="2223" w:type="dxa"/>
            <w:vAlign w:val="center"/>
          </w:tcPr>
          <w:p w14:paraId="37D471D0">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rPr>
              <w:t>谈判</w:t>
            </w:r>
            <w:r>
              <w:rPr>
                <w:rFonts w:hint="eastAsia" w:ascii="宋体" w:hAnsi="宋体" w:eastAsia="宋体" w:cs="宋体"/>
                <w:b/>
                <w:color w:val="auto"/>
                <w:sz w:val="24"/>
                <w:szCs w:val="20"/>
                <w:highlight w:val="none"/>
              </w:rPr>
              <w:t>文件</w:t>
            </w:r>
            <w:r>
              <w:rPr>
                <w:rFonts w:hint="eastAsia" w:ascii="宋体" w:hAnsi="宋体" w:eastAsia="宋体" w:cs="宋体"/>
                <w:b/>
                <w:color w:val="auto"/>
                <w:sz w:val="24"/>
                <w:szCs w:val="20"/>
                <w:highlight w:val="none"/>
                <w:lang w:val="en-US" w:eastAsia="zh-CN"/>
              </w:rPr>
              <w:t>商务</w:t>
            </w:r>
            <w:r>
              <w:rPr>
                <w:rFonts w:hint="eastAsia" w:ascii="宋体" w:hAnsi="宋体" w:eastAsia="宋体" w:cs="宋体"/>
                <w:b/>
                <w:color w:val="auto"/>
                <w:sz w:val="24"/>
                <w:szCs w:val="20"/>
                <w:highlight w:val="none"/>
              </w:rPr>
              <w:t>要求</w:t>
            </w:r>
          </w:p>
        </w:tc>
        <w:tc>
          <w:tcPr>
            <w:tcW w:w="3167" w:type="dxa"/>
            <w:vAlign w:val="center"/>
          </w:tcPr>
          <w:p w14:paraId="37DEABEF">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响应</w:t>
            </w:r>
            <w:r>
              <w:rPr>
                <w:rFonts w:hint="eastAsia" w:ascii="宋体" w:hAnsi="宋体" w:eastAsia="宋体" w:cs="宋体"/>
                <w:b/>
                <w:color w:val="auto"/>
                <w:sz w:val="24"/>
                <w:szCs w:val="20"/>
                <w:highlight w:val="none"/>
              </w:rPr>
              <w:t>文件</w:t>
            </w:r>
            <w:r>
              <w:rPr>
                <w:rFonts w:hint="eastAsia" w:ascii="宋体" w:hAnsi="宋体" w:eastAsia="宋体" w:cs="宋体"/>
                <w:b/>
                <w:color w:val="auto"/>
                <w:sz w:val="24"/>
                <w:szCs w:val="20"/>
                <w:highlight w:val="none"/>
                <w:lang w:val="en-US" w:eastAsia="zh-CN"/>
              </w:rPr>
              <w:t>商务应答</w:t>
            </w:r>
          </w:p>
        </w:tc>
        <w:tc>
          <w:tcPr>
            <w:tcW w:w="2177" w:type="dxa"/>
            <w:vAlign w:val="center"/>
          </w:tcPr>
          <w:p w14:paraId="6646685F">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偏离</w:t>
            </w:r>
          </w:p>
          <w:p w14:paraId="6972C193">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（无/正/负）</w:t>
            </w:r>
          </w:p>
        </w:tc>
        <w:tc>
          <w:tcPr>
            <w:tcW w:w="1369" w:type="dxa"/>
            <w:vAlign w:val="center"/>
          </w:tcPr>
          <w:p w14:paraId="02FC7756">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偏离简述</w:t>
            </w:r>
          </w:p>
        </w:tc>
      </w:tr>
      <w:tr w14:paraId="6C289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11589C42">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2223" w:type="dxa"/>
          </w:tcPr>
          <w:p w14:paraId="7BE97927">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3167" w:type="dxa"/>
          </w:tcPr>
          <w:p w14:paraId="6DC8DC17">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2177" w:type="dxa"/>
          </w:tcPr>
          <w:p w14:paraId="54E648AF">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1369" w:type="dxa"/>
          </w:tcPr>
          <w:p w14:paraId="1851D9B6">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r>
      <w:tr w14:paraId="105B5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1447B792">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p>
        </w:tc>
        <w:tc>
          <w:tcPr>
            <w:tcW w:w="2223" w:type="dxa"/>
          </w:tcPr>
          <w:p w14:paraId="6C0C0AB9">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3167" w:type="dxa"/>
          </w:tcPr>
          <w:p w14:paraId="4D16DAD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2177" w:type="dxa"/>
          </w:tcPr>
          <w:p w14:paraId="2F14B396">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1369" w:type="dxa"/>
          </w:tcPr>
          <w:p w14:paraId="02903256">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r>
      <w:tr w14:paraId="72178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7B782D69">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p>
        </w:tc>
        <w:tc>
          <w:tcPr>
            <w:tcW w:w="2223" w:type="dxa"/>
          </w:tcPr>
          <w:p w14:paraId="69B4033B">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3167" w:type="dxa"/>
          </w:tcPr>
          <w:p w14:paraId="0ED721DE">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2177" w:type="dxa"/>
          </w:tcPr>
          <w:p w14:paraId="1952BF03">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1369" w:type="dxa"/>
          </w:tcPr>
          <w:p w14:paraId="0ABF1314">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r>
      <w:tr w14:paraId="14FF6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01E58039">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w:t>
            </w:r>
          </w:p>
        </w:tc>
        <w:tc>
          <w:tcPr>
            <w:tcW w:w="2223" w:type="dxa"/>
          </w:tcPr>
          <w:p w14:paraId="30369900">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3167" w:type="dxa"/>
          </w:tcPr>
          <w:p w14:paraId="60AD6D95">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2177" w:type="dxa"/>
          </w:tcPr>
          <w:p w14:paraId="4E46E75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1369" w:type="dxa"/>
          </w:tcPr>
          <w:p w14:paraId="7AD75DAB">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r>
      <w:tr w14:paraId="277D1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CA67BCF">
            <w:pPr>
              <w:keepNext w:val="0"/>
              <w:keepLines w:val="0"/>
              <w:widowControl/>
              <w:suppressLineNumbers w:val="0"/>
              <w:kinsoku/>
              <w:wordWrap/>
              <w:overflowPunct/>
              <w:topLinePunct w:val="0"/>
              <w:bidi w:val="0"/>
              <w:spacing w:before="0" w:beforeAutospacing="0" w:after="0" w:afterAutospacing="0" w:line="360" w:lineRule="auto"/>
              <w:ind w:left="0" w:right="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2223" w:type="dxa"/>
          </w:tcPr>
          <w:p w14:paraId="65EB4465">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3167" w:type="dxa"/>
          </w:tcPr>
          <w:p w14:paraId="00A6BAA3">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2177" w:type="dxa"/>
          </w:tcPr>
          <w:p w14:paraId="79A92C49">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c>
          <w:tcPr>
            <w:tcW w:w="1369" w:type="dxa"/>
          </w:tcPr>
          <w:p w14:paraId="6F33C0ED">
            <w:pPr>
              <w:keepNext w:val="0"/>
              <w:keepLines w:val="0"/>
              <w:widowControl/>
              <w:suppressLineNumbers w:val="0"/>
              <w:kinsoku/>
              <w:wordWrap/>
              <w:overflowPunct/>
              <w:topLinePunct w:val="0"/>
              <w:bidi w:val="0"/>
              <w:spacing w:before="0" w:beforeAutospacing="0" w:after="0" w:afterAutospacing="0"/>
              <w:ind w:left="0" w:right="0"/>
              <w:jc w:val="center"/>
              <w:outlineLvl w:val="9"/>
              <w:rPr>
                <w:rFonts w:hint="eastAsia" w:ascii="宋体" w:hAnsi="宋体" w:eastAsia="宋体" w:cs="宋体"/>
                <w:color w:val="auto"/>
                <w:sz w:val="24"/>
                <w:szCs w:val="24"/>
                <w:highlight w:val="none"/>
              </w:rPr>
            </w:pPr>
          </w:p>
        </w:tc>
      </w:tr>
    </w:tbl>
    <w:p w14:paraId="53F7FF5A">
      <w:pPr>
        <w:kinsoku/>
        <w:wordWrap/>
        <w:overflowPunct/>
        <w:topLinePunct w:val="0"/>
        <w:bidi w:val="0"/>
        <w:spacing w:line="360" w:lineRule="auto"/>
        <w:ind w:firstLine="482" w:firstLineChars="200"/>
        <w:outlineLvl w:val="9"/>
        <w:rPr>
          <w:rFonts w:hint="eastAsia" w:ascii="宋体" w:hAnsi="宋体" w:eastAsia="宋体" w:cs="宋体"/>
          <w:b/>
          <w:bCs/>
          <w:color w:val="auto"/>
          <w:sz w:val="24"/>
          <w:szCs w:val="24"/>
          <w:highlight w:val="none"/>
        </w:rPr>
      </w:pPr>
    </w:p>
    <w:p w14:paraId="1D3C44EF">
      <w:pPr>
        <w:pStyle w:val="23"/>
        <w:kinsoku/>
        <w:wordWrap/>
        <w:overflowPunct/>
        <w:topLinePunct w:val="0"/>
        <w:bidi w:val="0"/>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注：对</w:t>
      </w:r>
      <w:r>
        <w:rPr>
          <w:rFonts w:hint="eastAsia" w:ascii="宋体" w:hAnsi="宋体" w:eastAsia="宋体" w:cs="仿宋"/>
          <w:color w:val="auto"/>
          <w:kern w:val="2"/>
          <w:sz w:val="24"/>
          <w:szCs w:val="24"/>
          <w:lang w:val="en-US" w:eastAsia="zh-CN" w:bidi="ar-SA"/>
        </w:rPr>
        <w:t>谈判文件第三章商务要求及第四章合同主要条款必须逐条响应</w:t>
      </w:r>
      <w:r>
        <w:rPr>
          <w:rFonts w:hint="eastAsia" w:ascii="宋体" w:hAnsi="宋体" w:eastAsia="宋体" w:cs="宋体"/>
          <w:color w:val="auto"/>
          <w:kern w:val="2"/>
          <w:sz w:val="24"/>
          <w:szCs w:val="24"/>
          <w:highlight w:val="none"/>
          <w:lang w:val="en-US" w:eastAsia="zh-CN" w:bidi="ar-SA"/>
        </w:rPr>
        <w:t>。</w:t>
      </w:r>
    </w:p>
    <w:p w14:paraId="7095E4C6">
      <w:pPr>
        <w:pStyle w:val="23"/>
        <w:kinsoku/>
        <w:wordWrap/>
        <w:overflowPunct/>
        <w:topLinePunct w:val="0"/>
        <w:bidi w:val="0"/>
        <w:outlineLvl w:val="9"/>
        <w:rPr>
          <w:rFonts w:hint="eastAsia" w:ascii="宋体" w:hAnsi="宋体" w:eastAsia="宋体" w:cs="宋体"/>
          <w:color w:val="auto"/>
          <w:highlight w:val="none"/>
        </w:rPr>
      </w:pPr>
    </w:p>
    <w:p w14:paraId="0FE65A65">
      <w:pPr>
        <w:pStyle w:val="23"/>
        <w:kinsoku/>
        <w:wordWrap/>
        <w:overflowPunct/>
        <w:topLinePunct w:val="0"/>
        <w:bidi w:val="0"/>
        <w:outlineLvl w:val="9"/>
        <w:rPr>
          <w:rFonts w:hint="eastAsia" w:ascii="宋体" w:hAnsi="宋体" w:eastAsia="宋体" w:cs="宋体"/>
          <w:color w:val="auto"/>
          <w:highlight w:val="none"/>
        </w:rPr>
      </w:pPr>
    </w:p>
    <w:p w14:paraId="47B5E4FB">
      <w:pPr>
        <w:pStyle w:val="23"/>
        <w:kinsoku/>
        <w:wordWrap/>
        <w:overflowPunct/>
        <w:topLinePunct w:val="0"/>
        <w:bidi w:val="0"/>
        <w:outlineLvl w:val="9"/>
        <w:rPr>
          <w:rFonts w:hint="eastAsia" w:ascii="宋体" w:hAnsi="宋体" w:eastAsia="宋体" w:cs="宋体"/>
          <w:color w:val="auto"/>
          <w:highlight w:val="none"/>
        </w:rPr>
      </w:pPr>
    </w:p>
    <w:p w14:paraId="1643E40B">
      <w:pPr>
        <w:pStyle w:val="23"/>
        <w:kinsoku/>
        <w:wordWrap/>
        <w:overflowPunct/>
        <w:topLinePunct w:val="0"/>
        <w:bidi w:val="0"/>
        <w:outlineLvl w:val="9"/>
        <w:rPr>
          <w:rFonts w:hint="eastAsia" w:ascii="宋体" w:hAnsi="宋体" w:eastAsia="宋体" w:cs="宋体"/>
          <w:color w:val="auto"/>
          <w:highlight w:val="none"/>
        </w:rPr>
      </w:pPr>
    </w:p>
    <w:p w14:paraId="5B529B50">
      <w:pPr>
        <w:pStyle w:val="23"/>
        <w:kinsoku/>
        <w:wordWrap/>
        <w:overflowPunct/>
        <w:topLinePunct w:val="0"/>
        <w:bidi w:val="0"/>
        <w:outlineLvl w:val="9"/>
        <w:rPr>
          <w:rFonts w:hint="eastAsia" w:ascii="宋体" w:hAnsi="宋体" w:eastAsia="宋体" w:cs="宋体"/>
          <w:color w:val="auto"/>
          <w:highlight w:val="none"/>
        </w:rPr>
      </w:pPr>
    </w:p>
    <w:p w14:paraId="6AB64CF2">
      <w:pPr>
        <w:pStyle w:val="23"/>
        <w:kinsoku/>
        <w:wordWrap/>
        <w:overflowPunct/>
        <w:topLinePunct w:val="0"/>
        <w:bidi w:val="0"/>
        <w:outlineLvl w:val="9"/>
        <w:rPr>
          <w:rFonts w:hint="eastAsia" w:ascii="宋体" w:hAnsi="宋体" w:eastAsia="宋体" w:cs="宋体"/>
          <w:color w:val="auto"/>
          <w:highlight w:val="none"/>
        </w:rPr>
      </w:pPr>
    </w:p>
    <w:p w14:paraId="437998F8">
      <w:pPr>
        <w:pStyle w:val="23"/>
        <w:kinsoku/>
        <w:wordWrap/>
        <w:overflowPunct/>
        <w:topLinePunct w:val="0"/>
        <w:bidi w:val="0"/>
        <w:outlineLvl w:val="9"/>
        <w:rPr>
          <w:rFonts w:hint="eastAsia" w:ascii="宋体" w:hAnsi="宋体" w:eastAsia="宋体" w:cs="宋体"/>
          <w:color w:val="auto"/>
          <w:highlight w:val="none"/>
        </w:rPr>
      </w:pPr>
    </w:p>
    <w:p w14:paraId="7218E46B">
      <w:pPr>
        <w:pStyle w:val="23"/>
        <w:kinsoku/>
        <w:wordWrap/>
        <w:overflowPunct/>
        <w:topLinePunct w:val="0"/>
        <w:bidi w:val="0"/>
        <w:outlineLvl w:val="9"/>
        <w:rPr>
          <w:rFonts w:hint="eastAsia" w:ascii="宋体" w:hAnsi="宋体" w:eastAsia="宋体" w:cs="宋体"/>
          <w:color w:val="auto"/>
          <w:highlight w:val="none"/>
        </w:rPr>
      </w:pPr>
    </w:p>
    <w:p w14:paraId="08C9A5DB">
      <w:pPr>
        <w:kinsoku/>
        <w:wordWrap/>
        <w:overflowPunct/>
        <w:topLinePunct w:val="0"/>
        <w:bidi w:val="0"/>
        <w:adjustRightInd w:val="0"/>
        <w:snapToGrid w:val="0"/>
        <w:spacing w:line="480" w:lineRule="auto"/>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供应商（单位名称及公章）：____________________________</w:t>
      </w:r>
    </w:p>
    <w:p w14:paraId="46425A17">
      <w:pPr>
        <w:kinsoku/>
        <w:wordWrap/>
        <w:overflowPunct/>
        <w:topLinePunct w:val="0"/>
        <w:bidi w:val="0"/>
        <w:adjustRightInd w:val="0"/>
        <w:snapToGrid w:val="0"/>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被授权人（签字）：____________________________</w:t>
      </w:r>
    </w:p>
    <w:p w14:paraId="535BF10A">
      <w:pPr>
        <w:kinsoku/>
        <w:wordWrap/>
        <w:overflowPunct/>
        <w:topLinePunct w:val="0"/>
        <w:bidi w:val="0"/>
        <w:adjustRightInd w:val="0"/>
        <w:snapToGrid w:val="0"/>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期：_______年_______月_______日</w:t>
      </w:r>
    </w:p>
    <w:p w14:paraId="017080BF">
      <w:pPr>
        <w:pStyle w:val="23"/>
        <w:kinsoku/>
        <w:wordWrap/>
        <w:overflowPunct/>
        <w:topLinePunct w:val="0"/>
        <w:bidi w:val="0"/>
        <w:outlineLvl w:val="9"/>
        <w:rPr>
          <w:rFonts w:hint="eastAsia" w:ascii="宋体" w:hAnsi="宋体" w:eastAsia="宋体" w:cs="宋体"/>
          <w:color w:val="auto"/>
          <w:highlight w:val="none"/>
        </w:rPr>
      </w:pPr>
    </w:p>
    <w:p w14:paraId="4868BEB1">
      <w:pPr>
        <w:pStyle w:val="18"/>
        <w:kinsoku/>
        <w:wordWrap/>
        <w:overflowPunct/>
        <w:topLinePunct w:val="0"/>
        <w:bidi w:val="0"/>
        <w:spacing w:line="500" w:lineRule="exact"/>
        <w:jc w:val="left"/>
        <w:outlineLvl w:val="9"/>
        <w:rPr>
          <w:rFonts w:hint="eastAsia" w:ascii="宋体" w:hAnsi="宋体" w:eastAsia="宋体" w:cs="宋体"/>
          <w:color w:val="auto"/>
          <w:sz w:val="24"/>
          <w:szCs w:val="24"/>
          <w:highlight w:val="none"/>
        </w:rPr>
      </w:pPr>
      <w:bookmarkStart w:id="309" w:name="_Toc536202329"/>
      <w:bookmarkStart w:id="310" w:name="_Toc536202398"/>
      <w:bookmarkStart w:id="311" w:name="_Toc536429391"/>
      <w:bookmarkStart w:id="312" w:name="_Toc5895"/>
      <w:bookmarkStart w:id="313" w:name="_Toc536429338"/>
    </w:p>
    <w:bookmarkEnd w:id="309"/>
    <w:bookmarkEnd w:id="310"/>
    <w:bookmarkEnd w:id="311"/>
    <w:bookmarkEnd w:id="312"/>
    <w:bookmarkEnd w:id="313"/>
    <w:p w14:paraId="1AC4DDBF">
      <w:pPr>
        <w:keepNext/>
        <w:keepLines/>
        <w:pageBreakBefore/>
        <w:widowControl/>
        <w:kinsoku/>
        <w:wordWrap/>
        <w:overflowPunct/>
        <w:topLinePunct w:val="0"/>
        <w:autoSpaceDE/>
        <w:autoSpaceDN/>
        <w:bidi w:val="0"/>
        <w:adjustRightInd/>
        <w:snapToGrid/>
        <w:spacing w:after="196" w:afterLines="50"/>
        <w:jc w:val="center"/>
        <w:textAlignment w:val="auto"/>
        <w:outlineLvl w:val="9"/>
        <w:rPr>
          <w:rFonts w:hint="eastAsia" w:ascii="宋体" w:hAnsi="宋体" w:eastAsia="宋体" w:cs="宋体"/>
          <w:b/>
          <w:bCs/>
          <w:color w:val="auto"/>
          <w:kern w:val="2"/>
          <w:sz w:val="32"/>
          <w:szCs w:val="32"/>
          <w:highlight w:val="none"/>
          <w:lang w:val="en-US" w:eastAsia="zh-CN" w:bidi="ar-SA"/>
        </w:rPr>
      </w:pPr>
      <w:bookmarkStart w:id="314" w:name="_Toc9172"/>
      <w:bookmarkStart w:id="315" w:name="_Toc536429392"/>
      <w:bookmarkStart w:id="316" w:name="_Toc536429339"/>
      <w:bookmarkStart w:id="317" w:name="_Toc536202330"/>
      <w:bookmarkStart w:id="318" w:name="_Toc19543359"/>
      <w:bookmarkStart w:id="319" w:name="_Toc28798"/>
      <w:bookmarkStart w:id="320" w:name="_Toc536202399"/>
      <w:bookmarkStart w:id="321" w:name="_Toc32261"/>
      <w:bookmarkStart w:id="322" w:name="_Toc228"/>
      <w:bookmarkStart w:id="323" w:name="_Toc14937"/>
      <w:bookmarkStart w:id="324" w:name="_Toc18853"/>
      <w:r>
        <w:rPr>
          <w:rFonts w:hint="eastAsia" w:ascii="宋体" w:hAnsi="宋体" w:eastAsia="宋体" w:cs="宋体"/>
          <w:b/>
          <w:bCs/>
          <w:color w:val="auto"/>
          <w:kern w:val="2"/>
          <w:sz w:val="32"/>
          <w:szCs w:val="32"/>
          <w:highlight w:val="none"/>
          <w:lang w:val="en-US" w:eastAsia="zh-CN" w:bidi="ar-SA"/>
        </w:rPr>
        <w:t xml:space="preserve">六、  </w:t>
      </w:r>
      <w:bookmarkEnd w:id="314"/>
      <w:r>
        <w:rPr>
          <w:rFonts w:hint="eastAsia" w:ascii="宋体" w:hAnsi="宋体" w:eastAsia="宋体" w:cs="宋体"/>
          <w:b/>
          <w:bCs/>
          <w:color w:val="auto"/>
          <w:kern w:val="2"/>
          <w:sz w:val="32"/>
          <w:szCs w:val="32"/>
          <w:highlight w:val="none"/>
          <w:lang w:val="en-US" w:eastAsia="zh-CN" w:bidi="ar-SA"/>
        </w:rPr>
        <w:t>响应方案</w:t>
      </w:r>
      <w:bookmarkEnd w:id="315"/>
      <w:bookmarkEnd w:id="316"/>
      <w:bookmarkEnd w:id="317"/>
      <w:bookmarkEnd w:id="318"/>
      <w:bookmarkEnd w:id="319"/>
      <w:bookmarkEnd w:id="320"/>
      <w:bookmarkEnd w:id="321"/>
      <w:bookmarkEnd w:id="322"/>
      <w:bookmarkEnd w:id="323"/>
      <w:bookmarkEnd w:id="324"/>
    </w:p>
    <w:p w14:paraId="2190FCDB">
      <w:pPr>
        <w:numPr>
          <w:ilvl w:val="0"/>
          <w:numId w:val="0"/>
        </w:numPr>
        <w:kinsoku/>
        <w:wordWrap/>
        <w:overflowPunct/>
        <w:topLinePunct w:val="0"/>
        <w:bidi w:val="0"/>
        <w:spacing w:line="360" w:lineRule="auto"/>
        <w:ind w:firstLine="482" w:firstLineChars="200"/>
        <w:outlineLvl w:val="9"/>
        <w:rPr>
          <w:rFonts w:hint="eastAsia" w:ascii="宋体" w:hAnsi="宋体" w:eastAsia="宋体" w:cs="宋体"/>
          <w:sz w:val="24"/>
          <w:szCs w:val="24"/>
        </w:rPr>
      </w:pPr>
      <w:r>
        <w:rPr>
          <w:rFonts w:hint="eastAsia" w:ascii="宋体" w:hAnsi="宋体" w:eastAsia="宋体" w:cs="宋体"/>
          <w:b/>
          <w:bCs/>
          <w:sz w:val="24"/>
          <w:szCs w:val="24"/>
        </w:rPr>
        <w:t>参照</w:t>
      </w:r>
      <w:r>
        <w:rPr>
          <w:rFonts w:hint="eastAsia" w:ascii="宋体" w:hAnsi="宋体" w:eastAsia="宋体" w:cs="宋体"/>
          <w:b/>
          <w:bCs/>
          <w:sz w:val="24"/>
          <w:szCs w:val="24"/>
          <w:lang w:val="en-US" w:eastAsia="zh-CN"/>
        </w:rPr>
        <w:t>谈判</w:t>
      </w:r>
      <w:r>
        <w:rPr>
          <w:rFonts w:hint="eastAsia" w:ascii="宋体" w:hAnsi="宋体" w:eastAsia="宋体" w:cs="宋体"/>
          <w:b/>
          <w:bCs/>
          <w:sz w:val="24"/>
          <w:szCs w:val="24"/>
        </w:rPr>
        <w:t>文件的《</w:t>
      </w:r>
      <w:r>
        <w:rPr>
          <w:rFonts w:hint="eastAsia" w:ascii="宋体" w:hAnsi="宋体" w:eastAsia="宋体" w:cs="宋体"/>
          <w:b/>
          <w:bCs/>
          <w:sz w:val="24"/>
          <w:szCs w:val="24"/>
          <w:lang w:val="en-US" w:eastAsia="zh-CN"/>
        </w:rPr>
        <w:t>采购内容及要求</w:t>
      </w:r>
      <w:r>
        <w:rPr>
          <w:rFonts w:hint="eastAsia" w:ascii="宋体" w:hAnsi="宋体" w:eastAsia="宋体" w:cs="宋体"/>
          <w:b/>
          <w:bCs/>
          <w:sz w:val="24"/>
          <w:szCs w:val="24"/>
        </w:rPr>
        <w:t>》各条款的要求，编制投标方案说明书，投标方案由供应商自行编写，无具体格式，包含但不限于以下内容：</w:t>
      </w:r>
    </w:p>
    <w:p w14:paraId="74862C23">
      <w:pPr>
        <w:kinsoku/>
        <w:wordWrap/>
        <w:overflowPunct/>
        <w:topLinePunct w:val="0"/>
        <w:bidi w:val="0"/>
        <w:spacing w:line="360" w:lineRule="auto"/>
        <w:ind w:firstLine="480" w:firstLineChars="2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实施、供货方案</w:t>
      </w:r>
      <w:r>
        <w:rPr>
          <w:rFonts w:hint="eastAsia" w:ascii="宋体" w:hAnsi="宋体" w:eastAsia="宋体" w:cs="宋体"/>
          <w:color w:val="auto"/>
          <w:sz w:val="24"/>
          <w:szCs w:val="24"/>
          <w:lang w:eastAsia="zh-CN"/>
        </w:rPr>
        <w:t>；</w:t>
      </w:r>
    </w:p>
    <w:p w14:paraId="4042858D">
      <w:pPr>
        <w:kinsoku/>
        <w:wordWrap/>
        <w:overflowPunct/>
        <w:topLinePunct w:val="0"/>
        <w:bidi w:val="0"/>
        <w:spacing w:line="360" w:lineRule="auto"/>
        <w:ind w:firstLine="480" w:firstLineChars="200"/>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2.质量保证；</w:t>
      </w:r>
    </w:p>
    <w:p w14:paraId="482E3B1B">
      <w:pPr>
        <w:kinsoku/>
        <w:wordWrap/>
        <w:overflowPunct/>
        <w:topLinePunct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highlight w:val="none"/>
          <w:lang w:val="en-US" w:eastAsia="zh-CN"/>
        </w:rPr>
        <w:t>供货的时效性；</w:t>
      </w:r>
    </w:p>
    <w:p w14:paraId="6F5AA1AE">
      <w:pPr>
        <w:kinsoku/>
        <w:wordWrap/>
        <w:overflowPunct/>
        <w:topLinePunct w:val="0"/>
        <w:bidi w:val="0"/>
        <w:spacing w:line="360" w:lineRule="auto"/>
        <w:ind w:firstLine="480" w:firstLineChars="200"/>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4.货物来源；</w:t>
      </w:r>
    </w:p>
    <w:p w14:paraId="2A76509D">
      <w:pPr>
        <w:kinsoku/>
        <w:wordWrap/>
        <w:overflowPunct/>
        <w:topLinePunct w:val="0"/>
        <w:bidi w:val="0"/>
        <w:spacing w:line="360" w:lineRule="auto"/>
        <w:ind w:firstLine="480" w:firstLineChars="200"/>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5.人员配备；</w:t>
      </w:r>
    </w:p>
    <w:p w14:paraId="5C8C5F48">
      <w:pPr>
        <w:kinsoku/>
        <w:wordWrap/>
        <w:overflowPunct/>
        <w:topLinePunct w:val="0"/>
        <w:bidi w:val="0"/>
        <w:spacing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应急措施</w:t>
      </w:r>
      <w:r>
        <w:rPr>
          <w:rFonts w:hint="eastAsia" w:ascii="宋体" w:hAnsi="宋体" w:eastAsia="宋体" w:cs="宋体"/>
          <w:color w:val="auto"/>
          <w:sz w:val="24"/>
          <w:szCs w:val="24"/>
          <w:lang w:eastAsia="zh-CN"/>
        </w:rPr>
        <w:t>；</w:t>
      </w:r>
    </w:p>
    <w:p w14:paraId="502E4E59">
      <w:pPr>
        <w:kinsoku/>
        <w:wordWrap/>
        <w:overflowPunct/>
        <w:topLinePunct w:val="0"/>
        <w:bidi w:val="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类似项目业绩；</w:t>
      </w:r>
    </w:p>
    <w:p w14:paraId="49E81D34">
      <w:pPr>
        <w:kinsoku/>
        <w:wordWrap/>
        <w:overflowPunct/>
        <w:topLinePunct w:val="0"/>
        <w:bidi w:val="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售后</w:t>
      </w:r>
      <w:r>
        <w:rPr>
          <w:rFonts w:hint="eastAsia" w:ascii="宋体" w:hAnsi="宋体" w:eastAsia="宋体" w:cs="宋体"/>
          <w:color w:val="auto"/>
          <w:sz w:val="24"/>
          <w:szCs w:val="24"/>
        </w:rPr>
        <w:t>服务承诺和建议；</w:t>
      </w:r>
    </w:p>
    <w:p w14:paraId="36F84C1D">
      <w:pPr>
        <w:kinsoku/>
        <w:wordWrap/>
        <w:overflowPunct/>
        <w:topLinePunct w:val="0"/>
        <w:bidi w:val="0"/>
        <w:spacing w:line="360" w:lineRule="auto"/>
        <w:ind w:firstLine="480" w:firstLineChars="200"/>
        <w:outlineLvl w:val="9"/>
        <w:rPr>
          <w:rFonts w:hint="eastAsia" w:ascii="宋体" w:hAnsi="宋体" w:eastAsia="宋体" w:cs="宋体"/>
          <w:color w:val="auto"/>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供应商认为有必要提供的其他证明材料及情况说明</w:t>
      </w:r>
      <w:r>
        <w:rPr>
          <w:rFonts w:hint="eastAsia" w:ascii="宋体" w:hAnsi="宋体" w:eastAsia="宋体" w:cs="宋体"/>
          <w:color w:val="auto"/>
          <w:sz w:val="24"/>
          <w:szCs w:val="24"/>
          <w:lang w:eastAsia="zh-CN"/>
        </w:rPr>
        <w:t>。</w:t>
      </w:r>
    </w:p>
    <w:p w14:paraId="506638CD">
      <w:pPr>
        <w:kinsoku/>
        <w:wordWrap/>
        <w:overflowPunct/>
        <w:topLinePunct w:val="0"/>
        <w:bidi w:val="0"/>
        <w:outlineLvl w:val="9"/>
        <w:rPr>
          <w:rFonts w:hint="eastAsia"/>
          <w:lang w:val="en-US" w:eastAsia="zh-CN"/>
        </w:rPr>
      </w:pPr>
    </w:p>
    <w:p w14:paraId="09ADCBD5">
      <w:pPr>
        <w:pageBreakBefore w:val="0"/>
        <w:kinsoku/>
        <w:wordWrap/>
        <w:overflowPunct/>
        <w:topLinePunct w:val="0"/>
        <w:bidi w:val="0"/>
        <w:snapToGrid/>
        <w:spacing w:line="480" w:lineRule="exact"/>
        <w:ind w:firstLine="480" w:firstLineChars="200"/>
        <w:outlineLvl w:val="9"/>
        <w:rPr>
          <w:rFonts w:hint="eastAsia" w:ascii="宋体" w:hAnsi="宋体" w:eastAsia="宋体" w:cs="宋体"/>
          <w:color w:val="auto"/>
          <w:sz w:val="24"/>
          <w:szCs w:val="24"/>
          <w:highlight w:val="none"/>
        </w:rPr>
      </w:pPr>
    </w:p>
    <w:p w14:paraId="09C11EFD">
      <w:pPr>
        <w:pageBreakBefore w:val="0"/>
        <w:kinsoku/>
        <w:wordWrap/>
        <w:overflowPunct/>
        <w:topLinePunct w:val="0"/>
        <w:bidi w:val="0"/>
        <w:snapToGrid/>
        <w:spacing w:line="480" w:lineRule="exact"/>
        <w:outlineLvl w:val="9"/>
        <w:rPr>
          <w:rFonts w:hint="eastAsia" w:ascii="宋体" w:hAnsi="宋体" w:eastAsia="宋体" w:cs="宋体"/>
          <w:color w:val="auto"/>
          <w:sz w:val="24"/>
          <w:szCs w:val="24"/>
          <w:highlight w:val="none"/>
        </w:rPr>
      </w:pPr>
    </w:p>
    <w:p w14:paraId="29CE64E5">
      <w:pPr>
        <w:kinsoku/>
        <w:wordWrap/>
        <w:overflowPunct/>
        <w:topLinePunct w:val="0"/>
        <w:bidi w:val="0"/>
        <w:spacing w:line="360" w:lineRule="auto"/>
        <w:ind w:firstLine="560" w:firstLineChars="200"/>
        <w:outlineLvl w:val="9"/>
        <w:rPr>
          <w:rFonts w:hint="eastAsia" w:ascii="宋体" w:hAnsi="宋体" w:eastAsia="宋体" w:cs="宋体"/>
          <w:color w:val="auto"/>
          <w:highlight w:val="none"/>
          <w:lang w:eastAsia="zh-CN"/>
        </w:rPr>
      </w:pPr>
    </w:p>
    <w:p w14:paraId="6375C7DD">
      <w:pPr>
        <w:kinsoku/>
        <w:wordWrap/>
        <w:overflowPunct/>
        <w:topLinePunct w:val="0"/>
        <w:bidi w:val="0"/>
        <w:outlineLvl w:val="9"/>
        <w:rPr>
          <w:rFonts w:hint="eastAsia" w:ascii="宋体" w:hAnsi="宋体" w:eastAsia="宋体" w:cs="宋体"/>
          <w:b/>
          <w:bCs/>
          <w:color w:val="auto"/>
          <w:sz w:val="32"/>
          <w:szCs w:val="32"/>
          <w:highlight w:val="none"/>
        </w:rPr>
      </w:pPr>
      <w:bookmarkStart w:id="325" w:name="_Toc19543360"/>
      <w:r>
        <w:rPr>
          <w:rFonts w:hint="eastAsia" w:ascii="宋体" w:hAnsi="宋体" w:eastAsia="宋体" w:cs="宋体"/>
          <w:b/>
          <w:bCs/>
          <w:color w:val="auto"/>
          <w:sz w:val="32"/>
          <w:szCs w:val="32"/>
          <w:highlight w:val="none"/>
        </w:rPr>
        <w:br w:type="page"/>
      </w:r>
    </w:p>
    <w:p w14:paraId="79852564">
      <w:pPr>
        <w:keepNext/>
        <w:keepLines/>
        <w:pageBreakBefore w:val="0"/>
        <w:widowControl/>
        <w:kinsoku/>
        <w:wordWrap/>
        <w:overflowPunct/>
        <w:topLinePunct w:val="0"/>
        <w:autoSpaceDE/>
        <w:autoSpaceDN/>
        <w:bidi w:val="0"/>
        <w:adjustRightInd/>
        <w:snapToGrid/>
        <w:spacing w:after="196" w:afterLines="50" w:line="240" w:lineRule="auto"/>
        <w:ind w:firstLine="482" w:firstLineChars="150"/>
        <w:jc w:val="center"/>
        <w:textAlignment w:val="auto"/>
        <w:outlineLvl w:val="9"/>
        <w:rPr>
          <w:rFonts w:hint="eastAsia" w:ascii="宋体" w:hAnsi="宋体" w:eastAsia="宋体" w:cs="宋体"/>
          <w:b/>
          <w:bCs/>
          <w:color w:val="auto"/>
          <w:kern w:val="2"/>
          <w:sz w:val="32"/>
          <w:szCs w:val="32"/>
          <w:highlight w:val="none"/>
          <w:lang w:val="en-US" w:eastAsia="zh-CN" w:bidi="ar-SA"/>
        </w:rPr>
      </w:pPr>
      <w:bookmarkStart w:id="326" w:name="_Toc27089"/>
      <w:bookmarkStart w:id="327" w:name="_Toc18935"/>
      <w:bookmarkStart w:id="328" w:name="_Toc32441"/>
      <w:bookmarkStart w:id="329" w:name="_Toc4268"/>
      <w:r>
        <w:rPr>
          <w:rFonts w:hint="eastAsia" w:ascii="宋体" w:hAnsi="宋体" w:eastAsia="宋体" w:cs="宋体"/>
          <w:b/>
          <w:bCs/>
          <w:color w:val="auto"/>
          <w:kern w:val="2"/>
          <w:sz w:val="32"/>
          <w:szCs w:val="32"/>
          <w:highlight w:val="none"/>
          <w:lang w:val="en-US" w:eastAsia="zh-CN" w:bidi="ar-SA"/>
        </w:rPr>
        <w:t>投标人情况表</w:t>
      </w:r>
      <w:bookmarkEnd w:id="326"/>
      <w:bookmarkEnd w:id="327"/>
      <w:bookmarkEnd w:id="328"/>
      <w:bookmarkEnd w:id="329"/>
    </w:p>
    <w:p w14:paraId="56E0B9C0">
      <w:pPr>
        <w:kinsoku/>
        <w:wordWrap/>
        <w:overflowPunct/>
        <w:topLinePunct w:val="0"/>
        <w:autoSpaceDE w:val="0"/>
        <w:autoSpaceDN w:val="0"/>
        <w:bidi w:val="0"/>
        <w:adjustRightInd w:val="0"/>
        <w:spacing w:line="360" w:lineRule="exact"/>
        <w:textAlignment w:val="baseline"/>
        <w:outlineLvl w:val="9"/>
        <w:rPr>
          <w:rFonts w:hint="eastAsia" w:ascii="宋体" w:hAnsi="宋体" w:eastAsia="宋体" w:cs="宋体"/>
          <w:b/>
          <w:bCs/>
          <w:color w:val="auto"/>
          <w:kern w:val="20"/>
          <w:sz w:val="24"/>
          <w:szCs w:val="24"/>
          <w:highlight w:val="none"/>
        </w:rPr>
      </w:pPr>
    </w:p>
    <w:tbl>
      <w:tblPr>
        <w:tblStyle w:val="42"/>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3EEB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jc w:val="center"/>
        </w:trPr>
        <w:tc>
          <w:tcPr>
            <w:tcW w:w="791" w:type="dxa"/>
            <w:tcMar>
              <w:top w:w="15" w:type="dxa"/>
              <w:left w:w="15" w:type="dxa"/>
              <w:bottom w:w="0" w:type="dxa"/>
              <w:right w:w="15" w:type="dxa"/>
            </w:tcMar>
            <w:vAlign w:val="center"/>
          </w:tcPr>
          <w:p w14:paraId="7C65EAC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762" w:type="dxa"/>
            <w:tcMar>
              <w:top w:w="15" w:type="dxa"/>
              <w:left w:w="15" w:type="dxa"/>
              <w:bottom w:w="0" w:type="dxa"/>
              <w:right w:w="15" w:type="dxa"/>
            </w:tcMar>
            <w:vAlign w:val="center"/>
          </w:tcPr>
          <w:p w14:paraId="59249A2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姓  名</w:t>
            </w:r>
          </w:p>
        </w:tc>
        <w:tc>
          <w:tcPr>
            <w:tcW w:w="809" w:type="dxa"/>
            <w:tcMar>
              <w:top w:w="15" w:type="dxa"/>
              <w:left w:w="15" w:type="dxa"/>
              <w:bottom w:w="0" w:type="dxa"/>
              <w:right w:w="15" w:type="dxa"/>
            </w:tcMar>
            <w:vAlign w:val="center"/>
          </w:tcPr>
          <w:p w14:paraId="7516A37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性别</w:t>
            </w:r>
          </w:p>
        </w:tc>
        <w:tc>
          <w:tcPr>
            <w:tcW w:w="809" w:type="dxa"/>
            <w:tcMar>
              <w:top w:w="15" w:type="dxa"/>
              <w:left w:w="15" w:type="dxa"/>
              <w:bottom w:w="0" w:type="dxa"/>
              <w:right w:w="15" w:type="dxa"/>
            </w:tcMar>
            <w:vAlign w:val="center"/>
          </w:tcPr>
          <w:p w14:paraId="26F24E7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年龄</w:t>
            </w:r>
          </w:p>
        </w:tc>
        <w:tc>
          <w:tcPr>
            <w:tcW w:w="809" w:type="dxa"/>
            <w:tcMar>
              <w:top w:w="15" w:type="dxa"/>
              <w:left w:w="15" w:type="dxa"/>
              <w:bottom w:w="0" w:type="dxa"/>
              <w:right w:w="15" w:type="dxa"/>
            </w:tcMar>
            <w:vAlign w:val="center"/>
          </w:tcPr>
          <w:p w14:paraId="306EAC0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学历</w:t>
            </w:r>
          </w:p>
        </w:tc>
        <w:tc>
          <w:tcPr>
            <w:tcW w:w="1062" w:type="dxa"/>
            <w:tcMar>
              <w:top w:w="15" w:type="dxa"/>
              <w:left w:w="15" w:type="dxa"/>
              <w:bottom w:w="0" w:type="dxa"/>
              <w:right w:w="15" w:type="dxa"/>
            </w:tcMar>
            <w:vAlign w:val="center"/>
          </w:tcPr>
          <w:p w14:paraId="2D49C70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工作</w:t>
            </w:r>
          </w:p>
          <w:p w14:paraId="02A1EE8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年限</w:t>
            </w:r>
          </w:p>
        </w:tc>
        <w:tc>
          <w:tcPr>
            <w:tcW w:w="2667" w:type="dxa"/>
            <w:tcMar>
              <w:top w:w="15" w:type="dxa"/>
              <w:left w:w="15" w:type="dxa"/>
              <w:bottom w:w="0" w:type="dxa"/>
              <w:right w:w="15" w:type="dxa"/>
            </w:tcMar>
            <w:vAlign w:val="center"/>
          </w:tcPr>
          <w:p w14:paraId="5BEDB22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拟担任的职务</w:t>
            </w:r>
          </w:p>
        </w:tc>
        <w:tc>
          <w:tcPr>
            <w:tcW w:w="966" w:type="dxa"/>
            <w:tcMar>
              <w:top w:w="15" w:type="dxa"/>
              <w:left w:w="15" w:type="dxa"/>
              <w:bottom w:w="0" w:type="dxa"/>
              <w:right w:w="15" w:type="dxa"/>
            </w:tcMar>
            <w:vAlign w:val="center"/>
          </w:tcPr>
          <w:p w14:paraId="278FE41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岗位</w:t>
            </w:r>
          </w:p>
          <w:p w14:paraId="2133C8A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jc w:val="center"/>
              <w:outlineLvl w:val="9"/>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情况</w:t>
            </w:r>
          </w:p>
        </w:tc>
      </w:tr>
      <w:tr w14:paraId="436B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42EDD17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2C91F4E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988B1A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41DFF81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2D1F266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2574EE1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5CD8CB9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6DE57C65">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4084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39E4C0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152136B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5CCD17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695842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29DB6AB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11BA965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4281AE6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4B85153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16781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72A528D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5823F7A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6BB0D0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1D152E7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33F8BF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45B6BFB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64A7375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23EEF1E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3002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F8D20E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619E95BC">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332901B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825DE2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22E825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7F29973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7319344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55F64A7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38D4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E57F76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569B040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14332EAC">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1CF0AC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21F4F8A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1C9F74A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16CF448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4FA7874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417CA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1B7EA9B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361EE2AC">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98D9EC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527CDC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F3ACAC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58FF22F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29B223E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1ECC9BB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6649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FDE6EA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119DB21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ED4CD1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FAEE5F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840EEC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1ACE35C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1D478B3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3F62D98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6D6E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1CC66B5">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74631F9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4E30682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A8FE4B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312DB40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36D1E56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72C3DCE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52C8219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404E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3E0D074C">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487ACBB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FB1E01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2D27985">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A9A1D20">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60A2312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77331BB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45FF7F5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56FE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36580A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532EF64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4E807E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A7625C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FF5AC5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0CCE676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0398F24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789EDF3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3581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94BBA8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4D38601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7C1B43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40EED13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D92F5A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09C0F74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2A93484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7665ACF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7C54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70027D5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3599CEB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10A188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40B2403E">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6BB137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34A0A1D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77CEECE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01F265A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1194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B70990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6378AB45">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6A5795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1C5AF9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522B3D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39E0EE7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7F9D074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3C93F8F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5FFC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12A629F">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6542EFE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99F974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C902BF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0338BA0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06D5C77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118693F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1EC9745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6D5C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40E6332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7342517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012206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30F53B4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39408242">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69F22FF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3138F16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392DE89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25166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A1BCDD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104893C7">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4055369B">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2EDE3648">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778C96A6">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3B34F5D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16BAA4C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568EE329">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r w14:paraId="7C57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jc w:val="center"/>
        </w:trPr>
        <w:tc>
          <w:tcPr>
            <w:tcW w:w="791" w:type="dxa"/>
            <w:tcMar>
              <w:top w:w="15" w:type="dxa"/>
              <w:left w:w="15" w:type="dxa"/>
              <w:bottom w:w="0" w:type="dxa"/>
              <w:right w:w="15" w:type="dxa"/>
            </w:tcMar>
            <w:vAlign w:val="bottom"/>
          </w:tcPr>
          <w:p w14:paraId="49C78473">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762" w:type="dxa"/>
            <w:tcMar>
              <w:top w:w="15" w:type="dxa"/>
              <w:left w:w="15" w:type="dxa"/>
              <w:bottom w:w="0" w:type="dxa"/>
              <w:right w:w="15" w:type="dxa"/>
            </w:tcMar>
            <w:vAlign w:val="bottom"/>
          </w:tcPr>
          <w:p w14:paraId="4B3D4E0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3BF2831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6D985D41">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809" w:type="dxa"/>
            <w:tcMar>
              <w:top w:w="15" w:type="dxa"/>
              <w:left w:w="15" w:type="dxa"/>
              <w:bottom w:w="0" w:type="dxa"/>
              <w:right w:w="15" w:type="dxa"/>
            </w:tcMar>
            <w:vAlign w:val="bottom"/>
          </w:tcPr>
          <w:p w14:paraId="530DC44D">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1062" w:type="dxa"/>
            <w:tcMar>
              <w:top w:w="15" w:type="dxa"/>
              <w:left w:w="15" w:type="dxa"/>
              <w:bottom w:w="0" w:type="dxa"/>
              <w:right w:w="15" w:type="dxa"/>
            </w:tcMar>
            <w:vAlign w:val="bottom"/>
          </w:tcPr>
          <w:p w14:paraId="4D2CFCF4">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2667" w:type="dxa"/>
            <w:tcMar>
              <w:top w:w="15" w:type="dxa"/>
              <w:left w:w="15" w:type="dxa"/>
              <w:bottom w:w="0" w:type="dxa"/>
              <w:right w:w="15" w:type="dxa"/>
            </w:tcMar>
            <w:vAlign w:val="bottom"/>
          </w:tcPr>
          <w:p w14:paraId="29BE9A7C">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c>
          <w:tcPr>
            <w:tcW w:w="966" w:type="dxa"/>
            <w:tcMar>
              <w:top w:w="15" w:type="dxa"/>
              <w:left w:w="15" w:type="dxa"/>
              <w:bottom w:w="0" w:type="dxa"/>
              <w:right w:w="15" w:type="dxa"/>
            </w:tcMar>
            <w:vAlign w:val="bottom"/>
          </w:tcPr>
          <w:p w14:paraId="166B611A">
            <w:pPr>
              <w:keepNext w:val="0"/>
              <w:keepLines w:val="0"/>
              <w:widowControl/>
              <w:suppressLineNumbers w:val="0"/>
              <w:kinsoku/>
              <w:wordWrap/>
              <w:overflowPunct/>
              <w:topLinePunct w:val="0"/>
              <w:bidi w:val="0"/>
              <w:adjustRightInd w:val="0"/>
              <w:snapToGrid w:val="0"/>
              <w:spacing w:before="0" w:beforeAutospacing="0" w:after="0" w:afterAutospacing="0" w:line="400" w:lineRule="exact"/>
              <w:ind w:left="0" w:right="0" w:firstLine="480" w:firstLineChars="200"/>
              <w:outlineLvl w:val="9"/>
              <w:rPr>
                <w:rFonts w:hint="eastAsia" w:ascii="宋体" w:hAnsi="宋体" w:eastAsia="宋体" w:cs="宋体"/>
                <w:color w:val="auto"/>
                <w:kern w:val="0"/>
                <w:sz w:val="24"/>
                <w:highlight w:val="none"/>
              </w:rPr>
            </w:pPr>
          </w:p>
        </w:tc>
      </w:tr>
    </w:tbl>
    <w:p w14:paraId="6D8A2697">
      <w:pPr>
        <w:kinsoku/>
        <w:wordWrap/>
        <w:overflowPunct/>
        <w:topLinePunct w:val="0"/>
        <w:bidi w:val="0"/>
        <w:outlineLvl w:val="9"/>
        <w:rPr>
          <w:rFonts w:hint="eastAsia" w:ascii="宋体" w:hAnsi="宋体" w:eastAsia="宋体" w:cs="宋体"/>
          <w:color w:val="auto"/>
          <w:szCs w:val="22"/>
          <w:highlight w:val="none"/>
        </w:rPr>
      </w:pPr>
    </w:p>
    <w:p w14:paraId="7B4EDBE6">
      <w:pPr>
        <w:kinsoku/>
        <w:wordWrap/>
        <w:overflowPunct/>
        <w:topLinePunct w:val="0"/>
        <w:bidi w:val="0"/>
        <w:adjustRightInd w:val="0"/>
        <w:snapToGrid w:val="0"/>
        <w:spacing w:line="480" w:lineRule="auto"/>
        <w:jc w:val="left"/>
        <w:outlineLvl w:val="9"/>
        <w:rPr>
          <w:rFonts w:hint="eastAsia" w:ascii="宋体" w:hAnsi="宋体" w:eastAsia="宋体" w:cs="宋体"/>
          <w:color w:val="auto"/>
          <w:sz w:val="24"/>
          <w:szCs w:val="24"/>
          <w:highlight w:val="none"/>
          <w:u w:val="single"/>
        </w:rPr>
      </w:pPr>
      <w:bookmarkStart w:id="330" w:name="_Hlt491766019"/>
      <w:bookmarkEnd w:id="330"/>
      <w:bookmarkStart w:id="331" w:name="_Hlt491573425"/>
      <w:bookmarkEnd w:id="331"/>
      <w:bookmarkStart w:id="332" w:name="_Hlt491572882"/>
      <w:bookmarkEnd w:id="332"/>
      <w:bookmarkStart w:id="333" w:name="_Hlt491765868"/>
      <w:bookmarkEnd w:id="333"/>
      <w:bookmarkStart w:id="334" w:name="_Hlt491765944"/>
      <w:bookmarkEnd w:id="334"/>
      <w:r>
        <w:rPr>
          <w:rFonts w:hint="eastAsia" w:ascii="宋体" w:hAnsi="宋体" w:eastAsia="宋体" w:cs="宋体"/>
          <w:color w:val="auto"/>
          <w:sz w:val="24"/>
          <w:szCs w:val="24"/>
          <w:highlight w:val="none"/>
        </w:rPr>
        <w:t>供应商（单位名称及公章）：_____________________</w:t>
      </w:r>
      <w:r>
        <w:rPr>
          <w:rFonts w:hint="eastAsia" w:ascii="宋体" w:hAnsi="宋体" w:eastAsia="宋体" w:cs="宋体"/>
          <w:color w:val="auto"/>
          <w:sz w:val="24"/>
          <w:szCs w:val="24"/>
          <w:highlight w:val="none"/>
          <w:lang w:val="en-US" w:eastAsia="zh-CN"/>
        </w:rPr>
        <w:t xml:space="preserve">    </w:t>
      </w:r>
    </w:p>
    <w:p w14:paraId="6A6A2944">
      <w:pPr>
        <w:kinsoku/>
        <w:wordWrap/>
        <w:overflowPunct/>
        <w:topLinePunct w:val="0"/>
        <w:bidi w:val="0"/>
        <w:adjustRightInd w:val="0"/>
        <w:snapToGrid w:val="0"/>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被授权人（签字）：____________________________</w:t>
      </w:r>
    </w:p>
    <w:p w14:paraId="08E6F826">
      <w:pPr>
        <w:kinsoku/>
        <w:wordWrap/>
        <w:overflowPunct/>
        <w:topLinePunct w:val="0"/>
        <w:bidi w:val="0"/>
        <w:adjustRightInd w:val="0"/>
        <w:snapToGrid w:val="0"/>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期：_______年_______月_______日</w:t>
      </w:r>
    </w:p>
    <w:p w14:paraId="454C5B94">
      <w:pPr>
        <w:kinsoku/>
        <w:wordWrap/>
        <w:overflowPunct/>
        <w:topLinePunct w:val="0"/>
        <w:bidi w:val="0"/>
        <w:outlineLvl w:val="9"/>
        <w:rPr>
          <w:rFonts w:hint="eastAsia" w:ascii="宋体" w:hAnsi="宋体" w:eastAsia="宋体" w:cs="宋体"/>
          <w:color w:val="auto"/>
          <w:sz w:val="24"/>
          <w:szCs w:val="24"/>
          <w:highlight w:val="none"/>
        </w:rPr>
      </w:pPr>
    </w:p>
    <w:p w14:paraId="4638824D">
      <w:pPr>
        <w:kinsoku/>
        <w:wordWrap/>
        <w:overflowPunct/>
        <w:topLinePunct w:val="0"/>
        <w:bidi w:val="0"/>
        <w:spacing w:line="360" w:lineRule="auto"/>
        <w:ind w:firstLine="420" w:firstLineChars="17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837318E">
      <w:pPr>
        <w:kinsoku/>
        <w:wordWrap/>
        <w:overflowPunct/>
        <w:topLinePunct w:val="0"/>
        <w:bidi w:val="0"/>
        <w:spacing w:line="360" w:lineRule="auto"/>
        <w:outlineLvl w:val="9"/>
        <w:rPr>
          <w:rFonts w:hint="eastAsia" w:ascii="宋体" w:hAnsi="宋体" w:eastAsia="宋体" w:cs="宋体"/>
          <w:b/>
          <w:bCs/>
          <w:color w:val="auto"/>
          <w:kern w:val="20"/>
          <w:sz w:val="24"/>
          <w:szCs w:val="24"/>
          <w:highlight w:val="none"/>
        </w:rPr>
      </w:pPr>
      <w:r>
        <w:rPr>
          <w:rFonts w:hint="eastAsia" w:ascii="宋体" w:hAnsi="宋体" w:eastAsia="宋体" w:cs="宋体"/>
          <w:color w:val="auto"/>
          <w:sz w:val="24"/>
          <w:szCs w:val="24"/>
          <w:highlight w:val="none"/>
        </w:rPr>
        <w:t xml:space="preserve">   </w:t>
      </w:r>
      <w:bookmarkStart w:id="335" w:name="_Toc341541376"/>
      <w:bookmarkStart w:id="336" w:name="_Toc225412374"/>
      <w:bookmarkStart w:id="337" w:name="_Toc225410182"/>
      <w:bookmarkStart w:id="338" w:name="_Toc225409966"/>
      <w:bookmarkStart w:id="339" w:name="_Toc426457711"/>
      <w:bookmarkStart w:id="340" w:name="_Toc14010"/>
      <w:bookmarkStart w:id="341" w:name="_Toc225412172"/>
      <w:bookmarkStart w:id="342" w:name="_Toc225567482"/>
      <w:bookmarkStart w:id="343" w:name="_Toc225566702"/>
      <w:bookmarkStart w:id="344" w:name="_Toc484890091"/>
      <w:bookmarkStart w:id="345" w:name="_Toc225566883"/>
      <w:bookmarkStart w:id="346" w:name="_Toc396304715"/>
      <w:bookmarkStart w:id="347" w:name="_Toc4548"/>
      <w:bookmarkStart w:id="348" w:name="_Toc225415861"/>
      <w:bookmarkStart w:id="349" w:name="_Toc26060"/>
      <w:bookmarkStart w:id="350" w:name="_Toc528240836"/>
      <w:bookmarkStart w:id="351" w:name="_Toc403077653"/>
      <w:bookmarkStart w:id="352" w:name="_Toc225410808"/>
      <w:bookmarkStart w:id="353" w:name="_Toc225415660"/>
      <w:bookmarkStart w:id="354" w:name="_Toc225416062"/>
      <w:bookmarkStart w:id="355" w:name="_Toc16685"/>
      <w:bookmarkStart w:id="356" w:name="_Toc15882"/>
    </w:p>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14:paraId="2C81476E">
      <w:pPr>
        <w:keepNext/>
        <w:keepLines/>
        <w:pageBreakBefore w:val="0"/>
        <w:widowControl/>
        <w:kinsoku/>
        <w:wordWrap/>
        <w:overflowPunct/>
        <w:topLinePunct w:val="0"/>
        <w:autoSpaceDE/>
        <w:autoSpaceDN/>
        <w:bidi w:val="0"/>
        <w:adjustRightInd/>
        <w:snapToGrid/>
        <w:spacing w:after="196" w:afterLines="50" w:line="240" w:lineRule="auto"/>
        <w:ind w:firstLine="482" w:firstLineChars="150"/>
        <w:jc w:val="center"/>
        <w:textAlignment w:val="auto"/>
        <w:outlineLvl w:val="9"/>
        <w:rPr>
          <w:rFonts w:hint="eastAsia" w:ascii="宋体" w:hAnsi="宋体" w:eastAsia="宋体" w:cs="宋体"/>
          <w:b/>
          <w:bCs/>
          <w:color w:val="auto"/>
          <w:kern w:val="2"/>
          <w:sz w:val="32"/>
          <w:szCs w:val="32"/>
          <w:highlight w:val="none"/>
          <w:lang w:val="en-US" w:eastAsia="zh-CN" w:bidi="ar-SA"/>
        </w:rPr>
      </w:pPr>
      <w:bookmarkStart w:id="357" w:name="_Toc7491"/>
      <w:bookmarkStart w:id="358" w:name="_Toc7454"/>
      <w:bookmarkStart w:id="359" w:name="_Toc24387"/>
      <w:bookmarkStart w:id="360" w:name="_Toc15989"/>
      <w:r>
        <w:rPr>
          <w:rFonts w:hint="eastAsia" w:ascii="宋体" w:hAnsi="宋体" w:eastAsia="宋体" w:cs="宋体"/>
          <w:b/>
          <w:bCs/>
          <w:color w:val="auto"/>
          <w:kern w:val="2"/>
          <w:sz w:val="32"/>
          <w:szCs w:val="32"/>
          <w:highlight w:val="none"/>
          <w:lang w:val="en-US" w:eastAsia="zh-CN" w:bidi="ar-SA"/>
        </w:rPr>
        <w:t>业绩</w:t>
      </w:r>
      <w:bookmarkEnd w:id="325"/>
      <w:bookmarkEnd w:id="357"/>
      <w:bookmarkEnd w:id="358"/>
      <w:bookmarkEnd w:id="359"/>
      <w:bookmarkEnd w:id="360"/>
    </w:p>
    <w:tbl>
      <w:tblPr>
        <w:tblStyle w:val="42"/>
        <w:tblW w:w="92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E89D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0D60FF0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414" w:type="dxa"/>
            <w:vAlign w:val="center"/>
          </w:tcPr>
          <w:p w14:paraId="22D9182E">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2364" w:type="dxa"/>
            <w:vAlign w:val="center"/>
          </w:tcPr>
          <w:p w14:paraId="26D0B45D">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项目内容</w:t>
            </w:r>
          </w:p>
        </w:tc>
        <w:tc>
          <w:tcPr>
            <w:tcW w:w="2409" w:type="dxa"/>
            <w:vAlign w:val="center"/>
          </w:tcPr>
          <w:p w14:paraId="2CA5C8A0">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合同金额</w:t>
            </w:r>
          </w:p>
        </w:tc>
        <w:tc>
          <w:tcPr>
            <w:tcW w:w="2409" w:type="dxa"/>
            <w:vAlign w:val="center"/>
          </w:tcPr>
          <w:p w14:paraId="28DE6BE6">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采购单位</w:t>
            </w:r>
          </w:p>
        </w:tc>
      </w:tr>
      <w:tr w14:paraId="5A387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24DFE55F">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14" w:type="dxa"/>
            <w:vAlign w:val="center"/>
          </w:tcPr>
          <w:p w14:paraId="7251EA86">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6F6FE686">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14929222">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47E1D44E">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202EE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0BE6E6B1">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14" w:type="dxa"/>
            <w:vAlign w:val="center"/>
          </w:tcPr>
          <w:p w14:paraId="718E315A">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1B7AB9FF">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2D34D67F">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38CD2110">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359AB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06AE053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14" w:type="dxa"/>
            <w:vAlign w:val="center"/>
          </w:tcPr>
          <w:p w14:paraId="1932FC46">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4265928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6A817750">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023BB502">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4D393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6CBBC5BC">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14" w:type="dxa"/>
            <w:vAlign w:val="center"/>
          </w:tcPr>
          <w:p w14:paraId="6DB20ED3">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3F118C5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6E823B9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3563BA91">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676F5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70A09D4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14" w:type="dxa"/>
            <w:vAlign w:val="center"/>
          </w:tcPr>
          <w:p w14:paraId="3331CF24">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2577018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35B170C3">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1D420B1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2AAF0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2E12CFDC">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14" w:type="dxa"/>
            <w:vAlign w:val="center"/>
          </w:tcPr>
          <w:p w14:paraId="31CBA79E">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274990E6">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1C8A06B3">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5EFABE5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2289C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052035E2">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1414" w:type="dxa"/>
            <w:vAlign w:val="center"/>
          </w:tcPr>
          <w:p w14:paraId="4665E877">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6BE13992">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618CA3D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5AE2EC1F">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1CAAC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3DCD7388">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1414" w:type="dxa"/>
            <w:vAlign w:val="center"/>
          </w:tcPr>
          <w:p w14:paraId="6DA17E79">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34F8AF14">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33E25601">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5E9F47F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2D638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65709334">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1414" w:type="dxa"/>
            <w:vAlign w:val="center"/>
          </w:tcPr>
          <w:p w14:paraId="1B5665A0">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6BD854D5">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55B58ED4">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683D5C19">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r w14:paraId="49E42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3" w:hRule="atLeast"/>
          <w:jc w:val="center"/>
        </w:trPr>
        <w:tc>
          <w:tcPr>
            <w:tcW w:w="609" w:type="dxa"/>
            <w:vAlign w:val="center"/>
          </w:tcPr>
          <w:p w14:paraId="158CC6A1">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120" w:right="0"/>
              <w:jc w:val="center"/>
              <w:textAlignment w:val="auto"/>
              <w:outlineLvl w:val="9"/>
              <w:rPr>
                <w:rFonts w:hint="eastAsia" w:ascii="宋体" w:hAnsi="宋体" w:eastAsia="宋体" w:cs="宋体"/>
                <w:color w:val="auto"/>
                <w:sz w:val="24"/>
                <w:szCs w:val="24"/>
                <w:highlight w:val="none"/>
              </w:rPr>
            </w:pPr>
          </w:p>
        </w:tc>
        <w:tc>
          <w:tcPr>
            <w:tcW w:w="1414" w:type="dxa"/>
            <w:vAlign w:val="center"/>
          </w:tcPr>
          <w:p w14:paraId="514D999B">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364" w:type="dxa"/>
            <w:vAlign w:val="center"/>
          </w:tcPr>
          <w:p w14:paraId="7CA2A567">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7C639173">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c>
          <w:tcPr>
            <w:tcW w:w="2409" w:type="dxa"/>
          </w:tcPr>
          <w:p w14:paraId="5F537A4F">
            <w:pPr>
              <w:keepNext w:val="0"/>
              <w:keepLines w:val="0"/>
              <w:pageBreakBefore w:val="0"/>
              <w:widowControl/>
              <w:suppressLineNumbers w:val="0"/>
              <w:kinsoku/>
              <w:wordWrap/>
              <w:overflowPunct/>
              <w:topLinePunct w:val="0"/>
              <w:autoSpaceDE/>
              <w:autoSpaceDN/>
              <w:bidi w:val="0"/>
              <w:spacing w:before="0" w:beforeAutospacing="0" w:after="196" w:afterLines="50" w:afterAutospacing="0" w:line="240" w:lineRule="auto"/>
              <w:ind w:left="0" w:right="0"/>
              <w:jc w:val="center"/>
              <w:textAlignment w:val="auto"/>
              <w:outlineLvl w:val="9"/>
              <w:rPr>
                <w:rFonts w:hint="eastAsia" w:ascii="宋体" w:hAnsi="宋体" w:eastAsia="宋体" w:cs="宋体"/>
                <w:color w:val="auto"/>
                <w:sz w:val="24"/>
                <w:szCs w:val="24"/>
                <w:highlight w:val="none"/>
              </w:rPr>
            </w:pPr>
          </w:p>
        </w:tc>
      </w:tr>
    </w:tbl>
    <w:p w14:paraId="64088605">
      <w:pPr>
        <w:pageBreakBefore w:val="0"/>
        <w:tabs>
          <w:tab w:val="left" w:pos="8782"/>
        </w:tabs>
        <w:kinsoku/>
        <w:wordWrap/>
        <w:overflowPunct/>
        <w:topLinePunct w:val="0"/>
        <w:autoSpaceDE/>
        <w:autoSpaceDN/>
        <w:bidi w:val="0"/>
        <w:snapToGrid w:val="0"/>
        <w:spacing w:after="196" w:afterLines="50" w:line="240" w:lineRule="auto"/>
        <w:ind w:firstLine="480" w:firstLineChars="200"/>
        <w:textAlignment w:val="auto"/>
        <w:outlineLvl w:val="9"/>
        <w:rPr>
          <w:rFonts w:hint="eastAsia" w:ascii="宋体" w:hAnsi="宋体" w:eastAsia="宋体" w:cs="宋体"/>
          <w:color w:val="auto"/>
          <w:sz w:val="24"/>
          <w:szCs w:val="24"/>
          <w:highlight w:val="none"/>
        </w:rPr>
      </w:pPr>
    </w:p>
    <w:p w14:paraId="6E47B75B">
      <w:pPr>
        <w:pageBreakBefore w:val="0"/>
        <w:tabs>
          <w:tab w:val="left" w:pos="8782"/>
        </w:tabs>
        <w:kinsoku/>
        <w:wordWrap/>
        <w:overflowPunct/>
        <w:topLinePunct w:val="0"/>
        <w:autoSpaceDE/>
        <w:autoSpaceDN/>
        <w:bidi w:val="0"/>
        <w:snapToGrid w:val="0"/>
        <w:spacing w:after="196" w:afterLines="50"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注：1.投标人应如实列出以上情况，如有隐瞒，一经查实将导致其报价申请被拒绝。</w:t>
      </w:r>
    </w:p>
    <w:p w14:paraId="37C64F4C">
      <w:pPr>
        <w:pageBreakBefore w:val="0"/>
        <w:tabs>
          <w:tab w:val="left" w:pos="8782"/>
        </w:tabs>
        <w:kinsoku/>
        <w:wordWrap/>
        <w:overflowPunct/>
        <w:topLinePunct w:val="0"/>
        <w:autoSpaceDE/>
        <w:autoSpaceDN/>
        <w:bidi w:val="0"/>
        <w:snapToGrid w:val="0"/>
        <w:spacing w:after="196" w:afterLines="50" w:line="240" w:lineRule="auto"/>
        <w:ind w:firstLine="960" w:firstLineChars="4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2.投标人应提供双方签订的合同（合同复印件加盖公章装订在投标文件中）。 </w:t>
      </w:r>
    </w:p>
    <w:p w14:paraId="54BB5C0E">
      <w:pPr>
        <w:pStyle w:val="23"/>
        <w:pageBreakBefore w:val="0"/>
        <w:kinsoku/>
        <w:wordWrap/>
        <w:overflowPunct/>
        <w:topLinePunct w:val="0"/>
        <w:autoSpaceDE/>
        <w:autoSpaceDN/>
        <w:bidi w:val="0"/>
        <w:spacing w:after="196" w:afterLines="50" w:line="240" w:lineRule="auto"/>
        <w:textAlignment w:val="auto"/>
        <w:outlineLvl w:val="9"/>
        <w:rPr>
          <w:rFonts w:hint="eastAsia" w:ascii="宋体" w:hAnsi="宋体" w:eastAsia="宋体" w:cs="宋体"/>
          <w:color w:val="auto"/>
          <w:highlight w:val="none"/>
        </w:rPr>
      </w:pPr>
    </w:p>
    <w:p w14:paraId="15EC902B">
      <w:pPr>
        <w:pageBreakBefore w:val="0"/>
        <w:kinsoku/>
        <w:wordWrap/>
        <w:overflowPunct/>
        <w:topLinePunct w:val="0"/>
        <w:autoSpaceDE/>
        <w:autoSpaceDN/>
        <w:bidi w:val="0"/>
        <w:adjustRightInd w:val="0"/>
        <w:snapToGrid w:val="0"/>
        <w:spacing w:after="196" w:afterLines="50" w:line="240" w:lineRule="auto"/>
        <w:ind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w:t>
      </w:r>
    </w:p>
    <w:p w14:paraId="4E313132">
      <w:pPr>
        <w:pageBreakBefore w:val="0"/>
        <w:kinsoku/>
        <w:wordWrap/>
        <w:overflowPunct/>
        <w:topLinePunct w:val="0"/>
        <w:autoSpaceDE/>
        <w:autoSpaceDN/>
        <w:bidi w:val="0"/>
        <w:adjustRightInd w:val="0"/>
        <w:snapToGrid w:val="0"/>
        <w:spacing w:after="196" w:afterLines="50"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被授权人（签字）：____________________</w:t>
      </w:r>
    </w:p>
    <w:p w14:paraId="196E84F5">
      <w:pPr>
        <w:pageBreakBefore w:val="0"/>
        <w:kinsoku/>
        <w:wordWrap/>
        <w:overflowPunct/>
        <w:topLinePunct w:val="0"/>
        <w:autoSpaceDE/>
        <w:autoSpaceDN/>
        <w:bidi w:val="0"/>
        <w:adjustRightInd w:val="0"/>
        <w:snapToGrid w:val="0"/>
        <w:spacing w:after="196" w:afterLines="50" w:line="240" w:lineRule="auto"/>
        <w:ind w:firstLine="48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    期：________年________月________日</w:t>
      </w:r>
    </w:p>
    <w:p w14:paraId="5D3B246D">
      <w:pPr>
        <w:pageBreakBefore w:val="0"/>
        <w:kinsoku/>
        <w:wordWrap/>
        <w:overflowPunct/>
        <w:topLinePunct w:val="0"/>
        <w:autoSpaceDE/>
        <w:autoSpaceDN/>
        <w:bidi w:val="0"/>
        <w:spacing w:after="196" w:afterLines="50" w:line="240" w:lineRule="auto"/>
        <w:jc w:val="center"/>
        <w:textAlignment w:val="auto"/>
        <w:outlineLvl w:val="9"/>
        <w:rPr>
          <w:rFonts w:ascii="宋体" w:hAnsi="宋体" w:eastAsia="宋体" w:cs="宋体"/>
          <w:b w:val="0"/>
          <w:bCs w:val="0"/>
          <w:color w:val="auto"/>
          <w:highlight w:val="none"/>
        </w:rPr>
      </w:pPr>
      <w:r>
        <w:rPr>
          <w:rFonts w:ascii="宋体" w:hAnsi="Arial" w:eastAsia="宋体"/>
          <w:color w:val="auto"/>
          <w:sz w:val="22"/>
          <w:szCs w:val="24"/>
          <w:highlight w:val="none"/>
        </w:rPr>
        <w:br w:type="page"/>
      </w:r>
      <w:bookmarkEnd w:id="288"/>
      <w:bookmarkStart w:id="361" w:name="_Toc15622"/>
      <w:bookmarkStart w:id="362" w:name="_Toc5000"/>
      <w:bookmarkStart w:id="363" w:name="_Toc20234"/>
      <w:bookmarkStart w:id="364" w:name="_Toc23316542"/>
      <w:bookmarkStart w:id="365" w:name="_Toc23316606"/>
      <w:bookmarkStart w:id="366" w:name="_Toc18076"/>
      <w:bookmarkStart w:id="367" w:name="_Toc35335277"/>
      <w:bookmarkStart w:id="368" w:name="_Toc23316704"/>
      <w:bookmarkStart w:id="369" w:name="_Toc23315693"/>
      <w:bookmarkStart w:id="370" w:name="_Toc19683"/>
      <w:r>
        <w:rPr>
          <w:rFonts w:hint="eastAsia" w:ascii="宋体" w:hAnsi="宋体" w:eastAsia="宋体"/>
          <w:b/>
          <w:bCs w:val="0"/>
          <w:color w:val="auto"/>
          <w:highlight w:val="none"/>
          <w:lang w:val="en-US" w:eastAsia="zh-CN"/>
        </w:rPr>
        <w:t>七</w:t>
      </w:r>
      <w:r>
        <w:rPr>
          <w:rFonts w:hint="eastAsia" w:ascii="宋体" w:hAnsi="宋体" w:eastAsia="宋体"/>
          <w:b/>
          <w:bCs w:val="0"/>
          <w:color w:val="auto"/>
          <w:highlight w:val="none"/>
        </w:rPr>
        <w:t>、投标单位拒绝政府采购领域商业贿赂承诺书</w:t>
      </w:r>
      <w:bookmarkEnd w:id="361"/>
      <w:bookmarkEnd w:id="362"/>
      <w:bookmarkEnd w:id="363"/>
      <w:bookmarkEnd w:id="364"/>
      <w:bookmarkEnd w:id="365"/>
      <w:bookmarkEnd w:id="366"/>
      <w:bookmarkEnd w:id="367"/>
      <w:bookmarkEnd w:id="368"/>
      <w:bookmarkEnd w:id="369"/>
      <w:bookmarkEnd w:id="370"/>
    </w:p>
    <w:p w14:paraId="3BF5345E">
      <w:pPr>
        <w:kinsoku/>
        <w:wordWrap/>
        <w:overflowPunct/>
        <w:topLinePunct w:val="0"/>
        <w:bidi w:val="0"/>
        <w:spacing w:line="440" w:lineRule="exact"/>
        <w:ind w:firstLine="482" w:firstLineChars="200"/>
        <w:jc w:val="center"/>
        <w:outlineLvl w:val="9"/>
        <w:rPr>
          <w:rFonts w:hint="eastAsia" w:ascii="宋体" w:hAnsi="宋体" w:eastAsia="宋体" w:cs="仿宋"/>
          <w:b/>
          <w:bCs w:val="0"/>
          <w:color w:val="auto"/>
          <w:kern w:val="0"/>
          <w:sz w:val="24"/>
          <w:szCs w:val="28"/>
          <w:highlight w:val="none"/>
        </w:rPr>
      </w:pPr>
      <w:r>
        <w:rPr>
          <w:rFonts w:hint="eastAsia" w:ascii="宋体" w:hAnsi="宋体" w:eastAsia="宋体" w:cs="仿宋"/>
          <w:b/>
          <w:bCs w:val="0"/>
          <w:color w:val="auto"/>
          <w:kern w:val="0"/>
          <w:sz w:val="24"/>
          <w:szCs w:val="28"/>
          <w:highlight w:val="none"/>
        </w:rPr>
        <w:t>政府采购供应商拒绝政府采购领域商业贿赂承诺书</w:t>
      </w:r>
    </w:p>
    <w:p w14:paraId="3CCABD2A">
      <w:pPr>
        <w:kinsoku/>
        <w:wordWrap/>
        <w:overflowPunct/>
        <w:topLinePunct w:val="0"/>
        <w:bidi w:val="0"/>
        <w:spacing w:line="240" w:lineRule="exact"/>
        <w:ind w:firstLine="420" w:firstLineChars="200"/>
        <w:jc w:val="left"/>
        <w:outlineLvl w:val="9"/>
        <w:rPr>
          <w:rFonts w:ascii="宋体" w:hAnsi="宋体" w:eastAsia="宋体" w:cs="仿宋"/>
          <w:bCs/>
          <w:color w:val="auto"/>
          <w:kern w:val="0"/>
          <w:sz w:val="21"/>
          <w:szCs w:val="21"/>
          <w:highlight w:val="none"/>
        </w:rPr>
      </w:pPr>
    </w:p>
    <w:p w14:paraId="548F3D5E">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 xml:space="preserve">为响应党中央、国务院关于治理政府采购领域商业贿赂行为的号召，我单位在此庄严承诺： </w:t>
      </w:r>
    </w:p>
    <w:p w14:paraId="4D89E2B2">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1</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在参与政府采购活动中遵纪守法、诚信经营、公平竞标。 </w:t>
      </w:r>
    </w:p>
    <w:p w14:paraId="61815DEB">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2</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不向采购人、招标代理机构和政府采购评审专家进行任何形式的商业贿赂以谋取交易机会。 </w:t>
      </w:r>
    </w:p>
    <w:p w14:paraId="1EBE4AEB">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3</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不向政府采购招标代理机构和采购人提供虚假</w:t>
      </w:r>
      <w:r>
        <w:rPr>
          <w:rFonts w:hint="eastAsia" w:ascii="宋体" w:hAnsi="宋体" w:eastAsia="宋体" w:cs="仿宋"/>
          <w:bCs/>
          <w:color w:val="auto"/>
          <w:kern w:val="0"/>
          <w:sz w:val="24"/>
          <w:highlight w:val="none"/>
          <w:lang w:val="en-US" w:eastAsia="zh-CN"/>
        </w:rPr>
        <w:t>资格</w:t>
      </w:r>
      <w:r>
        <w:rPr>
          <w:rFonts w:hint="eastAsia" w:ascii="宋体" w:hAnsi="宋体" w:eastAsia="宋体" w:cs="仿宋"/>
          <w:bCs/>
          <w:color w:val="auto"/>
          <w:kern w:val="0"/>
          <w:sz w:val="24"/>
          <w:highlight w:val="none"/>
        </w:rPr>
        <w:t xml:space="preserve">文件或采用虚假应标方式参与政府采购市场竞争并谋取成交、成交。 </w:t>
      </w:r>
    </w:p>
    <w:p w14:paraId="09296462">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4</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不采取“围标、陪标”等商业欺诈手段获得政府采购定单。 </w:t>
      </w:r>
    </w:p>
    <w:p w14:paraId="2153C8FE">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5</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不采取不正当手段低毁、排挤其他供应商。 </w:t>
      </w:r>
    </w:p>
    <w:p w14:paraId="4428B208">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6</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不在提供商品和服务时“偷梁换柱、以次充好”损害采购人的合法权益。 </w:t>
      </w:r>
    </w:p>
    <w:p w14:paraId="14F17B7F">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7</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不与采购人、招标代理机构政府采购评审专家或其它供应商恶意串通，进行质疑和投诉，维护政府采购市场秩序。 </w:t>
      </w:r>
    </w:p>
    <w:p w14:paraId="3CF2FF0C">
      <w:pPr>
        <w:kinsoku/>
        <w:wordWrap/>
        <w:overflowPunct/>
        <w:topLinePunct w:val="0"/>
        <w:bidi w:val="0"/>
        <w:spacing w:line="440" w:lineRule="exact"/>
        <w:ind w:firstLine="480" w:firstLineChars="200"/>
        <w:outlineLvl w:val="9"/>
        <w:rPr>
          <w:rFonts w:hint="eastAsia" w:ascii="宋体" w:hAnsi="宋体" w:eastAsia="宋体" w:cs="仿宋"/>
          <w:bCs/>
          <w:color w:val="auto"/>
          <w:kern w:val="0"/>
          <w:sz w:val="24"/>
          <w:highlight w:val="none"/>
          <w:lang w:eastAsia="zh-CN"/>
        </w:rPr>
      </w:pPr>
      <w:r>
        <w:rPr>
          <w:rFonts w:hint="eastAsia" w:ascii="宋体" w:hAnsi="宋体" w:eastAsia="宋体" w:cs="仿宋"/>
          <w:bCs/>
          <w:color w:val="auto"/>
          <w:kern w:val="0"/>
          <w:sz w:val="24"/>
          <w:highlight w:val="none"/>
        </w:rPr>
        <w:t>8</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尊重和接受政府采购监督管理部门的监督和政府招标代理机构招标要求，承担因违约行为给采购人造成的损失。 </w:t>
      </w:r>
    </w:p>
    <w:p w14:paraId="47146373">
      <w:pPr>
        <w:kinsoku/>
        <w:wordWrap/>
        <w:overflowPunct/>
        <w:topLinePunct w:val="0"/>
        <w:bidi w:val="0"/>
        <w:spacing w:line="440" w:lineRule="exact"/>
        <w:ind w:firstLine="480" w:firstLineChars="200"/>
        <w:outlineLvl w:val="9"/>
        <w:rPr>
          <w:rFonts w:ascii="宋体" w:hAnsi="宋体" w:eastAsia="宋体" w:cs="仿宋"/>
          <w:bCs/>
          <w:color w:val="auto"/>
          <w:kern w:val="0"/>
          <w:sz w:val="22"/>
          <w:szCs w:val="24"/>
          <w:highlight w:val="none"/>
        </w:rPr>
      </w:pPr>
      <w:r>
        <w:rPr>
          <w:rFonts w:hint="eastAsia" w:ascii="宋体" w:hAnsi="宋体" w:eastAsia="宋体" w:cs="仿宋"/>
          <w:bCs/>
          <w:color w:val="auto"/>
          <w:kern w:val="0"/>
          <w:sz w:val="24"/>
          <w:highlight w:val="none"/>
        </w:rPr>
        <w:t>9</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 xml:space="preserve">不发生其他有悖于政府采购公开、公平、公正和诚信原则的行为。 </w:t>
      </w:r>
    </w:p>
    <w:p w14:paraId="6B785B78">
      <w:pPr>
        <w:kinsoku/>
        <w:wordWrap/>
        <w:overflowPunct/>
        <w:topLinePunct w:val="0"/>
        <w:bidi w:val="0"/>
        <w:spacing w:line="440" w:lineRule="exact"/>
        <w:ind w:firstLine="960" w:firstLineChars="400"/>
        <w:outlineLvl w:val="9"/>
        <w:rPr>
          <w:rFonts w:ascii="宋体" w:hAnsi="宋体" w:eastAsia="宋体" w:cs="仿宋"/>
          <w:bCs/>
          <w:color w:val="auto"/>
          <w:kern w:val="0"/>
          <w:sz w:val="24"/>
          <w:highlight w:val="none"/>
        </w:rPr>
      </w:pPr>
    </w:p>
    <w:p w14:paraId="7CA927C5">
      <w:pPr>
        <w:kinsoku/>
        <w:wordWrap/>
        <w:overflowPunct/>
        <w:topLinePunct w:val="0"/>
        <w:bidi w:val="0"/>
        <w:spacing w:line="440" w:lineRule="exact"/>
        <w:ind w:firstLine="960" w:firstLineChars="40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承诺单位：</w:t>
      </w:r>
      <w:r>
        <w:rPr>
          <w:rFonts w:hint="eastAsia" w:ascii="宋体" w:hAnsi="宋体" w:eastAsia="宋体" w:cs="仿宋"/>
          <w:bCs/>
          <w:color w:val="auto"/>
          <w:kern w:val="0"/>
          <w:sz w:val="24"/>
          <w:highlight w:val="none"/>
          <w:u w:val="single"/>
        </w:rPr>
        <w:t>　　                 　</w:t>
      </w:r>
      <w:r>
        <w:rPr>
          <w:rFonts w:hint="eastAsia" w:ascii="宋体" w:hAnsi="宋体" w:eastAsia="宋体" w:cs="仿宋"/>
          <w:bCs/>
          <w:color w:val="auto"/>
          <w:kern w:val="0"/>
          <w:sz w:val="24"/>
          <w:highlight w:val="none"/>
        </w:rPr>
        <w:t>（盖章）</w:t>
      </w:r>
    </w:p>
    <w:p w14:paraId="6EB13F6B">
      <w:pPr>
        <w:kinsoku/>
        <w:wordWrap/>
        <w:overflowPunct/>
        <w:topLinePunct w:val="0"/>
        <w:bidi w:val="0"/>
        <w:spacing w:line="440" w:lineRule="exact"/>
        <w:ind w:firstLine="960" w:firstLineChars="40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全权代表：</w:t>
      </w:r>
      <w:r>
        <w:rPr>
          <w:rFonts w:hint="eastAsia" w:ascii="宋体" w:hAnsi="宋体" w:eastAsia="宋体" w:cs="仿宋"/>
          <w:bCs/>
          <w:color w:val="auto"/>
          <w:kern w:val="0"/>
          <w:sz w:val="24"/>
          <w:highlight w:val="none"/>
          <w:u w:val="single"/>
        </w:rPr>
        <w:t>　　　　　     　　　　</w:t>
      </w:r>
      <w:r>
        <w:rPr>
          <w:rFonts w:hint="eastAsia" w:ascii="宋体" w:hAnsi="宋体" w:eastAsia="宋体" w:cs="仿宋"/>
          <w:bCs/>
          <w:color w:val="auto"/>
          <w:kern w:val="0"/>
          <w:sz w:val="24"/>
          <w:highlight w:val="none"/>
        </w:rPr>
        <w:t xml:space="preserve">（签字） </w:t>
      </w:r>
    </w:p>
    <w:p w14:paraId="524BFE27">
      <w:pPr>
        <w:kinsoku/>
        <w:wordWrap/>
        <w:overflowPunct/>
        <w:topLinePunct w:val="0"/>
        <w:bidi w:val="0"/>
        <w:spacing w:line="520" w:lineRule="exact"/>
        <w:ind w:firstLine="480" w:firstLineChars="200"/>
        <w:outlineLvl w:val="9"/>
        <w:rPr>
          <w:rFonts w:ascii="宋体" w:hAnsi="宋体" w:eastAsia="宋体" w:cs="仿宋"/>
          <w:bCs/>
          <w:color w:val="auto"/>
          <w:kern w:val="0"/>
          <w:sz w:val="24"/>
          <w:highlight w:val="none"/>
          <w:u w:val="single"/>
        </w:rPr>
      </w:pPr>
      <w:r>
        <w:rPr>
          <w:rFonts w:hint="eastAsia" w:ascii="宋体" w:hAnsi="宋体" w:eastAsia="宋体" w:cs="仿宋"/>
          <w:bCs/>
          <w:color w:val="auto"/>
          <w:kern w:val="0"/>
          <w:sz w:val="24"/>
          <w:highlight w:val="none"/>
          <w:lang w:val="en-US" w:eastAsia="zh-CN"/>
        </w:rPr>
        <w:t xml:space="preserve">    </w:t>
      </w:r>
      <w:r>
        <w:rPr>
          <w:rFonts w:hint="eastAsia" w:ascii="宋体" w:hAnsi="宋体" w:eastAsia="宋体" w:cs="仿宋"/>
          <w:bCs/>
          <w:color w:val="auto"/>
          <w:kern w:val="0"/>
          <w:sz w:val="24"/>
          <w:highlight w:val="none"/>
        </w:rPr>
        <w:t>地　　址：</w:t>
      </w:r>
      <w:r>
        <w:rPr>
          <w:rFonts w:hint="eastAsia" w:ascii="宋体" w:hAnsi="宋体" w:eastAsia="宋体" w:cs="仿宋"/>
          <w:bCs/>
          <w:color w:val="auto"/>
          <w:kern w:val="0"/>
          <w:sz w:val="24"/>
          <w:highlight w:val="none"/>
          <w:u w:val="single"/>
        </w:rPr>
        <w:t xml:space="preserve">                              </w:t>
      </w:r>
    </w:p>
    <w:p w14:paraId="02AF3047">
      <w:pPr>
        <w:kinsoku/>
        <w:wordWrap/>
        <w:overflowPunct/>
        <w:topLinePunct w:val="0"/>
        <w:bidi w:val="0"/>
        <w:spacing w:line="520" w:lineRule="exact"/>
        <w:ind w:firstLine="480" w:firstLineChars="20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 xml:space="preserve">    邮    编：</w:t>
      </w:r>
      <w:r>
        <w:rPr>
          <w:rFonts w:hint="eastAsia" w:ascii="宋体" w:hAnsi="宋体" w:eastAsia="宋体" w:cs="仿宋"/>
          <w:bCs/>
          <w:color w:val="auto"/>
          <w:kern w:val="0"/>
          <w:sz w:val="24"/>
          <w:highlight w:val="none"/>
          <w:u w:val="single"/>
        </w:rPr>
        <w:t>　　                     　　</w:t>
      </w:r>
      <w:r>
        <w:rPr>
          <w:rFonts w:hint="eastAsia" w:ascii="宋体" w:hAnsi="宋体" w:eastAsia="宋体" w:cs="仿宋"/>
          <w:bCs/>
          <w:color w:val="auto"/>
          <w:kern w:val="0"/>
          <w:sz w:val="24"/>
          <w:highlight w:val="none"/>
        </w:rPr>
        <w:t>   </w:t>
      </w:r>
    </w:p>
    <w:p w14:paraId="49DF04D6">
      <w:pPr>
        <w:kinsoku/>
        <w:wordWrap/>
        <w:overflowPunct/>
        <w:topLinePunct w:val="0"/>
        <w:bidi w:val="0"/>
        <w:spacing w:line="520" w:lineRule="exact"/>
        <w:ind w:firstLine="720" w:firstLineChars="30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lang w:val="en-US" w:eastAsia="zh-CN"/>
        </w:rPr>
        <w:t xml:space="preserve">  </w:t>
      </w:r>
      <w:r>
        <w:rPr>
          <w:rFonts w:hint="eastAsia" w:ascii="宋体" w:hAnsi="宋体" w:eastAsia="宋体" w:cs="仿宋"/>
          <w:bCs/>
          <w:color w:val="auto"/>
          <w:kern w:val="0"/>
          <w:sz w:val="24"/>
          <w:highlight w:val="none"/>
        </w:rPr>
        <w:t>电　　话：</w:t>
      </w:r>
      <w:r>
        <w:rPr>
          <w:rFonts w:hint="eastAsia" w:ascii="宋体" w:hAnsi="宋体" w:eastAsia="宋体" w:cs="仿宋"/>
          <w:bCs/>
          <w:color w:val="auto"/>
          <w:kern w:val="0"/>
          <w:sz w:val="24"/>
          <w:highlight w:val="none"/>
          <w:u w:val="single"/>
        </w:rPr>
        <w:t>　　　                　　　　</w:t>
      </w:r>
      <w:r>
        <w:rPr>
          <w:rFonts w:hint="eastAsia" w:ascii="宋体" w:hAnsi="宋体" w:eastAsia="宋体" w:cs="仿宋"/>
          <w:bCs/>
          <w:color w:val="auto"/>
          <w:kern w:val="0"/>
          <w:sz w:val="24"/>
          <w:highlight w:val="none"/>
        </w:rPr>
        <w:t xml:space="preserve">　　 </w:t>
      </w:r>
    </w:p>
    <w:p w14:paraId="1E3C54AB">
      <w:pPr>
        <w:kinsoku/>
        <w:wordWrap/>
        <w:overflowPunct/>
        <w:topLinePunct w:val="0"/>
        <w:bidi w:val="0"/>
        <w:spacing w:line="340" w:lineRule="exact"/>
        <w:outlineLvl w:val="9"/>
        <w:rPr>
          <w:rFonts w:ascii="宋体" w:hAnsi="宋体" w:eastAsia="宋体" w:cs="仿宋"/>
          <w:bCs/>
          <w:color w:val="auto"/>
          <w:kern w:val="0"/>
          <w:sz w:val="24"/>
          <w:highlight w:val="none"/>
        </w:rPr>
      </w:pPr>
    </w:p>
    <w:p w14:paraId="4EF60034">
      <w:pPr>
        <w:kinsoku/>
        <w:wordWrap/>
        <w:overflowPunct/>
        <w:topLinePunct w:val="0"/>
        <w:bidi w:val="0"/>
        <w:spacing w:line="340" w:lineRule="exact"/>
        <w:ind w:firstLine="4920" w:firstLineChars="2050"/>
        <w:outlineLvl w:val="9"/>
        <w:rPr>
          <w:rFonts w:ascii="宋体" w:hAnsi="宋体" w:eastAsia="宋体" w:cs="仿宋"/>
          <w:bCs/>
          <w:color w:val="auto"/>
          <w:sz w:val="36"/>
          <w:szCs w:val="40"/>
          <w:highlight w:val="none"/>
        </w:rPr>
      </w:pPr>
      <w:r>
        <w:rPr>
          <w:rFonts w:hint="eastAsia" w:ascii="宋体" w:hAnsi="宋体" w:eastAsia="宋体" w:cs="仿宋"/>
          <w:bCs/>
          <w:color w:val="auto"/>
          <w:kern w:val="0"/>
          <w:sz w:val="24"/>
          <w:highlight w:val="none"/>
        </w:rPr>
        <w:t>年　　月　　日</w:t>
      </w:r>
    </w:p>
    <w:p w14:paraId="1EC7D65C">
      <w:pPr>
        <w:kinsoku/>
        <w:wordWrap/>
        <w:overflowPunct/>
        <w:topLinePunct w:val="0"/>
        <w:bidi w:val="0"/>
        <w:spacing w:line="640" w:lineRule="exact"/>
        <w:jc w:val="center"/>
        <w:outlineLvl w:val="9"/>
        <w:rPr>
          <w:rFonts w:ascii="宋体" w:hAnsi="宋体" w:eastAsia="宋体" w:cs="仿宋"/>
          <w:bCs/>
          <w:color w:val="auto"/>
          <w:sz w:val="36"/>
          <w:szCs w:val="40"/>
          <w:highlight w:val="none"/>
        </w:rPr>
      </w:pPr>
    </w:p>
    <w:p w14:paraId="0900DDC7">
      <w:pPr>
        <w:tabs>
          <w:tab w:val="left" w:pos="3930"/>
        </w:tabs>
        <w:kinsoku/>
        <w:wordWrap/>
        <w:overflowPunct/>
        <w:topLinePunct w:val="0"/>
        <w:bidi w:val="0"/>
        <w:jc w:val="left"/>
        <w:outlineLvl w:val="9"/>
        <w:rPr>
          <w:rFonts w:ascii="宋体" w:hAnsi="宋体" w:eastAsia="宋体" w:cs="仿宋"/>
          <w:bCs/>
          <w:color w:val="auto"/>
          <w:sz w:val="40"/>
          <w:szCs w:val="40"/>
          <w:highlight w:val="none"/>
        </w:rPr>
      </w:pPr>
      <w:r>
        <w:rPr>
          <w:rFonts w:hint="eastAsia" w:ascii="宋体" w:hAnsi="宋体" w:eastAsia="宋体" w:cs="仿宋"/>
          <w:bCs/>
          <w:color w:val="auto"/>
          <w:sz w:val="40"/>
          <w:szCs w:val="40"/>
          <w:highlight w:val="none"/>
        </w:rPr>
        <w:tab/>
      </w:r>
    </w:p>
    <w:p w14:paraId="3DF1B547">
      <w:pPr>
        <w:shd w:val="clear" w:color="auto" w:fill="FFFFFF"/>
        <w:kinsoku/>
        <w:wordWrap/>
        <w:overflowPunct/>
        <w:topLinePunct w:val="0"/>
        <w:bidi w:val="0"/>
        <w:spacing w:before="100" w:beforeAutospacing="1" w:after="100" w:afterAutospacing="1" w:line="360" w:lineRule="atLeast"/>
        <w:jc w:val="center"/>
        <w:outlineLvl w:val="9"/>
        <w:rPr>
          <w:rFonts w:ascii="宋体" w:hAnsi="宋体" w:eastAsia="宋体" w:cs="仿宋"/>
          <w:bCs/>
          <w:color w:val="auto"/>
          <w:kern w:val="0"/>
          <w:sz w:val="32"/>
          <w:szCs w:val="32"/>
          <w:highlight w:val="none"/>
        </w:rPr>
      </w:pPr>
    </w:p>
    <w:p w14:paraId="0E87258D">
      <w:pPr>
        <w:pStyle w:val="21"/>
        <w:kinsoku/>
        <w:wordWrap/>
        <w:overflowPunct/>
        <w:topLinePunct w:val="0"/>
        <w:bidi w:val="0"/>
        <w:ind w:left="560"/>
        <w:jc w:val="center"/>
        <w:outlineLvl w:val="9"/>
        <w:rPr>
          <w:b/>
          <w:bCs/>
          <w:color w:val="auto"/>
          <w:sz w:val="24"/>
          <w:szCs w:val="24"/>
          <w:highlight w:val="none"/>
        </w:rPr>
      </w:pPr>
      <w:bookmarkStart w:id="371" w:name="_Toc11224"/>
      <w:bookmarkStart w:id="372" w:name="_Toc23315694"/>
      <w:r>
        <w:rPr>
          <w:rFonts w:hint="eastAsia"/>
          <w:b/>
          <w:bCs/>
          <w:color w:val="auto"/>
          <w:sz w:val="24"/>
          <w:szCs w:val="24"/>
          <w:highlight w:val="none"/>
        </w:rPr>
        <w:t>承诺书Ⅱ</w:t>
      </w:r>
      <w:bookmarkEnd w:id="371"/>
      <w:bookmarkEnd w:id="372"/>
    </w:p>
    <w:p w14:paraId="021095D9">
      <w:pPr>
        <w:kinsoku/>
        <w:wordWrap/>
        <w:overflowPunct/>
        <w:topLinePunct w:val="0"/>
        <w:bidi w:val="0"/>
        <w:spacing w:line="440" w:lineRule="exact"/>
        <w:outlineLvl w:val="9"/>
        <w:rPr>
          <w:rFonts w:ascii="宋体" w:hAnsi="宋体" w:eastAsia="宋体"/>
          <w:color w:val="auto"/>
          <w:sz w:val="24"/>
          <w:highlight w:val="none"/>
        </w:rPr>
      </w:pPr>
      <w:r>
        <w:rPr>
          <w:rFonts w:hint="eastAsia" w:ascii="宋体" w:hAnsi="宋体" w:eastAsia="宋体"/>
          <w:color w:val="auto"/>
          <w:sz w:val="24"/>
          <w:highlight w:val="none"/>
        </w:rPr>
        <w:t>致：安康尚昊招标代理有限公司</w:t>
      </w:r>
    </w:p>
    <w:p w14:paraId="70D05A15">
      <w:pPr>
        <w:kinsoku/>
        <w:wordWrap/>
        <w:overflowPunct/>
        <w:topLinePunct w:val="0"/>
        <w:bidi w:val="0"/>
        <w:spacing w:line="440" w:lineRule="exact"/>
        <w:ind w:firstLine="472" w:firstLineChars="197"/>
        <w:outlineLvl w:val="9"/>
        <w:rPr>
          <w:rFonts w:ascii="宋体" w:hAnsi="宋体" w:eastAsia="宋体"/>
          <w:color w:val="auto"/>
          <w:sz w:val="24"/>
          <w:highlight w:val="none"/>
        </w:rPr>
      </w:pPr>
      <w:r>
        <w:rPr>
          <w:rFonts w:hint="eastAsia" w:ascii="宋体" w:hAnsi="宋体" w:eastAsia="宋体"/>
          <w:color w:val="auto"/>
          <w:sz w:val="24"/>
          <w:highlight w:val="none"/>
        </w:rPr>
        <w:t>为了诚实、客观、有序地参与政府采购活动，愿就以下内容作出承诺：</w:t>
      </w:r>
    </w:p>
    <w:p w14:paraId="6A8C1715">
      <w:pPr>
        <w:kinsoku/>
        <w:wordWrap/>
        <w:overflowPunct/>
        <w:topLinePunct w:val="0"/>
        <w:bidi w:val="0"/>
        <w:spacing w:line="440" w:lineRule="exact"/>
        <w:ind w:firstLine="472" w:firstLineChars="197"/>
        <w:outlineLvl w:val="9"/>
        <w:rPr>
          <w:rFonts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w:t>
      </w:r>
      <w:r>
        <w:rPr>
          <w:rFonts w:hint="eastAsia" w:ascii="宋体" w:hAnsi="宋体" w:eastAsia="宋体"/>
          <w:color w:val="auto"/>
          <w:sz w:val="24"/>
          <w:highlight w:val="none"/>
        </w:rPr>
        <w:t>参加采购代理机构组织的政府采购活动时，严格按照谈判文件的规定和要求提供所需的相关材料，并对所提供的各类资料的真实性负责，不虚假应标，不虚列业绩。</w:t>
      </w:r>
    </w:p>
    <w:p w14:paraId="6E502962">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2</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尊重参与政府采购活动各相关方的合法行为，接受政府采购活动依法形成的意见、结果。</w:t>
      </w:r>
    </w:p>
    <w:p w14:paraId="32DBEEFC">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3</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依法参加政府采购活动，不围标、串标，维护市场秩序。近三年因项目质量问题的不法行为记录为</w:t>
      </w:r>
      <w:r>
        <w:rPr>
          <w:rFonts w:hint="eastAsia" w:ascii="宋体" w:hAnsi="宋体" w:eastAsia="宋体" w:cs="仿宋"/>
          <w:bCs/>
          <w:color w:val="auto"/>
          <w:kern w:val="0"/>
          <w:sz w:val="24"/>
          <w:highlight w:val="none"/>
          <w:u w:val="single"/>
          <w:lang w:val="en-US" w:eastAsia="zh-CN"/>
        </w:rPr>
        <w:t xml:space="preserve">     </w:t>
      </w:r>
      <w:r>
        <w:rPr>
          <w:rFonts w:hint="eastAsia" w:ascii="宋体" w:hAnsi="宋体" w:eastAsia="宋体" w:cs="仿宋"/>
          <w:bCs/>
          <w:color w:val="auto"/>
          <w:kern w:val="0"/>
          <w:sz w:val="24"/>
          <w:highlight w:val="none"/>
        </w:rPr>
        <w:t>次（没有填零），如有隐瞒实情，愿承担一切责任及后果。</w:t>
      </w:r>
    </w:p>
    <w:p w14:paraId="5C7FA6DD">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4</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作为参加贵公司组织的采购项目的响应单位，本公司承诺：在参加本项目谈判之前不存在被依法禁止经营行为、财产被接管或冻结的情况，如有隐瞒实情，愿承担一切责任及后果。</w:t>
      </w:r>
    </w:p>
    <w:p w14:paraId="0EAB952C">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5</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近三年受到有关行政主管部门的行政处理、不良行为记录为</w:t>
      </w:r>
      <w:r>
        <w:rPr>
          <w:rFonts w:hint="eastAsia" w:ascii="宋体" w:hAnsi="宋体" w:eastAsia="宋体" w:cs="仿宋"/>
          <w:bCs/>
          <w:color w:val="auto"/>
          <w:kern w:val="0"/>
          <w:sz w:val="24"/>
          <w:highlight w:val="none"/>
          <w:u w:val="single"/>
          <w:lang w:val="en-US" w:eastAsia="zh-CN"/>
        </w:rPr>
        <w:t xml:space="preserve">    </w:t>
      </w:r>
      <w:r>
        <w:rPr>
          <w:rFonts w:hint="eastAsia" w:ascii="宋体" w:hAnsi="宋体" w:eastAsia="宋体" w:cs="仿宋"/>
          <w:bCs/>
          <w:color w:val="auto"/>
          <w:kern w:val="0"/>
          <w:sz w:val="24"/>
          <w:highlight w:val="none"/>
        </w:rPr>
        <w:t>次（没有填零），如有隐瞒实情，愿承担一切责任及后果。</w:t>
      </w:r>
    </w:p>
    <w:p w14:paraId="2A994B46">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6</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参加本次谈判提交的所有资格证明文件及业绩证明是真实的、有效的，如有隐瞒实情，愿承担一切责任及后果。</w:t>
      </w:r>
    </w:p>
    <w:p w14:paraId="1B3796E5">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7</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积极推动政府采购活动健康开展，对采购活动有疑问、异议时，按法律规定的程序实名（加盖单位章和法定代表人签名）反映情况，不恶意中伤、无事生非，以和谐、平等的心态参加政府采购活动。</w:t>
      </w:r>
    </w:p>
    <w:p w14:paraId="19CE3E06">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8</w:t>
      </w:r>
      <w:r>
        <w:rPr>
          <w:rFonts w:hint="eastAsia" w:ascii="宋体" w:hAnsi="宋体" w:eastAsia="宋体" w:cs="仿宋"/>
          <w:bCs/>
          <w:color w:val="auto"/>
          <w:kern w:val="0"/>
          <w:sz w:val="24"/>
          <w:highlight w:val="none"/>
          <w:lang w:val="en-US" w:eastAsia="zh-CN"/>
        </w:rPr>
        <w:t>.</w:t>
      </w:r>
      <w:r>
        <w:rPr>
          <w:rFonts w:hint="eastAsia" w:ascii="宋体" w:hAnsi="宋体" w:eastAsia="宋体" w:cs="仿宋"/>
          <w:bCs/>
          <w:color w:val="auto"/>
          <w:kern w:val="0"/>
          <w:sz w:val="24"/>
          <w:highlight w:val="none"/>
        </w:rPr>
        <w:t>认真履行成交单位应承担的责任和义务，全面执行采购合同规定的各项内容，保质保量地按时提供采购物品。</w:t>
      </w:r>
    </w:p>
    <w:p w14:paraId="1DF0C7B7">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若本企业（单位）发生有悖于上述承诺的行为，愿意接受《中华人民共和国政府采购法》和《中华人民共和国政府采购法实施条例》中对响应单位的相关处理。</w:t>
      </w:r>
    </w:p>
    <w:p w14:paraId="2FEB3333">
      <w:pPr>
        <w:shd w:val="clear" w:color="auto" w:fill="FFFFFF"/>
        <w:kinsoku/>
        <w:wordWrap/>
        <w:overflowPunct/>
        <w:topLinePunct w:val="0"/>
        <w:bidi w:val="0"/>
        <w:spacing w:line="440" w:lineRule="exact"/>
        <w:ind w:firstLine="480"/>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本承诺是采购项目响应文件的组成部分。</w:t>
      </w:r>
    </w:p>
    <w:p w14:paraId="1A36570D">
      <w:pPr>
        <w:shd w:val="clear" w:color="auto" w:fill="FFFFFF"/>
        <w:kinsoku/>
        <w:wordWrap/>
        <w:overflowPunct/>
        <w:topLinePunct w:val="0"/>
        <w:bidi w:val="0"/>
        <w:spacing w:line="440" w:lineRule="exact"/>
        <w:ind w:firstLine="2152" w:firstLineChars="897"/>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承诺单位：</w:t>
      </w:r>
      <w:r>
        <w:rPr>
          <w:rFonts w:hint="eastAsia" w:ascii="宋体" w:hAnsi="宋体" w:eastAsia="宋体" w:cs="仿宋"/>
          <w:bCs/>
          <w:color w:val="auto"/>
          <w:kern w:val="0"/>
          <w:sz w:val="24"/>
          <w:highlight w:val="none"/>
          <w:u w:val="single"/>
        </w:rPr>
        <w:t xml:space="preserve">                    </w:t>
      </w:r>
      <w:r>
        <w:rPr>
          <w:rFonts w:hint="eastAsia" w:ascii="宋体" w:hAnsi="宋体" w:eastAsia="宋体" w:cs="仿宋"/>
          <w:bCs/>
          <w:color w:val="auto"/>
          <w:kern w:val="0"/>
          <w:sz w:val="24"/>
          <w:highlight w:val="none"/>
        </w:rPr>
        <w:t>（盖章）</w:t>
      </w:r>
    </w:p>
    <w:p w14:paraId="7AF35EB9">
      <w:pPr>
        <w:shd w:val="clear" w:color="auto" w:fill="FFFFFF"/>
        <w:kinsoku/>
        <w:wordWrap/>
        <w:overflowPunct/>
        <w:topLinePunct w:val="0"/>
        <w:bidi w:val="0"/>
        <w:spacing w:line="440" w:lineRule="exact"/>
        <w:ind w:firstLine="2152" w:firstLineChars="897"/>
        <w:outlineLvl w:val="9"/>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全权代表：</w:t>
      </w:r>
      <w:r>
        <w:rPr>
          <w:rFonts w:hint="eastAsia" w:ascii="宋体" w:hAnsi="宋体" w:eastAsia="宋体" w:cs="仿宋"/>
          <w:bCs/>
          <w:color w:val="auto"/>
          <w:kern w:val="0"/>
          <w:sz w:val="24"/>
          <w:highlight w:val="none"/>
          <w:u w:val="single"/>
        </w:rPr>
        <w:t xml:space="preserve">                    </w:t>
      </w:r>
      <w:r>
        <w:rPr>
          <w:rFonts w:hint="eastAsia" w:ascii="宋体" w:hAnsi="宋体" w:eastAsia="宋体" w:cs="仿宋"/>
          <w:bCs/>
          <w:color w:val="auto"/>
          <w:kern w:val="0"/>
          <w:sz w:val="24"/>
          <w:highlight w:val="none"/>
        </w:rPr>
        <w:t>（签字）</w:t>
      </w:r>
    </w:p>
    <w:p w14:paraId="19E558DD">
      <w:pPr>
        <w:shd w:val="clear" w:color="auto" w:fill="FFFFFF"/>
        <w:kinsoku/>
        <w:wordWrap/>
        <w:overflowPunct/>
        <w:topLinePunct w:val="0"/>
        <w:bidi w:val="0"/>
        <w:spacing w:line="440" w:lineRule="exact"/>
        <w:ind w:firstLine="2152" w:firstLineChars="897"/>
        <w:outlineLvl w:val="9"/>
        <w:rPr>
          <w:rFonts w:ascii="宋体" w:hAnsi="宋体" w:eastAsia="宋体" w:cs="宋体"/>
          <w:b/>
          <w:bCs/>
          <w:color w:val="auto"/>
          <w:highlight w:val="none"/>
        </w:rPr>
      </w:pPr>
      <w:r>
        <w:rPr>
          <w:rFonts w:hint="eastAsia" w:ascii="宋体" w:hAnsi="宋体" w:eastAsia="宋体" w:cs="仿宋"/>
          <w:bCs/>
          <w:color w:val="auto"/>
          <w:kern w:val="0"/>
          <w:sz w:val="24"/>
          <w:highlight w:val="none"/>
        </w:rPr>
        <w:t>日    期：</w:t>
      </w:r>
      <w:r>
        <w:rPr>
          <w:rFonts w:hint="eastAsia" w:ascii="宋体" w:hAnsi="宋体" w:eastAsia="宋体" w:cs="仿宋"/>
          <w:bCs/>
          <w:color w:val="auto"/>
          <w:kern w:val="0"/>
          <w:sz w:val="24"/>
          <w:highlight w:val="none"/>
          <w:u w:val="single"/>
        </w:rPr>
        <w:t xml:space="preserve">      </w:t>
      </w:r>
      <w:r>
        <w:rPr>
          <w:rFonts w:hint="eastAsia" w:ascii="宋体" w:hAnsi="宋体" w:eastAsia="宋体" w:cs="仿宋"/>
          <w:bCs/>
          <w:color w:val="auto"/>
          <w:kern w:val="0"/>
          <w:sz w:val="24"/>
          <w:highlight w:val="none"/>
        </w:rPr>
        <w:t>年</w:t>
      </w:r>
      <w:r>
        <w:rPr>
          <w:rFonts w:hint="eastAsia" w:ascii="宋体" w:hAnsi="宋体" w:eastAsia="宋体" w:cs="仿宋"/>
          <w:bCs/>
          <w:color w:val="auto"/>
          <w:kern w:val="0"/>
          <w:sz w:val="24"/>
          <w:highlight w:val="none"/>
          <w:u w:val="single"/>
        </w:rPr>
        <w:t xml:space="preserve">     </w:t>
      </w:r>
      <w:r>
        <w:rPr>
          <w:rFonts w:hint="eastAsia" w:ascii="宋体" w:hAnsi="宋体" w:eastAsia="宋体" w:cs="仿宋"/>
          <w:bCs/>
          <w:color w:val="auto"/>
          <w:kern w:val="0"/>
          <w:sz w:val="24"/>
          <w:highlight w:val="none"/>
        </w:rPr>
        <w:t>月</w:t>
      </w:r>
      <w:r>
        <w:rPr>
          <w:rFonts w:hint="eastAsia" w:ascii="宋体" w:hAnsi="宋体" w:eastAsia="宋体" w:cs="仿宋"/>
          <w:bCs/>
          <w:color w:val="auto"/>
          <w:szCs w:val="32"/>
          <w:highlight w:val="none"/>
          <w:u w:val="single"/>
        </w:rPr>
        <w:t xml:space="preserve">    </w:t>
      </w:r>
      <w:r>
        <w:rPr>
          <w:rFonts w:hint="eastAsia" w:ascii="宋体" w:hAnsi="宋体" w:eastAsia="宋体" w:cs="仿宋"/>
          <w:bCs/>
          <w:color w:val="auto"/>
          <w:sz w:val="24"/>
          <w:highlight w:val="none"/>
        </w:rPr>
        <w:t>日</w:t>
      </w:r>
      <w:bookmarkStart w:id="373" w:name="_Toc536429396"/>
      <w:bookmarkStart w:id="374" w:name="_Toc25514"/>
      <w:bookmarkStart w:id="375" w:name="_Toc536429343"/>
      <w:bookmarkStart w:id="376" w:name="_Toc536202334"/>
      <w:bookmarkStart w:id="377" w:name="_Toc536202403"/>
    </w:p>
    <w:bookmarkEnd w:id="373"/>
    <w:bookmarkEnd w:id="374"/>
    <w:bookmarkEnd w:id="375"/>
    <w:bookmarkEnd w:id="376"/>
    <w:bookmarkEnd w:id="377"/>
    <w:p w14:paraId="13B0F504">
      <w:pPr>
        <w:kinsoku/>
        <w:wordWrap/>
        <w:overflowPunct/>
        <w:topLinePunct w:val="0"/>
        <w:bidi w:val="0"/>
        <w:outlineLvl w:val="9"/>
        <w:rPr>
          <w:rFonts w:ascii="Calibri" w:hAnsi="Calibri" w:eastAsia="宋体" w:cs="Calibri"/>
          <w:color w:val="auto"/>
          <w:sz w:val="24"/>
          <w:highlight w:val="none"/>
        </w:rPr>
      </w:pPr>
    </w:p>
    <w:p w14:paraId="4EE3AC88">
      <w:pPr>
        <w:kinsoku/>
        <w:wordWrap/>
        <w:overflowPunct/>
        <w:topLinePunct w:val="0"/>
        <w:bidi w:val="0"/>
        <w:outlineLvl w:val="9"/>
        <w:rPr>
          <w:rFonts w:ascii="Calibri" w:hAnsi="Calibri" w:eastAsia="宋体" w:cs="Calibri"/>
          <w:color w:val="auto"/>
          <w:sz w:val="24"/>
          <w:highlight w:val="none"/>
        </w:rPr>
      </w:pPr>
    </w:p>
    <w:p w14:paraId="17E1C86A">
      <w:pPr>
        <w:kinsoku/>
        <w:wordWrap/>
        <w:overflowPunct/>
        <w:topLinePunct w:val="0"/>
        <w:bidi w:val="0"/>
        <w:outlineLvl w:val="9"/>
        <w:rPr>
          <w:rFonts w:ascii="Calibri" w:hAnsi="Calibri" w:eastAsia="宋体" w:cs="Calibri"/>
          <w:color w:val="auto"/>
          <w:sz w:val="24"/>
          <w:highlight w:val="none"/>
        </w:rPr>
      </w:pPr>
    </w:p>
    <w:p w14:paraId="5E25C241">
      <w:pPr>
        <w:kinsoku/>
        <w:wordWrap/>
        <w:overflowPunct/>
        <w:topLinePunct w:val="0"/>
        <w:bidi w:val="0"/>
        <w:outlineLvl w:val="9"/>
        <w:rPr>
          <w:color w:val="auto"/>
          <w:highlight w:val="none"/>
        </w:rPr>
      </w:pPr>
    </w:p>
    <w:p w14:paraId="10A79A09">
      <w:pPr>
        <w:kinsoku/>
        <w:wordWrap/>
        <w:overflowPunct/>
        <w:topLinePunct w:val="0"/>
        <w:bidi w:val="0"/>
        <w:outlineLvl w:val="9"/>
        <w:rPr>
          <w:color w:val="auto"/>
          <w:highlight w:val="none"/>
        </w:rPr>
        <w:sectPr>
          <w:pgSz w:w="11905" w:h="16838"/>
          <w:pgMar w:top="1304" w:right="1304" w:bottom="1304" w:left="1304" w:header="907" w:footer="1020" w:gutter="0"/>
          <w:pgBorders>
            <w:top w:val="none" w:sz="0" w:space="0"/>
            <w:left w:val="none" w:sz="0" w:space="0"/>
            <w:bottom w:val="none" w:sz="0" w:space="0"/>
            <w:right w:val="none" w:sz="0" w:space="0"/>
          </w:pgBorders>
          <w:pgNumType w:fmt="decimal"/>
          <w:cols w:space="0" w:num="1"/>
          <w:rtlGutter w:val="0"/>
          <w:docGrid w:type="lines" w:linePitch="395" w:charSpace="0"/>
        </w:sectPr>
      </w:pPr>
    </w:p>
    <w:p w14:paraId="40704266">
      <w:pPr>
        <w:kinsoku/>
        <w:wordWrap/>
        <w:overflowPunct/>
        <w:topLinePunct w:val="0"/>
        <w:bidi w:val="0"/>
        <w:outlineLvl w:val="9"/>
        <w:rPr>
          <w:color w:val="auto"/>
          <w:highlight w:val="none"/>
        </w:rPr>
      </w:pPr>
    </w:p>
    <w:p w14:paraId="15C60294">
      <w:pPr>
        <w:pStyle w:val="23"/>
        <w:kinsoku/>
        <w:wordWrap/>
        <w:overflowPunct/>
        <w:topLinePunct w:val="0"/>
        <w:bidi w:val="0"/>
        <w:outlineLvl w:val="9"/>
        <w:rPr>
          <w:rFonts w:hint="eastAsia"/>
          <w:color w:val="auto"/>
          <w:highlight w:val="none"/>
        </w:rPr>
      </w:pPr>
    </w:p>
    <w:p w14:paraId="64499E70">
      <w:pPr>
        <w:pStyle w:val="23"/>
        <w:kinsoku/>
        <w:wordWrap/>
        <w:overflowPunct/>
        <w:topLinePunct w:val="0"/>
        <w:bidi w:val="0"/>
        <w:outlineLvl w:val="9"/>
        <w:rPr>
          <w:rFonts w:hint="eastAsia"/>
          <w:color w:val="auto"/>
          <w:highlight w:val="none"/>
        </w:rPr>
      </w:pPr>
    </w:p>
    <w:p w14:paraId="70707632">
      <w:pPr>
        <w:pStyle w:val="23"/>
        <w:kinsoku/>
        <w:wordWrap/>
        <w:overflowPunct/>
        <w:topLinePunct w:val="0"/>
        <w:bidi w:val="0"/>
        <w:outlineLvl w:val="9"/>
        <w:rPr>
          <w:rFonts w:hint="eastAsia"/>
          <w:color w:val="auto"/>
          <w:highlight w:val="none"/>
        </w:rPr>
      </w:pPr>
    </w:p>
    <w:p w14:paraId="4F591DB5">
      <w:pPr>
        <w:pStyle w:val="23"/>
        <w:kinsoku/>
        <w:wordWrap/>
        <w:overflowPunct/>
        <w:topLinePunct w:val="0"/>
        <w:bidi w:val="0"/>
        <w:outlineLvl w:val="9"/>
        <w:rPr>
          <w:rFonts w:hint="eastAsia"/>
          <w:color w:val="auto"/>
          <w:highlight w:val="none"/>
        </w:rPr>
      </w:pPr>
    </w:p>
    <w:p w14:paraId="0663E5CA">
      <w:pPr>
        <w:pStyle w:val="23"/>
        <w:kinsoku/>
        <w:wordWrap/>
        <w:overflowPunct/>
        <w:topLinePunct w:val="0"/>
        <w:bidi w:val="0"/>
        <w:outlineLvl w:val="9"/>
        <w:rPr>
          <w:rFonts w:hint="eastAsia"/>
          <w:color w:val="auto"/>
          <w:highlight w:val="none"/>
        </w:rPr>
      </w:pPr>
    </w:p>
    <w:p w14:paraId="393D2E2B">
      <w:pPr>
        <w:pStyle w:val="23"/>
        <w:kinsoku/>
        <w:wordWrap/>
        <w:overflowPunct/>
        <w:topLinePunct w:val="0"/>
        <w:bidi w:val="0"/>
        <w:outlineLvl w:val="9"/>
        <w:rPr>
          <w:rFonts w:hint="eastAsia"/>
          <w:color w:val="auto"/>
          <w:highlight w:val="none"/>
        </w:rPr>
      </w:pPr>
    </w:p>
    <w:p w14:paraId="09C427E6">
      <w:pPr>
        <w:pStyle w:val="23"/>
        <w:kinsoku/>
        <w:wordWrap/>
        <w:overflowPunct/>
        <w:topLinePunct w:val="0"/>
        <w:bidi w:val="0"/>
        <w:outlineLvl w:val="9"/>
        <w:rPr>
          <w:rFonts w:hint="eastAsia"/>
          <w:color w:val="auto"/>
          <w:highlight w:val="none"/>
        </w:rPr>
      </w:pPr>
    </w:p>
    <w:p w14:paraId="1710A3DD">
      <w:pPr>
        <w:pStyle w:val="23"/>
        <w:kinsoku/>
        <w:wordWrap/>
        <w:overflowPunct/>
        <w:topLinePunct w:val="0"/>
        <w:bidi w:val="0"/>
        <w:outlineLvl w:val="9"/>
        <w:rPr>
          <w:rFonts w:hint="eastAsia"/>
          <w:color w:val="auto"/>
          <w:highlight w:val="none"/>
        </w:rPr>
      </w:pPr>
    </w:p>
    <w:p w14:paraId="7386D033">
      <w:pPr>
        <w:pStyle w:val="23"/>
        <w:kinsoku/>
        <w:wordWrap/>
        <w:overflowPunct/>
        <w:topLinePunct w:val="0"/>
        <w:bidi w:val="0"/>
        <w:outlineLvl w:val="9"/>
        <w:rPr>
          <w:rFonts w:hint="eastAsia"/>
          <w:color w:val="auto"/>
          <w:highlight w:val="none"/>
        </w:rPr>
      </w:pPr>
    </w:p>
    <w:p w14:paraId="64A14F4A">
      <w:pPr>
        <w:pStyle w:val="23"/>
        <w:kinsoku/>
        <w:wordWrap/>
        <w:overflowPunct/>
        <w:topLinePunct w:val="0"/>
        <w:bidi w:val="0"/>
        <w:outlineLvl w:val="9"/>
        <w:rPr>
          <w:rFonts w:hint="eastAsia"/>
          <w:color w:val="auto"/>
          <w:highlight w:val="none"/>
        </w:rPr>
      </w:pPr>
    </w:p>
    <w:p w14:paraId="2126F0E5">
      <w:pPr>
        <w:pStyle w:val="23"/>
        <w:kinsoku/>
        <w:wordWrap/>
        <w:overflowPunct/>
        <w:topLinePunct w:val="0"/>
        <w:bidi w:val="0"/>
        <w:outlineLvl w:val="9"/>
        <w:rPr>
          <w:rFonts w:hint="eastAsia"/>
          <w:color w:val="auto"/>
          <w:highlight w:val="none"/>
        </w:rPr>
      </w:pPr>
    </w:p>
    <w:p w14:paraId="5974B5F7">
      <w:pPr>
        <w:pStyle w:val="23"/>
        <w:kinsoku/>
        <w:wordWrap/>
        <w:overflowPunct/>
        <w:topLinePunct w:val="0"/>
        <w:bidi w:val="0"/>
        <w:outlineLvl w:val="9"/>
        <w:rPr>
          <w:rFonts w:hint="eastAsia"/>
          <w:color w:val="auto"/>
          <w:highlight w:val="none"/>
        </w:rPr>
      </w:pPr>
    </w:p>
    <w:p w14:paraId="44317DE7">
      <w:pPr>
        <w:pStyle w:val="23"/>
        <w:tabs>
          <w:tab w:val="left" w:pos="3917"/>
          <w:tab w:val="clear" w:pos="4153"/>
        </w:tabs>
        <w:kinsoku/>
        <w:wordWrap/>
        <w:overflowPunct/>
        <w:topLinePunct w:val="0"/>
        <w:bidi w:val="0"/>
        <w:outlineLvl w:val="9"/>
        <w:rPr>
          <w:rFonts w:hint="eastAsia" w:eastAsia="华文仿宋"/>
          <w:color w:val="auto"/>
          <w:highlight w:val="none"/>
          <w:lang w:eastAsia="zh-CN"/>
        </w:rPr>
      </w:pPr>
      <w:r>
        <w:rPr>
          <w:rFonts w:hint="eastAsia"/>
          <w:color w:val="auto"/>
          <w:highlight w:val="none"/>
          <w:lang w:eastAsia="zh-CN"/>
        </w:rPr>
        <w:tab/>
      </w:r>
    </w:p>
    <w:p w14:paraId="556ED8A9">
      <w:pPr>
        <w:pStyle w:val="23"/>
        <w:kinsoku/>
        <w:wordWrap/>
        <w:overflowPunct/>
        <w:topLinePunct w:val="0"/>
        <w:bidi w:val="0"/>
        <w:outlineLvl w:val="9"/>
        <w:rPr>
          <w:rFonts w:hint="eastAsia"/>
          <w:color w:val="auto"/>
          <w:highlight w:val="none"/>
        </w:rPr>
      </w:pPr>
    </w:p>
    <w:p w14:paraId="6D56A1FD">
      <w:pPr>
        <w:pStyle w:val="23"/>
        <w:tabs>
          <w:tab w:val="left" w:pos="5340"/>
          <w:tab w:val="clear" w:pos="4153"/>
        </w:tabs>
        <w:kinsoku/>
        <w:wordWrap/>
        <w:overflowPunct/>
        <w:topLinePunct w:val="0"/>
        <w:bidi w:val="0"/>
        <w:outlineLvl w:val="9"/>
        <w:rPr>
          <w:rFonts w:hint="eastAsia" w:eastAsia="华文仿宋"/>
          <w:color w:val="auto"/>
          <w:highlight w:val="none"/>
          <w:lang w:eastAsia="zh-CN"/>
        </w:rPr>
      </w:pPr>
      <w:r>
        <w:rPr>
          <w:rFonts w:hint="eastAsia"/>
          <w:color w:val="auto"/>
          <w:highlight w:val="none"/>
          <w:lang w:eastAsia="zh-CN"/>
        </w:rPr>
        <w:tab/>
      </w:r>
    </w:p>
    <w:p w14:paraId="38166111">
      <w:pPr>
        <w:pStyle w:val="23"/>
        <w:kinsoku/>
        <w:wordWrap/>
        <w:overflowPunct/>
        <w:topLinePunct w:val="0"/>
        <w:bidi w:val="0"/>
        <w:outlineLvl w:val="9"/>
        <w:rPr>
          <w:rFonts w:hint="eastAsia"/>
          <w:color w:val="auto"/>
          <w:highlight w:val="none"/>
        </w:rPr>
      </w:pPr>
    </w:p>
    <w:p w14:paraId="5021573A">
      <w:pPr>
        <w:pStyle w:val="23"/>
        <w:kinsoku/>
        <w:wordWrap/>
        <w:overflowPunct/>
        <w:topLinePunct w:val="0"/>
        <w:bidi w:val="0"/>
        <w:outlineLvl w:val="9"/>
        <w:rPr>
          <w:rFonts w:hint="eastAsia"/>
          <w:color w:val="auto"/>
          <w:highlight w:val="none"/>
        </w:rPr>
      </w:pPr>
    </w:p>
    <w:p w14:paraId="07648122">
      <w:pPr>
        <w:pStyle w:val="23"/>
        <w:kinsoku/>
        <w:wordWrap/>
        <w:overflowPunct/>
        <w:topLinePunct w:val="0"/>
        <w:bidi w:val="0"/>
        <w:outlineLvl w:val="9"/>
        <w:rPr>
          <w:rFonts w:hint="eastAsia"/>
          <w:color w:val="auto"/>
          <w:highlight w:val="none"/>
        </w:rPr>
      </w:pPr>
    </w:p>
    <w:p w14:paraId="4B8227D5">
      <w:pPr>
        <w:pStyle w:val="23"/>
        <w:kinsoku/>
        <w:wordWrap/>
        <w:overflowPunct/>
        <w:topLinePunct w:val="0"/>
        <w:bidi w:val="0"/>
        <w:outlineLvl w:val="9"/>
        <w:rPr>
          <w:rFonts w:hint="eastAsia"/>
          <w:color w:val="auto"/>
          <w:highlight w:val="none"/>
        </w:rPr>
      </w:pPr>
    </w:p>
    <w:p w14:paraId="60CD2103">
      <w:pPr>
        <w:pStyle w:val="23"/>
        <w:rPr>
          <w:rFonts w:hint="eastAsia"/>
          <w:color w:val="auto"/>
          <w:highlight w:val="none"/>
        </w:rPr>
      </w:pPr>
    </w:p>
    <w:p w14:paraId="4A4B5C1F">
      <w:pPr>
        <w:pStyle w:val="23"/>
        <w:rPr>
          <w:rFonts w:hint="eastAsia"/>
          <w:color w:val="auto"/>
          <w:highlight w:val="none"/>
        </w:rPr>
      </w:pPr>
    </w:p>
    <w:p w14:paraId="17061CB6">
      <w:pPr>
        <w:pStyle w:val="23"/>
        <w:rPr>
          <w:rFonts w:hint="eastAsia"/>
          <w:color w:val="auto"/>
          <w:highlight w:val="none"/>
        </w:rPr>
      </w:pPr>
    </w:p>
    <w:p w14:paraId="0C177F11">
      <w:pPr>
        <w:pStyle w:val="23"/>
        <w:rPr>
          <w:rFonts w:hint="eastAsia"/>
          <w:color w:val="auto"/>
          <w:highlight w:val="none"/>
        </w:rPr>
      </w:pPr>
    </w:p>
    <w:p w14:paraId="36045F6D">
      <w:pPr>
        <w:pStyle w:val="23"/>
        <w:rPr>
          <w:rFonts w:hint="eastAsia"/>
          <w:color w:val="auto"/>
          <w:highlight w:val="none"/>
        </w:rPr>
      </w:pPr>
    </w:p>
    <w:p w14:paraId="16182BD5">
      <w:pPr>
        <w:pStyle w:val="23"/>
        <w:rPr>
          <w:rFonts w:hint="eastAsia"/>
          <w:color w:val="auto"/>
          <w:highlight w:val="none"/>
        </w:rPr>
      </w:pPr>
    </w:p>
    <w:p w14:paraId="7DCF212C">
      <w:pPr>
        <w:pStyle w:val="23"/>
        <w:rPr>
          <w:rFonts w:hint="eastAsia"/>
          <w:color w:val="auto"/>
          <w:highlight w:val="none"/>
        </w:rPr>
      </w:pPr>
    </w:p>
    <w:p w14:paraId="22AAF3F6">
      <w:pPr>
        <w:pStyle w:val="23"/>
        <w:rPr>
          <w:rFonts w:hint="eastAsia"/>
          <w:color w:val="auto"/>
          <w:highlight w:val="none"/>
        </w:rPr>
      </w:pPr>
    </w:p>
    <w:p w14:paraId="25C8C6F4">
      <w:pPr>
        <w:pStyle w:val="23"/>
        <w:rPr>
          <w:rFonts w:hint="eastAsia"/>
          <w:color w:val="auto"/>
          <w:highlight w:val="none"/>
        </w:rPr>
      </w:pPr>
    </w:p>
    <w:p w14:paraId="050039E9">
      <w:pPr>
        <w:pStyle w:val="23"/>
        <w:rPr>
          <w:rFonts w:hint="eastAsia"/>
          <w:color w:val="auto"/>
          <w:highlight w:val="none"/>
        </w:rPr>
      </w:pPr>
    </w:p>
    <w:p w14:paraId="76AE772F">
      <w:pPr>
        <w:pStyle w:val="23"/>
        <w:rPr>
          <w:rFonts w:hint="eastAsia"/>
          <w:color w:val="auto"/>
          <w:highlight w:val="none"/>
        </w:rPr>
      </w:pPr>
    </w:p>
    <w:p w14:paraId="5D483461">
      <w:pPr>
        <w:pStyle w:val="23"/>
        <w:rPr>
          <w:rFonts w:hint="eastAsia"/>
          <w:color w:val="auto"/>
          <w:highlight w:val="none"/>
        </w:rPr>
      </w:pPr>
    </w:p>
    <w:p w14:paraId="2C2DB31D">
      <w:pPr>
        <w:pStyle w:val="23"/>
        <w:rPr>
          <w:rFonts w:hint="eastAsia"/>
          <w:color w:val="auto"/>
          <w:highlight w:val="none"/>
        </w:rPr>
      </w:pPr>
    </w:p>
    <w:p w14:paraId="0DB0D00C">
      <w:pPr>
        <w:pStyle w:val="23"/>
        <w:rPr>
          <w:rFonts w:hint="eastAsia"/>
          <w:color w:val="auto"/>
          <w:highlight w:val="none"/>
        </w:rPr>
      </w:pPr>
    </w:p>
    <w:p w14:paraId="41F25163">
      <w:pPr>
        <w:pStyle w:val="23"/>
        <w:rPr>
          <w:rFonts w:hint="eastAsia"/>
          <w:color w:val="auto"/>
          <w:highlight w:val="none"/>
        </w:rPr>
      </w:pPr>
    </w:p>
    <w:p w14:paraId="76088901">
      <w:pPr>
        <w:pStyle w:val="23"/>
        <w:rPr>
          <w:rFonts w:hint="eastAsia"/>
          <w:color w:val="auto"/>
          <w:highlight w:val="none"/>
        </w:rPr>
      </w:pPr>
    </w:p>
    <w:p w14:paraId="2AE8DF77">
      <w:pPr>
        <w:pStyle w:val="23"/>
        <w:rPr>
          <w:rFonts w:hint="eastAsia"/>
          <w:color w:val="auto"/>
          <w:highlight w:val="none"/>
        </w:rPr>
      </w:pPr>
    </w:p>
    <w:p w14:paraId="779E6257">
      <w:pPr>
        <w:pStyle w:val="23"/>
        <w:tabs>
          <w:tab w:val="left" w:pos="1803"/>
          <w:tab w:val="clear" w:pos="4153"/>
        </w:tabs>
        <w:rPr>
          <w:rFonts w:hint="eastAsia" w:eastAsia="华文仿宋"/>
          <w:color w:val="auto"/>
          <w:highlight w:val="none"/>
          <w:lang w:eastAsia="zh-CN"/>
        </w:rPr>
      </w:pPr>
      <w:r>
        <w:rPr>
          <w:rFonts w:hint="eastAsia"/>
          <w:color w:val="auto"/>
          <w:highlight w:val="none"/>
          <w:lang w:eastAsia="zh-CN"/>
        </w:rPr>
        <w:tab/>
      </w:r>
    </w:p>
    <w:p w14:paraId="3121F6F2">
      <w:pPr>
        <w:pStyle w:val="23"/>
        <w:rPr>
          <w:rFonts w:hint="eastAsia"/>
          <w:color w:val="auto"/>
          <w:highlight w:val="none"/>
        </w:rPr>
      </w:pPr>
    </w:p>
    <w:p w14:paraId="0ABFEC75">
      <w:pPr>
        <w:pStyle w:val="23"/>
        <w:rPr>
          <w:rFonts w:hint="eastAsia"/>
          <w:color w:val="auto"/>
          <w:highlight w:val="none"/>
        </w:rPr>
      </w:pPr>
    </w:p>
    <w:p w14:paraId="18986C76">
      <w:pPr>
        <w:pStyle w:val="23"/>
        <w:rPr>
          <w:rFonts w:hint="eastAsia"/>
          <w:color w:val="auto"/>
          <w:highlight w:val="none"/>
        </w:rPr>
      </w:pPr>
    </w:p>
    <w:p w14:paraId="3C97D9A7">
      <w:pPr>
        <w:pStyle w:val="23"/>
        <w:rPr>
          <w:rFonts w:hint="eastAsia"/>
          <w:color w:val="auto"/>
          <w:highlight w:val="none"/>
        </w:rPr>
      </w:pPr>
    </w:p>
    <w:p w14:paraId="454522AA">
      <w:pPr>
        <w:pStyle w:val="23"/>
        <w:rPr>
          <w:rFonts w:hint="eastAsia"/>
          <w:color w:val="auto"/>
          <w:highlight w:val="none"/>
        </w:rPr>
      </w:pPr>
    </w:p>
    <w:p w14:paraId="24D63949">
      <w:pPr>
        <w:pStyle w:val="23"/>
        <w:rPr>
          <w:rFonts w:hint="eastAsia"/>
          <w:color w:val="auto"/>
          <w:highlight w:val="none"/>
        </w:rPr>
      </w:pPr>
      <w:r>
        <w:rPr>
          <w:rFonts w:hint="eastAsia"/>
          <w:color w:val="auto"/>
          <w:highlight w:val="none"/>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1"/>
                    <a:stretch>
                      <a:fillRect/>
                    </a:stretch>
                  </pic:blipFill>
                  <pic:spPr>
                    <a:xfrm>
                      <a:off x="0" y="0"/>
                      <a:ext cx="353060" cy="255905"/>
                    </a:xfrm>
                    <a:prstGeom prst="rect">
                      <a:avLst/>
                    </a:prstGeom>
                  </pic:spPr>
                </pic:pic>
              </a:graphicData>
            </a:graphic>
          </wp:anchor>
        </w:drawing>
      </w:r>
    </w:p>
    <w:p w14:paraId="2E92E3E0">
      <w:pPr>
        <w:spacing w:line="440" w:lineRule="exact"/>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安康尚昊招标代理有限公司</w:t>
      </w:r>
    </w:p>
    <w:p w14:paraId="263E44CE">
      <w:pPr>
        <w:spacing w:line="44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407E122C">
      <w:pPr>
        <w:autoSpaceDE w:val="0"/>
        <w:autoSpaceDN w:val="0"/>
        <w:spacing w:line="440" w:lineRule="exact"/>
        <w:ind w:firstLine="131" w:firstLineChars="50"/>
        <w:rPr>
          <w:rFonts w:hint="eastAsia" w:ascii="宋体" w:hAnsi="宋体" w:eastAsia="宋体" w:cs="宋体"/>
          <w:color w:val="auto"/>
          <w:sz w:val="28"/>
          <w:szCs w:val="28"/>
          <w:highlight w:val="none"/>
        </w:rPr>
      </w:pPr>
      <w:r>
        <w:rPr>
          <w:rFonts w:hint="eastAsia" w:ascii="宋体" w:hAnsi="宋体" w:eastAsia="宋体" w:cs="宋体"/>
          <w:color w:val="auto"/>
          <w:spacing w:val="1"/>
          <w:w w:val="93"/>
          <w:kern w:val="0"/>
          <w:sz w:val="28"/>
          <w:szCs w:val="28"/>
          <w:highlight w:val="none"/>
          <w:fitText w:val="1050" w:id="1526095450"/>
        </w:rPr>
        <w:t xml:space="preserve">地    </w:t>
      </w:r>
      <w:r>
        <w:rPr>
          <w:rFonts w:hint="eastAsia" w:ascii="宋体" w:hAnsi="宋体" w:eastAsia="宋体" w:cs="宋体"/>
          <w:color w:val="auto"/>
          <w:spacing w:val="0"/>
          <w:w w:val="93"/>
          <w:kern w:val="0"/>
          <w:sz w:val="28"/>
          <w:szCs w:val="28"/>
          <w:highlight w:val="none"/>
          <w:fitText w:val="1050" w:id="1526095450"/>
        </w:rPr>
        <w:t>址</w:t>
      </w:r>
      <w:r>
        <w:rPr>
          <w:rFonts w:hint="eastAsia" w:ascii="宋体" w:hAnsi="宋体" w:eastAsia="宋体" w:cs="宋体"/>
          <w:color w:val="auto"/>
          <w:spacing w:val="-6"/>
          <w:sz w:val="28"/>
          <w:szCs w:val="28"/>
          <w:highlight w:val="none"/>
        </w:rPr>
        <w:t>：</w:t>
      </w:r>
      <w:r>
        <w:rPr>
          <w:rFonts w:hint="eastAsia" w:ascii="宋体" w:hAnsi="宋体" w:eastAsia="宋体" w:cs="宋体"/>
          <w:color w:val="auto"/>
          <w:spacing w:val="-6"/>
          <w:sz w:val="28"/>
          <w:szCs w:val="28"/>
          <w:highlight w:val="none"/>
          <w:lang w:eastAsia="zh-CN"/>
        </w:rPr>
        <w:t>安康市高新区高新观澜8栋二单元801室</w:t>
      </w:r>
    </w:p>
    <w:p w14:paraId="107BBEB1">
      <w:pPr>
        <w:autoSpaceDE w:val="0"/>
        <w:autoSpaceDN w:val="0"/>
        <w:spacing w:line="440" w:lineRule="exact"/>
        <w:ind w:firstLine="131" w:firstLineChars="50"/>
        <w:rPr>
          <w:rFonts w:hint="eastAsia" w:ascii="宋体" w:hAnsi="宋体" w:eastAsia="宋体" w:cs="宋体"/>
          <w:color w:val="auto"/>
          <w:sz w:val="28"/>
          <w:szCs w:val="28"/>
          <w:highlight w:val="none"/>
        </w:rPr>
      </w:pPr>
      <w:r>
        <w:rPr>
          <w:rFonts w:hint="eastAsia" w:ascii="宋体" w:hAnsi="宋体" w:eastAsia="宋体" w:cs="宋体"/>
          <w:color w:val="auto"/>
          <w:spacing w:val="1"/>
          <w:w w:val="93"/>
          <w:kern w:val="0"/>
          <w:sz w:val="28"/>
          <w:szCs w:val="28"/>
          <w:highlight w:val="none"/>
          <w:fitText w:val="1050" w:id="1233937788"/>
        </w:rPr>
        <w:t xml:space="preserve">邮    </w:t>
      </w:r>
      <w:r>
        <w:rPr>
          <w:rFonts w:hint="eastAsia" w:ascii="宋体" w:hAnsi="宋体" w:eastAsia="宋体" w:cs="宋体"/>
          <w:color w:val="auto"/>
          <w:spacing w:val="0"/>
          <w:w w:val="93"/>
          <w:kern w:val="0"/>
          <w:sz w:val="28"/>
          <w:szCs w:val="28"/>
          <w:highlight w:val="none"/>
          <w:fitText w:val="1050" w:id="1233937788"/>
        </w:rPr>
        <w:t>编</w:t>
      </w:r>
      <w:r>
        <w:rPr>
          <w:rFonts w:hint="eastAsia" w:ascii="宋体" w:hAnsi="宋体" w:eastAsia="宋体" w:cs="宋体"/>
          <w:color w:val="auto"/>
          <w:sz w:val="28"/>
          <w:szCs w:val="28"/>
          <w:highlight w:val="none"/>
        </w:rPr>
        <w:t>：725000</w:t>
      </w:r>
    </w:p>
    <w:p w14:paraId="6809C99E">
      <w:pPr>
        <w:autoSpaceDE w:val="0"/>
        <w:autoSpaceDN w:val="0"/>
        <w:spacing w:line="440" w:lineRule="exact"/>
        <w:ind w:firstLine="131" w:firstLineChars="5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pacing w:val="1"/>
          <w:w w:val="93"/>
          <w:kern w:val="0"/>
          <w:sz w:val="28"/>
          <w:szCs w:val="28"/>
          <w:highlight w:val="none"/>
          <w:fitText w:val="1050" w:id="151077986"/>
        </w:rPr>
        <w:t xml:space="preserve">电    </w:t>
      </w:r>
      <w:r>
        <w:rPr>
          <w:rFonts w:hint="eastAsia" w:ascii="宋体" w:hAnsi="宋体" w:eastAsia="宋体" w:cs="宋体"/>
          <w:color w:val="auto"/>
          <w:spacing w:val="0"/>
          <w:w w:val="93"/>
          <w:kern w:val="0"/>
          <w:sz w:val="28"/>
          <w:szCs w:val="28"/>
          <w:highlight w:val="none"/>
          <w:fitText w:val="1050" w:id="151077986"/>
        </w:rPr>
        <w:t>话</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13991519725</w:t>
      </w:r>
    </w:p>
    <w:p w14:paraId="42B5413C">
      <w:pPr>
        <w:autoSpaceDE w:val="0"/>
        <w:autoSpaceDN w:val="0"/>
        <w:spacing w:line="440" w:lineRule="exact"/>
        <w:ind w:firstLine="131" w:firstLineChars="50"/>
        <w:rPr>
          <w:rFonts w:hint="eastAsia" w:ascii="宋体" w:hAnsi="宋体" w:eastAsia="宋体" w:cs="宋体"/>
          <w:color w:val="auto"/>
          <w:sz w:val="28"/>
          <w:szCs w:val="28"/>
          <w:highlight w:val="none"/>
        </w:rPr>
      </w:pPr>
      <w:r>
        <w:rPr>
          <w:rFonts w:hint="eastAsia" w:ascii="宋体" w:hAnsi="宋体" w:eastAsia="宋体" w:cs="宋体"/>
          <w:color w:val="auto"/>
          <w:spacing w:val="1"/>
          <w:w w:val="93"/>
          <w:kern w:val="0"/>
          <w:sz w:val="28"/>
          <w:szCs w:val="28"/>
          <w:highlight w:val="none"/>
          <w:fitText w:val="1050" w:id="1983012144"/>
          <w:lang w:eastAsia="zh-CN"/>
        </w:rPr>
        <w:t>公司名称</w:t>
      </w:r>
      <w:r>
        <w:rPr>
          <w:rFonts w:hint="eastAsia" w:ascii="宋体" w:hAnsi="宋体" w:eastAsia="宋体" w:cs="宋体"/>
          <w:color w:val="auto"/>
          <w:sz w:val="28"/>
          <w:szCs w:val="28"/>
          <w:highlight w:val="none"/>
        </w:rPr>
        <w:t>：安康尚昊招标代理有限公司</w:t>
      </w:r>
    </w:p>
    <w:p w14:paraId="24D5E6EC">
      <w:pPr>
        <w:autoSpaceDE w:val="0"/>
        <w:autoSpaceDN w:val="0"/>
        <w:spacing w:line="440" w:lineRule="exact"/>
        <w:ind w:firstLine="131" w:firstLineChars="50"/>
        <w:rPr>
          <w:rFonts w:hint="eastAsia" w:ascii="宋体" w:hAnsi="宋体" w:eastAsia="宋体" w:cs="宋体"/>
          <w:color w:val="auto"/>
          <w:sz w:val="28"/>
          <w:szCs w:val="28"/>
          <w:highlight w:val="none"/>
        </w:rPr>
      </w:pPr>
      <w:r>
        <w:rPr>
          <w:rFonts w:hint="eastAsia" w:ascii="宋体" w:hAnsi="宋体" w:eastAsia="宋体" w:cs="宋体"/>
          <w:color w:val="auto"/>
          <w:spacing w:val="1"/>
          <w:w w:val="93"/>
          <w:kern w:val="0"/>
          <w:sz w:val="28"/>
          <w:szCs w:val="28"/>
          <w:highlight w:val="none"/>
          <w:fitText w:val="1050" w:id="672741232"/>
        </w:rPr>
        <w:t>开户银行</w:t>
      </w:r>
      <w:r>
        <w:rPr>
          <w:rFonts w:hint="eastAsia" w:ascii="宋体" w:hAnsi="宋体" w:eastAsia="宋体" w:cs="宋体"/>
          <w:color w:val="auto"/>
          <w:sz w:val="28"/>
          <w:szCs w:val="28"/>
          <w:highlight w:val="none"/>
        </w:rPr>
        <w:t>：中国建设银行股份有限公司安康分行营业部</w:t>
      </w:r>
    </w:p>
    <w:p w14:paraId="5AEBF3B1">
      <w:pPr>
        <w:autoSpaceDE w:val="0"/>
        <w:autoSpaceDN w:val="0"/>
        <w:spacing w:line="440" w:lineRule="exact"/>
        <w:ind w:firstLine="131" w:firstLineChars="50"/>
        <w:rPr>
          <w:rFonts w:hint="eastAsia" w:ascii="宋体" w:hAnsi="宋体" w:eastAsia="宋体" w:cs="宋体"/>
          <w:color w:val="auto"/>
          <w:sz w:val="28"/>
          <w:szCs w:val="28"/>
          <w:highlight w:val="none"/>
        </w:rPr>
      </w:pPr>
      <w:r>
        <w:rPr>
          <w:rFonts w:hint="eastAsia" w:ascii="宋体" w:hAnsi="宋体" w:eastAsia="宋体" w:cs="宋体"/>
          <w:color w:val="auto"/>
          <w:spacing w:val="1"/>
          <w:w w:val="93"/>
          <w:kern w:val="0"/>
          <w:sz w:val="28"/>
          <w:szCs w:val="28"/>
          <w:highlight w:val="none"/>
          <w:fitText w:val="1050" w:id="2052484453"/>
        </w:rPr>
        <w:t xml:space="preserve">账    </w:t>
      </w:r>
      <w:r>
        <w:rPr>
          <w:rFonts w:hint="eastAsia" w:ascii="宋体" w:hAnsi="宋体" w:eastAsia="宋体" w:cs="宋体"/>
          <w:color w:val="auto"/>
          <w:spacing w:val="0"/>
          <w:w w:val="93"/>
          <w:kern w:val="0"/>
          <w:sz w:val="28"/>
          <w:szCs w:val="28"/>
          <w:highlight w:val="none"/>
          <w:fitText w:val="1050" w:id="2052484453"/>
        </w:rPr>
        <w:t>号</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32"/>
          <w:highlight w:val="none"/>
        </w:rPr>
        <w:t>61050166371100000492</w:t>
      </w:r>
      <w:r>
        <w:rPr>
          <w:rFonts w:hint="eastAsia" w:ascii="宋体" w:hAnsi="宋体" w:eastAsia="宋体" w:cs="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11C60ED8">
      <w:pPr>
        <w:bidi w:val="0"/>
        <w:rPr>
          <w:rFonts w:hint="eastAsia" w:ascii="仿宋" w:hAnsi="仿宋" w:eastAsia="仿宋" w:cs="仿宋"/>
          <w:color w:val="auto"/>
          <w:kern w:val="2"/>
          <w:sz w:val="22"/>
          <w:szCs w:val="22"/>
          <w:highlight w:val="none"/>
          <w:lang w:val="en-US" w:eastAsia="zh-CN" w:bidi="ar-SA"/>
        </w:rPr>
      </w:pPr>
    </w:p>
    <w:sectPr>
      <w:footerReference r:id="rId19" w:type="default"/>
      <w:pgSz w:w="11905" w:h="16838"/>
      <w:pgMar w:top="1304" w:right="1304" w:bottom="1304" w:left="1304" w:header="964" w:footer="1020" w:gutter="0"/>
      <w:pgBorders>
        <w:top w:val="none" w:sz="0" w:space="0"/>
        <w:left w:val="none" w:sz="0" w:space="0"/>
        <w:bottom w:val="none" w:sz="0" w:space="0"/>
        <w:right w:val="none" w:sz="0" w:space="0"/>
      </w:pgBorders>
      <w:pgNumType w:fmt="decimal"/>
      <w:cols w:space="0" w:num="1"/>
      <w:rtlGutter w:val="0"/>
      <w:docGrid w:type="lines" w:linePitch="395"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1" w:author="熊律师" w:date="2026-06-24T09:43:00Z" w:initials="">
    <w:p w14:paraId="743EF6C1">
      <w:r>
        <w:rPr>
          <w:rFonts w:ascii="宋体" w:hAnsi="宋体" w:eastAsia="宋体" w:cs="宋体"/>
          <w:color w:val="0000FF"/>
          <w:kern w:val="0"/>
          <w:sz w:val="24"/>
        </w:rPr>
        <w:t>【提示】质量异议期与验收时限存在冲突</w:t>
      </w:r>
      <w:r>
        <w:rPr>
          <w:rFonts w:ascii="宋体" w:hAnsi="宋体" w:eastAsia="宋体" w:cs="宋体"/>
          <w:color w:val="0000FF"/>
          <w:kern w:val="0"/>
          <w:sz w:val="24"/>
        </w:rPr>
        <w:br w:type="textWrapping"/>
      </w:r>
      <w:r>
        <w:rPr>
          <w:rFonts w:ascii="宋体" w:hAnsi="宋体" w:eastAsia="宋体" w:cs="宋体"/>
          <w:color w:val="0000FF"/>
          <w:kern w:val="0"/>
          <w:sz w:val="24"/>
        </w:rPr>
        <w:t>【说明】第七条规定甲方应在收到货物后5个工作日内完成验收并签署验收单，逾期未提出书面异议视为验收合格。但第六十二条又规定甲方应在收货后15个工作日内书面提出质量异议，逾期未提出视为验收合格。两者时限不一致，可能引发关于质量异议期起算点的争议，建议统一相关表述，避免乙方利用时间差主张权利。</w:t>
      </w:r>
    </w:p>
  </w:comment>
  <w:comment w:id="2" w:author="熊律师" w:date="2026-06-24T09:36:00Z" w:initials="">
    <w:p w14:paraId="10C321CA">
      <w:r>
        <w:rPr>
          <w:rFonts w:ascii="宋体" w:hAnsi="宋体" w:eastAsia="宋体" w:cs="宋体"/>
          <w:color w:val="0000FF"/>
          <w:kern w:val="0"/>
          <w:sz w:val="24"/>
        </w:rPr>
        <w:t>【提示】保质期起算标准不一致</w:t>
      </w:r>
      <w:r>
        <w:rPr>
          <w:rFonts w:ascii="宋体" w:hAnsi="宋体" w:eastAsia="宋体" w:cs="宋体"/>
          <w:color w:val="0000FF"/>
          <w:kern w:val="0"/>
          <w:sz w:val="24"/>
        </w:rPr>
        <w:br w:type="textWrapping"/>
      </w:r>
      <w:r>
        <w:rPr>
          <w:rFonts w:ascii="宋体" w:hAnsi="宋体" w:eastAsia="宋体" w:cs="宋体"/>
          <w:color w:val="0000FF"/>
          <w:kern w:val="0"/>
          <w:sz w:val="24"/>
        </w:rPr>
        <w:t>【说明】第六条第2款与第七条第3款关于保质期的起算标准分别为“自交付日至保质期应不少于12个月(如适用)”和“物资保质期不得少于生产日期起12个月”，表述不一致，易引发质量争议。请甲方确认统一标准后调整对应条款。</w:t>
      </w:r>
    </w:p>
  </w:comment>
  <w:comment w:id="0" w:author="熊律师" w:date="2026-06-24T09:47:00Z" w:initials="">
    <w:p w14:paraId="685A1F56">
      <w:r>
        <w:rPr>
          <w:rFonts w:ascii="宋体" w:hAnsi="宋体" w:eastAsia="宋体" w:cs="宋体"/>
          <w:color w:val="auto"/>
          <w:kern w:val="0"/>
          <w:sz w:val="24"/>
        </w:rPr>
        <w:t>【风险点】验收异议期限约定冲突</w:t>
      </w:r>
      <w:r>
        <w:rPr>
          <w:rFonts w:ascii="宋体" w:hAnsi="宋体" w:eastAsia="宋体" w:cs="宋体"/>
          <w:color w:val="auto"/>
          <w:kern w:val="0"/>
          <w:sz w:val="24"/>
        </w:rPr>
        <w:br w:type="textWrapping"/>
      </w:r>
      <w:r>
        <w:rPr>
          <w:rFonts w:ascii="宋体" w:hAnsi="宋体" w:eastAsia="宋体" w:cs="宋体"/>
          <w:color w:val="auto"/>
          <w:kern w:val="0"/>
          <w:sz w:val="24"/>
        </w:rPr>
        <w:t>【说明】原文关于验收异议期限存在多处不一致（2日、5日、当场、15日），容易引发争议。统一为15个工作日内可书面提出质量异议，逾期视为外观质量验收合格，但不影响追究产品固有缺陷责任，最大化保障甲方权益。</w:t>
      </w:r>
      <w:r>
        <w:rPr>
          <w:rFonts w:ascii="宋体" w:hAnsi="宋体" w:eastAsia="宋体" w:cs="宋体"/>
          <w:color w:val="auto"/>
          <w:kern w:val="0"/>
          <w:sz w:val="24"/>
        </w:rPr>
        <w:br w:type="textWrapping"/>
      </w:r>
      <w:r>
        <w:rPr>
          <w:rFonts w:ascii="宋体" w:hAnsi="宋体" w:eastAsia="宋体" w:cs="宋体"/>
          <w:color w:val="auto"/>
          <w:kern w:val="0"/>
          <w:sz w:val="24"/>
        </w:rPr>
        <w:t>【修改建议】甲方</w:t>
      </w:r>
      <w:r>
        <w:rPr>
          <w:rFonts w:ascii="宋体" w:hAnsi="宋体" w:eastAsia="宋体" w:cs="宋体"/>
          <w:strike/>
          <w:color w:val="999999"/>
          <w:kern w:val="0"/>
          <w:sz w:val="24"/>
        </w:rPr>
        <w:t>应在收到货物后5个工作日内完成验收并签署验收单，逾期未提出书面异议视为验收合格。 1.合同文本、合同附件、磋商文件、磋商响应文件，以及合同附件载明的具体技术参数和核心质量标准。 2.国内相应的标准、规范，签收单据。 3、物资保质期不得少于生产日期起 12 个月。 八、双方权利和义务 (一)甲方的权利和义务 1.甲方</w:t>
      </w:r>
      <w:r>
        <w:rPr>
          <w:rFonts w:ascii="宋体" w:hAnsi="宋体" w:eastAsia="宋体" w:cs="宋体"/>
          <w:color w:val="auto"/>
          <w:kern w:val="0"/>
          <w:sz w:val="24"/>
        </w:rPr>
        <w:t>有权</w:t>
      </w:r>
      <w:r>
        <w:rPr>
          <w:rFonts w:ascii="宋体" w:hAnsi="宋体" w:eastAsia="宋体" w:cs="宋体"/>
          <w:strike/>
          <w:color w:val="999999"/>
          <w:kern w:val="0"/>
          <w:sz w:val="24"/>
        </w:rPr>
        <w:t>利要求乙方出示所采购产品的质检报告或甲方有权利对乙方所供货物进行另行抽检、对乙方提供的货物进行抽查。甲方应</w:t>
      </w:r>
      <w:r>
        <w:rPr>
          <w:rFonts w:ascii="宋体" w:hAnsi="宋体" w:eastAsia="宋体" w:cs="宋体"/>
          <w:color w:val="auto"/>
          <w:kern w:val="0"/>
          <w:sz w:val="24"/>
        </w:rPr>
        <w:t>自</w:t>
      </w:r>
      <w:r>
        <w:rPr>
          <w:rFonts w:ascii="宋体" w:hAnsi="宋体" w:eastAsia="宋体" w:cs="宋体"/>
          <w:strike/>
          <w:color w:val="999999"/>
          <w:kern w:val="0"/>
          <w:sz w:val="24"/>
        </w:rPr>
        <w:t>每批</w:t>
      </w:r>
      <w:r>
        <w:rPr>
          <w:rFonts w:ascii="宋体" w:hAnsi="宋体" w:eastAsia="宋体" w:cs="宋体"/>
          <w:color w:val="auto"/>
          <w:kern w:val="0"/>
          <w:sz w:val="24"/>
        </w:rPr>
        <w:t>收货后</w:t>
      </w:r>
      <w:r>
        <w:rPr>
          <w:rFonts w:ascii="宋体" w:hAnsi="宋体" w:eastAsia="宋体" w:cs="宋体"/>
          <w:strike/>
          <w:color w:val="999999"/>
          <w:kern w:val="0"/>
          <w:sz w:val="24"/>
        </w:rPr>
        <w:t>2</w:t>
      </w:r>
      <w:r>
        <w:rPr>
          <w:rFonts w:ascii="宋体" w:hAnsi="宋体" w:eastAsia="宋体" w:cs="宋体"/>
          <w:color w:val="FF0000"/>
          <w:kern w:val="0"/>
          <w:sz w:val="24"/>
        </w:rPr>
        <w:t>15</w:t>
      </w:r>
      <w:r>
        <w:rPr>
          <w:rFonts w:ascii="宋体" w:hAnsi="宋体" w:eastAsia="宋体" w:cs="宋体"/>
          <w:color w:val="auto"/>
          <w:kern w:val="0"/>
          <w:sz w:val="24"/>
        </w:rPr>
        <w:t>个工作日内</w:t>
      </w:r>
      <w:r>
        <w:rPr>
          <w:rFonts w:ascii="宋体" w:hAnsi="宋体" w:eastAsia="宋体" w:cs="宋体"/>
          <w:strike/>
          <w:color w:val="999999"/>
          <w:kern w:val="0"/>
          <w:sz w:val="24"/>
        </w:rPr>
        <w:t>完成初步验收，并以</w:t>
      </w:r>
      <w:r>
        <w:rPr>
          <w:rFonts w:ascii="宋体" w:hAnsi="宋体" w:eastAsia="宋体" w:cs="宋体"/>
          <w:color w:val="auto"/>
          <w:kern w:val="0"/>
          <w:sz w:val="24"/>
        </w:rPr>
        <w:t>书面</w:t>
      </w:r>
      <w:r>
        <w:rPr>
          <w:rFonts w:ascii="宋体" w:hAnsi="宋体" w:eastAsia="宋体" w:cs="宋体"/>
          <w:strike/>
          <w:color w:val="999999"/>
          <w:kern w:val="0"/>
          <w:sz w:val="24"/>
        </w:rPr>
        <w:t>或电子方式反馈，如发现不合格货物有权要求乙方无条件更换，并可顺延后续结算及付款时间。、对乙方所供货物进行规范储存要求、对乙方的服务进行监督和评判。 2.甲方有权利拒绝接受非卖方采购产品、对乙方所供产品包装破损的产品</w:t>
      </w:r>
      <w:r>
        <w:rPr>
          <w:rFonts w:ascii="宋体" w:hAnsi="宋体" w:eastAsia="宋体" w:cs="宋体"/>
          <w:color w:val="auto"/>
          <w:kern w:val="0"/>
          <w:sz w:val="24"/>
        </w:rPr>
        <w:t>提出</w:t>
      </w:r>
      <w:r>
        <w:rPr>
          <w:rFonts w:ascii="宋体" w:hAnsi="宋体" w:eastAsia="宋体" w:cs="宋体"/>
          <w:strike/>
          <w:color w:val="999999"/>
          <w:kern w:val="0"/>
          <w:sz w:val="24"/>
        </w:rPr>
        <w:t>异议或拒绝接受。甲方应在收货时当场提出书面</w:t>
      </w:r>
      <w:r>
        <w:rPr>
          <w:rFonts w:ascii="宋体" w:hAnsi="宋体" w:eastAsia="宋体" w:cs="宋体"/>
          <w:color w:val="auto"/>
          <w:kern w:val="0"/>
          <w:sz w:val="24"/>
        </w:rPr>
        <w:t>质量异议，逾期未提出</w:t>
      </w:r>
      <w:r>
        <w:rPr>
          <w:rFonts w:ascii="宋体" w:hAnsi="宋体" w:eastAsia="宋体" w:cs="宋体"/>
          <w:strike/>
          <w:color w:val="999999"/>
          <w:kern w:val="0"/>
          <w:sz w:val="24"/>
        </w:rPr>
        <w:t>的，</w:t>
      </w:r>
      <w:r>
        <w:rPr>
          <w:rFonts w:ascii="宋体" w:hAnsi="宋体" w:eastAsia="宋体" w:cs="宋体"/>
          <w:color w:val="auto"/>
          <w:kern w:val="0"/>
          <w:sz w:val="24"/>
        </w:rPr>
        <w:t>视为</w:t>
      </w:r>
      <w:r>
        <w:rPr>
          <w:rFonts w:ascii="宋体" w:hAnsi="宋体" w:eastAsia="宋体" w:cs="宋体"/>
          <w:color w:val="FF0000"/>
          <w:kern w:val="0"/>
          <w:sz w:val="24"/>
        </w:rPr>
        <w:t>外观质量</w:t>
      </w:r>
      <w:r>
        <w:rPr>
          <w:rFonts w:ascii="宋体" w:hAnsi="宋体" w:eastAsia="宋体" w:cs="宋体"/>
          <w:color w:val="auto"/>
          <w:kern w:val="0"/>
          <w:sz w:val="24"/>
        </w:rPr>
        <w:t>验收合格</w:t>
      </w:r>
      <w:r>
        <w:rPr>
          <w:rFonts w:ascii="宋体" w:hAnsi="宋体" w:eastAsia="宋体" w:cs="宋体"/>
          <w:color w:val="FF0000"/>
          <w:kern w:val="0"/>
          <w:sz w:val="24"/>
        </w:rPr>
        <w:t>，但不影响甲方依法追究产品本身固有质量缺陷的责任</w:t>
      </w:r>
      <w:r>
        <w:rPr>
          <w:rFonts w:ascii="宋体" w:hAnsi="宋体" w:eastAsia="宋体" w:cs="宋体"/>
          <w:color w:val="auto"/>
          <w:kern w:val="0"/>
          <w:sz w:val="24"/>
        </w:rPr>
        <w:t>。</w:t>
      </w:r>
    </w:p>
  </w:comment>
  <w:comment w:id="3" w:author="熊律师" w:date="2026-06-24T09:51:00Z" w:initials="">
    <w:p w14:paraId="3E73A383">
      <w:r>
        <w:rPr>
          <w:rFonts w:ascii="宋体" w:hAnsi="宋体" w:eastAsia="宋体" w:cs="宋体"/>
          <w:color w:val="auto"/>
          <w:kern w:val="0"/>
          <w:sz w:val="24"/>
        </w:rPr>
        <w:t>【风险点】甲方通知义务限制配送灵活性</w:t>
      </w:r>
      <w:r>
        <w:rPr>
          <w:rFonts w:ascii="宋体" w:hAnsi="宋体" w:eastAsia="宋体" w:cs="宋体"/>
          <w:color w:val="auto"/>
          <w:kern w:val="0"/>
          <w:sz w:val="24"/>
        </w:rPr>
        <w:br w:type="textWrapping"/>
      </w:r>
      <w:r>
        <w:rPr>
          <w:rFonts w:ascii="宋体" w:hAnsi="宋体" w:eastAsia="宋体" w:cs="宋体"/>
          <w:color w:val="auto"/>
          <w:kern w:val="0"/>
          <w:sz w:val="24"/>
        </w:rPr>
        <w:t>【说明】原条款要求甲方提前一天通知乙方，限制甲方配送安排的灵活性。修改后删除强制提前通知义务，保障甲方根据实际情况灵活安排配送。</w:t>
      </w:r>
      <w:r>
        <w:rPr>
          <w:rFonts w:ascii="宋体" w:hAnsi="宋体" w:eastAsia="宋体" w:cs="宋体"/>
          <w:color w:val="auto"/>
          <w:kern w:val="0"/>
          <w:sz w:val="24"/>
        </w:rPr>
        <w:br w:type="textWrapping"/>
      </w:r>
      <w:r>
        <w:rPr>
          <w:rFonts w:ascii="宋体" w:hAnsi="宋体" w:eastAsia="宋体" w:cs="宋体"/>
          <w:color w:val="auto"/>
          <w:kern w:val="0"/>
          <w:sz w:val="24"/>
        </w:rPr>
        <w:t>【修改建议】在供货业务运行过程中出现时间、地点、人员变化等现象，甲方</w:t>
      </w:r>
      <w:r>
        <w:rPr>
          <w:rFonts w:ascii="宋体" w:hAnsi="宋体" w:eastAsia="宋体" w:cs="宋体"/>
          <w:strike/>
          <w:color w:val="999999"/>
          <w:kern w:val="0"/>
          <w:sz w:val="24"/>
        </w:rPr>
        <w:t>有义务事先(提前一天)书面通告乙方并配合乙方完成后续交接等事宜;甲方有权</w:t>
      </w:r>
      <w:r>
        <w:rPr>
          <w:rFonts w:ascii="宋体" w:hAnsi="宋体" w:eastAsia="宋体" w:cs="宋体"/>
          <w:color w:val="FF0000"/>
          <w:kern w:val="0"/>
          <w:sz w:val="24"/>
        </w:rPr>
        <w:t>可</w:t>
      </w:r>
      <w:r>
        <w:rPr>
          <w:rFonts w:ascii="宋体" w:hAnsi="宋体" w:eastAsia="宋体" w:cs="宋体"/>
          <w:color w:val="auto"/>
          <w:kern w:val="0"/>
          <w:sz w:val="24"/>
        </w:rPr>
        <w:t>根据实际情况自主</w:t>
      </w:r>
      <w:r>
        <w:rPr>
          <w:rFonts w:ascii="宋体" w:hAnsi="宋体" w:eastAsia="宋体" w:cs="宋体"/>
          <w:strike/>
          <w:color w:val="999999"/>
          <w:kern w:val="0"/>
          <w:sz w:val="24"/>
        </w:rPr>
        <w:t>安排货物交接流程、</w:t>
      </w:r>
      <w:r>
        <w:rPr>
          <w:rFonts w:ascii="宋体" w:hAnsi="宋体" w:eastAsia="宋体" w:cs="宋体"/>
          <w:color w:val="FF0000"/>
          <w:kern w:val="0"/>
          <w:sz w:val="24"/>
        </w:rPr>
        <w:t>决定通知乙方配送调整的</w:t>
      </w:r>
      <w:r>
        <w:rPr>
          <w:rFonts w:ascii="宋体" w:hAnsi="宋体" w:eastAsia="宋体" w:cs="宋体"/>
          <w:color w:val="auto"/>
          <w:kern w:val="0"/>
          <w:sz w:val="24"/>
        </w:rPr>
        <w:t>时间，乙方应</w:t>
      </w:r>
      <w:r>
        <w:rPr>
          <w:rFonts w:ascii="宋体" w:hAnsi="宋体" w:eastAsia="宋体" w:cs="宋体"/>
          <w:strike/>
          <w:color w:val="999999"/>
          <w:kern w:val="0"/>
          <w:sz w:val="24"/>
        </w:rPr>
        <w:t>予</w:t>
      </w:r>
      <w:r>
        <w:rPr>
          <w:rFonts w:ascii="宋体" w:hAnsi="宋体" w:eastAsia="宋体" w:cs="宋体"/>
          <w:color w:val="FF0000"/>
          <w:kern w:val="0"/>
          <w:sz w:val="24"/>
        </w:rPr>
        <w:t>无条件</w:t>
      </w:r>
      <w:r>
        <w:rPr>
          <w:rFonts w:ascii="宋体" w:hAnsi="宋体" w:eastAsia="宋体" w:cs="宋体"/>
          <w:color w:val="auto"/>
          <w:kern w:val="0"/>
          <w:sz w:val="24"/>
        </w:rPr>
        <w:t>配合，相关调整不构成甲方违约或乙方免责理由。</w:t>
      </w:r>
    </w:p>
  </w:comment>
  <w:comment w:id="4" w:author="熊律师" w:date="2026-06-24T09:06:00Z" w:initials="">
    <w:p w14:paraId="1A95A340">
      <w:r>
        <w:rPr>
          <w:rFonts w:ascii="宋体" w:hAnsi="宋体" w:eastAsia="宋体" w:cs="宋体"/>
          <w:color w:val="auto"/>
          <w:kern w:val="0"/>
          <w:sz w:val="24"/>
        </w:rPr>
        <w:t>【风险点】法律名称、取得方式及结算规则不明</w:t>
      </w:r>
      <w:r>
        <w:rPr>
          <w:rFonts w:ascii="宋体" w:hAnsi="宋体" w:eastAsia="宋体" w:cs="宋体"/>
          <w:color w:val="auto"/>
          <w:kern w:val="0"/>
          <w:sz w:val="24"/>
        </w:rPr>
        <w:br w:type="textWrapping"/>
      </w:r>
      <w:r>
        <w:rPr>
          <w:rFonts w:ascii="宋体" w:hAnsi="宋体" w:eastAsia="宋体" w:cs="宋体"/>
          <w:color w:val="auto"/>
          <w:kern w:val="0"/>
          <w:sz w:val="24"/>
        </w:rPr>
        <w:t>【说明】原文存在法律名称表述错误、乙方取得项目方式不明确、总价信息未明确，以及结算规则与总价约定存在冲突。修改后准确引用法律名称，明确乙方通过中标/成交取得项目，补充全量采购总价及据实结算规则，消除歧义，保障合同效力和结算灵活性。</w:t>
      </w:r>
      <w:r>
        <w:rPr>
          <w:rFonts w:ascii="宋体" w:hAnsi="宋体" w:eastAsia="宋体" w:cs="宋体"/>
          <w:color w:val="auto"/>
          <w:kern w:val="0"/>
          <w:sz w:val="24"/>
        </w:rPr>
        <w:br w:type="textWrapping"/>
      </w:r>
      <w:r>
        <w:rPr>
          <w:rFonts w:ascii="宋体" w:hAnsi="宋体" w:eastAsia="宋体" w:cs="宋体"/>
          <w:color w:val="auto"/>
          <w:kern w:val="0"/>
          <w:sz w:val="24"/>
        </w:rPr>
        <w:t>【修改建议】依据《中华人民共和</w:t>
      </w:r>
      <w:r>
        <w:rPr>
          <w:rFonts w:ascii="宋体" w:hAnsi="宋体" w:eastAsia="宋体" w:cs="宋体"/>
          <w:strike/>
          <w:color w:val="999999"/>
          <w:kern w:val="0"/>
          <w:sz w:val="24"/>
        </w:rPr>
        <w:t>围</w:t>
      </w:r>
      <w:r>
        <w:rPr>
          <w:rFonts w:ascii="宋体" w:hAnsi="宋体" w:eastAsia="宋体" w:cs="宋体"/>
          <w:color w:val="FF0000"/>
          <w:kern w:val="0"/>
          <w:sz w:val="24"/>
        </w:rPr>
        <w:t>国</w:t>
      </w:r>
      <w:r>
        <w:rPr>
          <w:rFonts w:ascii="宋体" w:hAnsi="宋体" w:eastAsia="宋体" w:cs="宋体"/>
          <w:color w:val="auto"/>
          <w:kern w:val="0"/>
          <w:sz w:val="24"/>
        </w:rPr>
        <w:t>民法典》和《中华人民共和国政府采购法》，乙方通过</w:t>
      </w:r>
      <w:r>
        <w:rPr>
          <w:rFonts w:ascii="宋体" w:hAnsi="宋体" w:eastAsia="宋体" w:cs="宋体"/>
          <w:strike/>
          <w:color w:val="999999"/>
          <w:kern w:val="0"/>
          <w:sz w:val="24"/>
        </w:rPr>
        <w:t xml:space="preserve"> </w:t>
      </w:r>
      <w:r>
        <w:rPr>
          <w:rFonts w:ascii="宋体" w:hAnsi="宋体" w:eastAsia="宋体" w:cs="宋体"/>
          <w:color w:val="FF0000"/>
          <w:kern w:val="0"/>
          <w:sz w:val="24"/>
        </w:rPr>
        <w:t>【中标/成交】</w:t>
      </w:r>
      <w:r>
        <w:rPr>
          <w:rFonts w:ascii="宋体" w:hAnsi="宋体" w:eastAsia="宋体" w:cs="宋体"/>
          <w:color w:val="auto"/>
          <w:kern w:val="0"/>
          <w:sz w:val="24"/>
        </w:rPr>
        <w:t>取得</w:t>
      </w:r>
      <w:r>
        <w:rPr>
          <w:rFonts w:hint="eastAsia" w:ascii="宋体" w:hAnsi="宋体" w:eastAsia="宋体" w:cs="宋体"/>
          <w:color w:val="auto"/>
          <w:kern w:val="0"/>
          <w:sz w:val="24"/>
          <w:lang w:eastAsia="zh-CN"/>
        </w:rPr>
        <w:t>安康市中心血站献血服务食品采购项目</w:t>
      </w:r>
      <w:r>
        <w:rPr>
          <w:rFonts w:ascii="宋体" w:hAnsi="宋体" w:eastAsia="宋体" w:cs="宋体"/>
          <w:color w:val="auto"/>
          <w:kern w:val="0"/>
          <w:sz w:val="24"/>
        </w:rPr>
        <w:t>，并接受招标成交通知书明确</w:t>
      </w:r>
      <w:r>
        <w:rPr>
          <w:rFonts w:ascii="宋体" w:hAnsi="宋体" w:eastAsia="宋体" w:cs="宋体"/>
          <w:color w:val="FF0000"/>
          <w:kern w:val="0"/>
          <w:sz w:val="24"/>
        </w:rPr>
        <w:t>的1700份全量采购</w:t>
      </w:r>
      <w:r>
        <w:rPr>
          <w:rFonts w:ascii="宋体" w:hAnsi="宋体" w:eastAsia="宋体" w:cs="宋体"/>
          <w:color w:val="auto"/>
          <w:kern w:val="0"/>
          <w:sz w:val="24"/>
        </w:rPr>
        <w:t>总价为</w:t>
      </w:r>
      <w:r>
        <w:rPr>
          <w:rFonts w:ascii="宋体" w:hAnsi="宋体" w:eastAsia="宋体" w:cs="宋体"/>
          <w:strike/>
          <w:color w:val="999999"/>
          <w:kern w:val="0"/>
          <w:sz w:val="24"/>
        </w:rPr>
        <w:t xml:space="preserve"> </w:t>
      </w:r>
      <w:r>
        <w:rPr>
          <w:rFonts w:ascii="宋体" w:hAnsi="宋体" w:eastAsia="宋体" w:cs="宋体"/>
          <w:color w:val="FF0000"/>
          <w:kern w:val="0"/>
          <w:sz w:val="24"/>
        </w:rPr>
        <w:t>【金额】</w:t>
      </w:r>
      <w:r>
        <w:rPr>
          <w:rFonts w:ascii="宋体" w:hAnsi="宋体" w:eastAsia="宋体" w:cs="宋体"/>
          <w:color w:val="auto"/>
          <w:kern w:val="0"/>
          <w:sz w:val="24"/>
        </w:rPr>
        <w:t>，本合同项下</w:t>
      </w:r>
      <w:r>
        <w:rPr>
          <w:rFonts w:ascii="宋体" w:hAnsi="宋体" w:eastAsia="宋体" w:cs="宋体"/>
          <w:color w:val="FF0000"/>
          <w:kern w:val="0"/>
          <w:sz w:val="24"/>
        </w:rPr>
        <w:t>全量采购</w:t>
      </w:r>
      <w:r>
        <w:rPr>
          <w:rFonts w:ascii="宋体" w:hAnsi="宋体" w:eastAsia="宋体" w:cs="宋体"/>
          <w:color w:val="auto"/>
          <w:kern w:val="0"/>
          <w:sz w:val="24"/>
        </w:rPr>
        <w:t>总价以此金额为准</w:t>
      </w:r>
      <w:r>
        <w:rPr>
          <w:rFonts w:ascii="宋体" w:hAnsi="宋体" w:eastAsia="宋体" w:cs="宋体"/>
          <w:color w:val="FF0000"/>
          <w:kern w:val="0"/>
          <w:sz w:val="24"/>
        </w:rPr>
        <w:t>。如实际配送量与约定1700份有差异的</w:t>
      </w:r>
      <w:r>
        <w:rPr>
          <w:rFonts w:ascii="宋体" w:hAnsi="宋体" w:eastAsia="宋体" w:cs="宋体"/>
          <w:color w:val="auto"/>
          <w:kern w:val="0"/>
          <w:sz w:val="24"/>
        </w:rPr>
        <w:t>，</w:t>
      </w:r>
      <w:r>
        <w:rPr>
          <w:rFonts w:ascii="宋体" w:hAnsi="宋体" w:eastAsia="宋体" w:cs="宋体"/>
          <w:color w:val="FF0000"/>
          <w:kern w:val="0"/>
          <w:sz w:val="24"/>
        </w:rPr>
        <w:t>按本合同约定的包死单价乘以甲方确认的实际配送量据实结算。</w:t>
      </w:r>
      <w:r>
        <w:rPr>
          <w:rFonts w:ascii="宋体" w:hAnsi="宋体" w:eastAsia="宋体" w:cs="宋体"/>
          <w:color w:val="auto"/>
          <w:kern w:val="0"/>
          <w:sz w:val="24"/>
        </w:rPr>
        <w:t>如本合同其他条款金额与本条款</w:t>
      </w:r>
      <w:r>
        <w:rPr>
          <w:rFonts w:ascii="宋体" w:hAnsi="宋体" w:eastAsia="宋体" w:cs="宋体"/>
          <w:color w:val="FF0000"/>
          <w:kern w:val="0"/>
          <w:sz w:val="24"/>
        </w:rPr>
        <w:t>约定的单价、全量总价</w:t>
      </w:r>
      <w:r>
        <w:rPr>
          <w:rFonts w:ascii="宋体" w:hAnsi="宋体" w:eastAsia="宋体" w:cs="宋体"/>
          <w:color w:val="auto"/>
          <w:kern w:val="0"/>
          <w:sz w:val="24"/>
        </w:rPr>
        <w:t>不一致，以本条款为准。</w:t>
      </w:r>
    </w:p>
  </w:comment>
  <w:comment w:id="5" w:author="熊律师" w:date="2026-06-24T09:20:00Z" w:initials="">
    <w:p w14:paraId="245C8749">
      <w:r>
        <w:rPr>
          <w:rFonts w:ascii="宋体" w:hAnsi="宋体" w:eastAsia="宋体" w:cs="宋体"/>
          <w:color w:val="auto"/>
          <w:kern w:val="0"/>
          <w:sz w:val="24"/>
        </w:rPr>
        <w:t>【风险点】结算流程与扣款权完善</w:t>
      </w:r>
      <w:r>
        <w:rPr>
          <w:rFonts w:ascii="宋体" w:hAnsi="宋体" w:eastAsia="宋体" w:cs="宋体"/>
          <w:color w:val="auto"/>
          <w:kern w:val="0"/>
          <w:sz w:val="24"/>
        </w:rPr>
        <w:br w:type="textWrapping"/>
      </w:r>
      <w:r>
        <w:rPr>
          <w:rFonts w:ascii="宋体" w:hAnsi="宋体" w:eastAsia="宋体" w:cs="宋体"/>
          <w:color w:val="auto"/>
          <w:kern w:val="0"/>
          <w:sz w:val="24"/>
        </w:rPr>
        <w:t>【说明】原条款未明确开票在先、付款在后的履行顺序，可能导致甲方无法合规取得发票后付款。原条款也未明确甲方扣款权的具体触发条件和操作规则，可能导致甲方维权受阻。修改后保障甲方财务合规，防范付款风险，并明确逾期整改10日即触发扣款权，督促乙方及时处理质量问题，保障甲方利益。</w:t>
      </w:r>
      <w:r>
        <w:rPr>
          <w:rFonts w:ascii="宋体" w:hAnsi="宋体" w:eastAsia="宋体" w:cs="宋体"/>
          <w:color w:val="auto"/>
          <w:kern w:val="0"/>
          <w:sz w:val="24"/>
        </w:rPr>
        <w:br w:type="textWrapping"/>
      </w:r>
      <w:r>
        <w:rPr>
          <w:rFonts w:ascii="宋体" w:hAnsi="宋体" w:eastAsia="宋体" w:cs="宋体"/>
          <w:color w:val="auto"/>
          <w:kern w:val="0"/>
          <w:sz w:val="24"/>
        </w:rPr>
        <w:t>【修改建议】结算方式:根据实际配送量据实结算，以甲方签收确认的配送清单为准</w:t>
      </w:r>
      <w:r>
        <w:rPr>
          <w:rFonts w:ascii="宋体" w:hAnsi="宋体" w:eastAsia="宋体" w:cs="宋体"/>
          <w:color w:val="FF0000"/>
          <w:kern w:val="0"/>
          <w:sz w:val="24"/>
        </w:rPr>
        <w:t>。</w:t>
      </w:r>
      <w:r>
        <w:rPr>
          <w:rFonts w:ascii="宋体" w:hAnsi="宋体" w:eastAsia="宋体" w:cs="宋体"/>
          <w:color w:val="auto"/>
          <w:kern w:val="0"/>
          <w:sz w:val="24"/>
        </w:rPr>
        <w:t>结算时间为买方验货、收货且确认质量合格</w:t>
      </w:r>
      <w:r>
        <w:rPr>
          <w:rFonts w:ascii="宋体" w:hAnsi="宋体" w:eastAsia="宋体" w:cs="宋体"/>
          <w:color w:val="FF0000"/>
          <w:kern w:val="0"/>
          <w:sz w:val="24"/>
        </w:rPr>
        <w:t>，且乙方交付对应金额符合要求的增值税专用发票</w:t>
      </w:r>
      <w:r>
        <w:rPr>
          <w:rFonts w:ascii="宋体" w:hAnsi="宋体" w:eastAsia="宋体" w:cs="宋体"/>
          <w:color w:val="auto"/>
          <w:kern w:val="0"/>
          <w:sz w:val="24"/>
        </w:rPr>
        <w:t>后的10个工作日内。如甲方于质保期内发现货物存在瑕疵、质量不合格或与约定不符，有权暂缓支付全部或部分货款，直至乙方完成更换或妥善处理。</w:t>
      </w:r>
      <w:r>
        <w:rPr>
          <w:rFonts w:ascii="宋体" w:hAnsi="宋体" w:eastAsia="宋体" w:cs="宋体"/>
          <w:color w:val="FF0000"/>
          <w:kern w:val="0"/>
          <w:sz w:val="24"/>
        </w:rPr>
        <w:t>如乙方逾期10日未完成整改的，甲方有权直接扣除对应瑕疵货物的等额货款，无需承担任何违约责任。</w:t>
      </w:r>
    </w:p>
  </w:comment>
  <w:comment w:id="6" w:author="熊律师" w:date="2026-06-24T09:23:00Z" w:initials="">
    <w:p w14:paraId="06818266">
      <w:r>
        <w:rPr>
          <w:rFonts w:ascii="宋体" w:hAnsi="宋体" w:eastAsia="宋体" w:cs="宋体"/>
          <w:color w:val="auto"/>
          <w:kern w:val="0"/>
          <w:sz w:val="24"/>
        </w:rPr>
        <w:t>【风险点】交货地点及风险转移节点不清</w:t>
      </w:r>
      <w:r>
        <w:rPr>
          <w:rFonts w:ascii="宋体" w:hAnsi="宋体" w:eastAsia="宋体" w:cs="宋体"/>
          <w:color w:val="auto"/>
          <w:kern w:val="0"/>
          <w:sz w:val="24"/>
        </w:rPr>
        <w:br w:type="textWrapping"/>
      </w:r>
      <w:r>
        <w:rPr>
          <w:rFonts w:ascii="宋体" w:hAnsi="宋体" w:eastAsia="宋体" w:cs="宋体"/>
          <w:color w:val="auto"/>
          <w:kern w:val="0"/>
          <w:sz w:val="24"/>
        </w:rPr>
        <w:t>【说明】原条款交货地点及风险转移节点表述混乱且存在矛盾，可能导致乙方推诿运输过程中的货损责任。修改后明确交货地点为甲方指定配送点，所有权及风险以验收合格为转移节点，保障甲方权益，便于后续履约管理。</w:t>
      </w:r>
      <w:r>
        <w:rPr>
          <w:rFonts w:ascii="宋体" w:hAnsi="宋体" w:eastAsia="宋体" w:cs="宋体"/>
          <w:color w:val="auto"/>
          <w:kern w:val="0"/>
          <w:sz w:val="24"/>
        </w:rPr>
        <w:br w:type="textWrapping"/>
      </w:r>
      <w:r>
        <w:rPr>
          <w:rFonts w:ascii="宋体" w:hAnsi="宋体" w:eastAsia="宋体" w:cs="宋体"/>
          <w:color w:val="auto"/>
          <w:kern w:val="0"/>
          <w:sz w:val="24"/>
        </w:rPr>
        <w:t>【修改建议】交货地点</w:t>
      </w:r>
      <w:r>
        <w:rPr>
          <w:rFonts w:ascii="宋体" w:hAnsi="宋体" w:eastAsia="宋体" w:cs="宋体"/>
          <w:strike/>
          <w:color w:val="999999"/>
          <w:kern w:val="0"/>
          <w:sz w:val="24"/>
        </w:rPr>
        <w:t>:乙</w:t>
      </w:r>
      <w:r>
        <w:rPr>
          <w:rFonts w:ascii="宋体" w:hAnsi="宋体" w:eastAsia="宋体" w:cs="宋体"/>
          <w:color w:val="FF0000"/>
          <w:kern w:val="0"/>
          <w:sz w:val="24"/>
        </w:rPr>
        <w:t>：甲</w:t>
      </w:r>
      <w:r>
        <w:rPr>
          <w:rFonts w:ascii="宋体" w:hAnsi="宋体" w:eastAsia="宋体" w:cs="宋体"/>
          <w:color w:val="auto"/>
          <w:kern w:val="0"/>
          <w:sz w:val="24"/>
        </w:rPr>
        <w:t>方</w:t>
      </w:r>
      <w:r>
        <w:rPr>
          <w:rFonts w:ascii="宋体" w:hAnsi="宋体" w:eastAsia="宋体" w:cs="宋体"/>
          <w:strike/>
          <w:color w:val="999999"/>
          <w:kern w:val="0"/>
          <w:sz w:val="24"/>
        </w:rPr>
        <w:t xml:space="preserve">存储仓库 </w:t>
      </w:r>
      <w:r>
        <w:rPr>
          <w:rFonts w:ascii="宋体" w:hAnsi="宋体" w:eastAsia="宋体" w:cs="宋体"/>
          <w:color w:val="FF0000"/>
          <w:kern w:val="0"/>
          <w:sz w:val="24"/>
        </w:rPr>
        <w:t>指定配送点。货物所有权及</w:t>
      </w:r>
      <w:r>
        <w:rPr>
          <w:rFonts w:ascii="宋体" w:hAnsi="宋体" w:eastAsia="宋体" w:cs="宋体"/>
          <w:color w:val="auto"/>
          <w:kern w:val="0"/>
          <w:sz w:val="24"/>
        </w:rPr>
        <w:t>风险</w:t>
      </w:r>
      <w:r>
        <w:rPr>
          <w:rFonts w:ascii="宋体" w:hAnsi="宋体" w:eastAsia="宋体" w:cs="宋体"/>
          <w:strike/>
          <w:color w:val="999999"/>
          <w:kern w:val="0"/>
          <w:sz w:val="24"/>
        </w:rPr>
        <w:t>由乙方承担至</w:t>
      </w:r>
      <w:r>
        <w:rPr>
          <w:rFonts w:ascii="宋体" w:hAnsi="宋体" w:eastAsia="宋体" w:cs="宋体"/>
          <w:color w:val="FF0000"/>
          <w:kern w:val="0"/>
          <w:sz w:val="24"/>
        </w:rPr>
        <w:t>自</w:t>
      </w:r>
      <w:r>
        <w:rPr>
          <w:rFonts w:ascii="宋体" w:hAnsi="宋体" w:eastAsia="宋体" w:cs="宋体"/>
          <w:color w:val="auto"/>
          <w:kern w:val="0"/>
          <w:sz w:val="24"/>
        </w:rPr>
        <w:t>物资实际送达甲方指定</w:t>
      </w:r>
      <w:r>
        <w:rPr>
          <w:rFonts w:ascii="宋体" w:hAnsi="宋体" w:eastAsia="宋体" w:cs="宋体"/>
          <w:strike/>
          <w:color w:val="999999"/>
          <w:kern w:val="0"/>
          <w:sz w:val="24"/>
        </w:rPr>
        <w:t>地</w:t>
      </w:r>
      <w:r>
        <w:rPr>
          <w:rFonts w:ascii="宋体" w:hAnsi="宋体" w:eastAsia="宋体" w:cs="宋体"/>
          <w:color w:val="FF0000"/>
          <w:kern w:val="0"/>
          <w:sz w:val="24"/>
        </w:rPr>
        <w:t>配送</w:t>
      </w:r>
      <w:r>
        <w:rPr>
          <w:rFonts w:ascii="宋体" w:hAnsi="宋体" w:eastAsia="宋体" w:cs="宋体"/>
          <w:color w:val="auto"/>
          <w:kern w:val="0"/>
          <w:sz w:val="24"/>
        </w:rPr>
        <w:t>点并经甲方验收合格后</w:t>
      </w:r>
      <w:r>
        <w:rPr>
          <w:rFonts w:ascii="宋体" w:hAnsi="宋体" w:eastAsia="宋体" w:cs="宋体"/>
          <w:strike/>
          <w:color w:val="999999"/>
          <w:kern w:val="0"/>
          <w:sz w:val="24"/>
        </w:rPr>
        <w:t>，方完成所有权及风险的</w:t>
      </w:r>
      <w:r>
        <w:rPr>
          <w:rFonts w:ascii="宋体" w:hAnsi="宋体" w:eastAsia="宋体" w:cs="宋体"/>
          <w:color w:val="auto"/>
          <w:kern w:val="0"/>
          <w:sz w:val="24"/>
        </w:rPr>
        <w:t>转移</w:t>
      </w:r>
      <w:r>
        <w:rPr>
          <w:rFonts w:ascii="宋体" w:hAnsi="宋体" w:eastAsia="宋体" w:cs="宋体"/>
          <w:strike/>
          <w:color w:val="999999"/>
          <w:kern w:val="0"/>
          <w:sz w:val="24"/>
        </w:rPr>
        <w:t>。，</w:t>
      </w:r>
      <w:r>
        <w:rPr>
          <w:rFonts w:ascii="宋体" w:hAnsi="宋体" w:eastAsia="宋体" w:cs="宋体"/>
          <w:color w:val="auto"/>
          <w:kern w:val="0"/>
          <w:sz w:val="24"/>
        </w:rPr>
        <w:t>至甲方</w:t>
      </w:r>
      <w:r>
        <w:rPr>
          <w:rFonts w:ascii="宋体" w:hAnsi="宋体" w:eastAsia="宋体" w:cs="宋体"/>
          <w:strike/>
          <w:color w:val="999999"/>
          <w:kern w:val="0"/>
          <w:sz w:val="24"/>
        </w:rPr>
        <w:t>指定配送点</w:t>
      </w:r>
      <w:r>
        <w:rPr>
          <w:rFonts w:ascii="宋体" w:hAnsi="宋体" w:eastAsia="宋体" w:cs="宋体"/>
          <w:color w:val="FF0000"/>
          <w:kern w:val="0"/>
          <w:sz w:val="24"/>
        </w:rPr>
        <w:t>，此前全部毁损、灭失、污染等风险由乙方承担。</w:t>
      </w:r>
    </w:p>
  </w:comment>
  <w:comment w:id="7" w:author="熊律师" w:date="2026-06-24T09:32:00Z" w:initials="">
    <w:p w14:paraId="5F8ED2B9">
      <w:r>
        <w:rPr>
          <w:rFonts w:ascii="宋体" w:hAnsi="宋体" w:eastAsia="宋体" w:cs="宋体"/>
          <w:color w:val="auto"/>
          <w:kern w:val="0"/>
          <w:sz w:val="24"/>
        </w:rPr>
        <w:t>【风险点】保质期起算点前后不一致</w:t>
      </w:r>
      <w:r>
        <w:rPr>
          <w:rFonts w:ascii="宋体" w:hAnsi="宋体" w:eastAsia="宋体" w:cs="宋体"/>
          <w:color w:val="auto"/>
          <w:kern w:val="0"/>
          <w:sz w:val="24"/>
        </w:rPr>
        <w:br w:type="textWrapping"/>
      </w:r>
      <w:r>
        <w:rPr>
          <w:rFonts w:ascii="宋体" w:hAnsi="宋体" w:eastAsia="宋体" w:cs="宋体"/>
          <w:color w:val="auto"/>
          <w:kern w:val="0"/>
          <w:sz w:val="24"/>
        </w:rPr>
        <w:t>【说明】原条款保质期起算点前后不一致，部分以“交付日至保质期”，部分以“生产日期起12个月”。统一为“自交付日起剩余保质期不少于12个月”，保障甲方利益，消除前后矛盾。</w:t>
      </w:r>
      <w:r>
        <w:rPr>
          <w:rFonts w:ascii="宋体" w:hAnsi="宋体" w:eastAsia="宋体" w:cs="宋体"/>
          <w:color w:val="auto"/>
          <w:kern w:val="0"/>
          <w:sz w:val="24"/>
        </w:rPr>
        <w:br w:type="textWrapping"/>
      </w:r>
      <w:r>
        <w:rPr>
          <w:rFonts w:ascii="宋体" w:hAnsi="宋体" w:eastAsia="宋体" w:cs="宋体"/>
          <w:color w:val="auto"/>
          <w:kern w:val="0"/>
          <w:sz w:val="24"/>
        </w:rPr>
        <w:t>【修改建议】自验收合格之日起，保质期出现的质量问题由成交单位负责解决并承担所有费用。所有供货产品自交付日</w:t>
      </w:r>
      <w:r>
        <w:rPr>
          <w:rFonts w:ascii="宋体" w:hAnsi="宋体" w:eastAsia="宋体" w:cs="宋体"/>
          <w:strike/>
          <w:color w:val="999999"/>
          <w:kern w:val="0"/>
          <w:sz w:val="24"/>
        </w:rPr>
        <w:t>至</w:t>
      </w:r>
      <w:r>
        <w:rPr>
          <w:rFonts w:ascii="宋体" w:hAnsi="宋体" w:eastAsia="宋体" w:cs="宋体"/>
          <w:color w:val="FF0000"/>
          <w:kern w:val="0"/>
          <w:sz w:val="24"/>
        </w:rPr>
        <w:t>起剩余</w:t>
      </w:r>
      <w:r>
        <w:rPr>
          <w:rFonts w:ascii="宋体" w:hAnsi="宋体" w:eastAsia="宋体" w:cs="宋体"/>
          <w:color w:val="auto"/>
          <w:kern w:val="0"/>
          <w:sz w:val="24"/>
        </w:rPr>
        <w:t>保质期</w:t>
      </w:r>
      <w:r>
        <w:rPr>
          <w:rFonts w:ascii="宋体" w:hAnsi="宋体" w:eastAsia="宋体" w:cs="宋体"/>
          <w:strike/>
          <w:color w:val="999999"/>
          <w:kern w:val="0"/>
          <w:sz w:val="24"/>
        </w:rPr>
        <w:t>应</w:t>
      </w:r>
      <w:r>
        <w:rPr>
          <w:rFonts w:ascii="宋体" w:hAnsi="宋体" w:eastAsia="宋体" w:cs="宋体"/>
          <w:color w:val="auto"/>
          <w:kern w:val="0"/>
          <w:sz w:val="24"/>
        </w:rPr>
        <w:t>不少于12个月</w:t>
      </w:r>
      <w:r>
        <w:rPr>
          <w:rFonts w:ascii="宋体" w:hAnsi="宋体" w:eastAsia="宋体" w:cs="宋体"/>
          <w:strike/>
          <w:color w:val="999999"/>
          <w:kern w:val="0"/>
          <w:sz w:val="24"/>
        </w:rPr>
        <w:t>(</w:t>
      </w:r>
      <w:r>
        <w:rPr>
          <w:rFonts w:ascii="宋体" w:hAnsi="宋体" w:eastAsia="宋体" w:cs="宋体"/>
          <w:color w:val="FF0000"/>
          <w:kern w:val="0"/>
          <w:sz w:val="24"/>
        </w:rPr>
        <w:t>（</w:t>
      </w:r>
      <w:r>
        <w:rPr>
          <w:rFonts w:ascii="宋体" w:hAnsi="宋体" w:eastAsia="宋体" w:cs="宋体"/>
          <w:color w:val="auto"/>
          <w:kern w:val="0"/>
          <w:sz w:val="24"/>
        </w:rPr>
        <w:t>如适用</w:t>
      </w:r>
      <w:r>
        <w:rPr>
          <w:rFonts w:ascii="宋体" w:hAnsi="宋体" w:eastAsia="宋体" w:cs="宋体"/>
          <w:strike/>
          <w:color w:val="999999"/>
          <w:kern w:val="0"/>
          <w:sz w:val="24"/>
        </w:rPr>
        <w:t>)</w:t>
      </w:r>
      <w:r>
        <w:rPr>
          <w:rFonts w:ascii="宋体" w:hAnsi="宋体" w:eastAsia="宋体" w:cs="宋体"/>
          <w:color w:val="FF0000"/>
          <w:kern w:val="0"/>
          <w:sz w:val="24"/>
        </w:rPr>
        <w:t>）</w:t>
      </w:r>
      <w:r>
        <w:rPr>
          <w:rFonts w:ascii="宋体" w:hAnsi="宋体" w:eastAsia="宋体" w:cs="宋体"/>
          <w:color w:val="auto"/>
          <w:kern w:val="0"/>
          <w:sz w:val="24"/>
        </w:rPr>
        <w:t>，如不符合要求，甲方有权拒收并要求乙方无条件更换。 3.如因产品出厂质量问题，并造成实际伤害及损失，乙方按合同约定依法承担直接责任。</w:t>
      </w:r>
    </w:p>
  </w:comment>
  <w:comment w:id="8" w:author="熊律师" w:date="2026-06-24T09:39:00Z" w:initials="">
    <w:p w14:paraId="776EA537">
      <w:r>
        <w:rPr>
          <w:rFonts w:ascii="宋体" w:hAnsi="宋体" w:eastAsia="宋体" w:cs="宋体"/>
          <w:color w:val="auto"/>
          <w:kern w:val="0"/>
          <w:sz w:val="24"/>
        </w:rPr>
        <w:t>【风险点】质量损害赔偿责任不明确</w:t>
      </w:r>
      <w:r>
        <w:rPr>
          <w:rFonts w:ascii="宋体" w:hAnsi="宋体" w:eastAsia="宋体" w:cs="宋体"/>
          <w:color w:val="auto"/>
          <w:kern w:val="0"/>
          <w:sz w:val="24"/>
        </w:rPr>
        <w:br w:type="textWrapping"/>
      </w:r>
      <w:r>
        <w:rPr>
          <w:rFonts w:ascii="宋体" w:hAnsi="宋体" w:eastAsia="宋体" w:cs="宋体"/>
          <w:color w:val="auto"/>
          <w:kern w:val="0"/>
          <w:sz w:val="24"/>
        </w:rPr>
        <w:t>【说明】原条款仅要求乙方承担直接责任，未明确甲方对外赔付后可全额追偿，可能导致甲方承担额外损失。修改后明确乙方需承担全部赔偿责任，保障甲方可全额追偿。</w:t>
      </w:r>
      <w:r>
        <w:rPr>
          <w:rFonts w:ascii="宋体" w:hAnsi="宋体" w:eastAsia="宋体" w:cs="宋体"/>
          <w:color w:val="auto"/>
          <w:kern w:val="0"/>
          <w:sz w:val="24"/>
        </w:rPr>
        <w:br w:type="textWrapping"/>
      </w:r>
      <w:r>
        <w:rPr>
          <w:rFonts w:ascii="宋体" w:hAnsi="宋体" w:eastAsia="宋体" w:cs="宋体"/>
          <w:color w:val="auto"/>
          <w:kern w:val="0"/>
          <w:sz w:val="24"/>
        </w:rPr>
        <w:t>【修改建议】如因产品出厂质量问题，并造成实际伤害及损失，乙方</w:t>
      </w:r>
      <w:r>
        <w:rPr>
          <w:rFonts w:ascii="宋体" w:hAnsi="宋体" w:eastAsia="宋体" w:cs="宋体"/>
          <w:strike/>
          <w:color w:val="999999"/>
          <w:kern w:val="0"/>
          <w:sz w:val="24"/>
        </w:rPr>
        <w:t>按合同约定依法</w:t>
      </w:r>
      <w:r>
        <w:rPr>
          <w:rFonts w:ascii="宋体" w:hAnsi="宋体" w:eastAsia="宋体" w:cs="宋体"/>
          <w:color w:val="FF0000"/>
          <w:kern w:val="0"/>
          <w:sz w:val="24"/>
        </w:rPr>
        <w:t>应</w:t>
      </w:r>
      <w:r>
        <w:rPr>
          <w:rFonts w:ascii="宋体" w:hAnsi="宋体" w:eastAsia="宋体" w:cs="宋体"/>
          <w:color w:val="auto"/>
          <w:kern w:val="0"/>
          <w:sz w:val="24"/>
        </w:rPr>
        <w:t>承担</w:t>
      </w:r>
      <w:r>
        <w:rPr>
          <w:rFonts w:ascii="宋体" w:hAnsi="宋体" w:eastAsia="宋体" w:cs="宋体"/>
          <w:strike/>
          <w:color w:val="999999"/>
          <w:kern w:val="0"/>
          <w:sz w:val="24"/>
        </w:rPr>
        <w:t>直接</w:t>
      </w:r>
      <w:r>
        <w:rPr>
          <w:rFonts w:ascii="宋体" w:hAnsi="宋体" w:eastAsia="宋体" w:cs="宋体"/>
          <w:color w:val="FF0000"/>
          <w:kern w:val="0"/>
          <w:sz w:val="24"/>
        </w:rPr>
        <w:t>全部赔偿</w:t>
      </w:r>
      <w:r>
        <w:rPr>
          <w:rFonts w:ascii="宋体" w:hAnsi="宋体" w:eastAsia="宋体" w:cs="宋体"/>
          <w:color w:val="auto"/>
          <w:kern w:val="0"/>
          <w:sz w:val="24"/>
        </w:rPr>
        <w:t>责任</w:t>
      </w:r>
      <w:r>
        <w:rPr>
          <w:rFonts w:ascii="宋体" w:hAnsi="宋体" w:eastAsia="宋体" w:cs="宋体"/>
          <w:color w:val="FF0000"/>
          <w:kern w:val="0"/>
          <w:sz w:val="24"/>
        </w:rPr>
        <w:t>，包括但不限于对第三方的赔付、人身损害赔偿、财产损失、维权支出等</w:t>
      </w:r>
      <w:r>
        <w:rPr>
          <w:rFonts w:ascii="宋体" w:hAnsi="宋体" w:eastAsia="宋体" w:cs="宋体"/>
          <w:color w:val="auto"/>
          <w:kern w:val="0"/>
          <w:sz w:val="24"/>
        </w:rPr>
        <w:t>。</w:t>
      </w:r>
    </w:p>
  </w:comment>
  <w:comment w:id="10" w:author="熊律师" w:date="2026-06-24T09:43:00Z" w:initials="">
    <w:p w14:paraId="64979706">
      <w:r>
        <w:rPr>
          <w:rFonts w:ascii="宋体" w:hAnsi="宋体" w:eastAsia="宋体" w:cs="宋体"/>
          <w:color w:val="0000FF"/>
          <w:kern w:val="0"/>
          <w:sz w:val="24"/>
        </w:rPr>
        <w:t>【提示】质量异议期与验收时限存在冲突</w:t>
      </w:r>
      <w:r>
        <w:rPr>
          <w:rFonts w:ascii="宋体" w:hAnsi="宋体" w:eastAsia="宋体" w:cs="宋体"/>
          <w:color w:val="0000FF"/>
          <w:kern w:val="0"/>
          <w:sz w:val="24"/>
        </w:rPr>
        <w:br w:type="textWrapping"/>
      </w:r>
      <w:r>
        <w:rPr>
          <w:rFonts w:ascii="宋体" w:hAnsi="宋体" w:eastAsia="宋体" w:cs="宋体"/>
          <w:color w:val="0000FF"/>
          <w:kern w:val="0"/>
          <w:sz w:val="24"/>
        </w:rPr>
        <w:t>【说明】第七条规定甲方应在收到货物后5个工作日内完成验收并签署验收单，逾期未提出书面异议视为验收合格。但第六十二条又规定甲方应在收货后15个工作日内书面提出质量异议，逾期未提出视为验收合格。两者时限不一致，可能引发关于质量异议期起算点的争议，建议统一相关表述，避免乙方利用时间差主张权利。</w:t>
      </w:r>
    </w:p>
  </w:comment>
  <w:comment w:id="11" w:author="熊律师" w:date="2026-06-24T09:36:00Z" w:initials="">
    <w:p w14:paraId="0A8D91DB">
      <w:r>
        <w:rPr>
          <w:rFonts w:ascii="宋体" w:hAnsi="宋体" w:eastAsia="宋体" w:cs="宋体"/>
          <w:color w:val="0000FF"/>
          <w:kern w:val="0"/>
          <w:sz w:val="24"/>
        </w:rPr>
        <w:t>【提示】保质期起算标准不一致</w:t>
      </w:r>
      <w:r>
        <w:rPr>
          <w:rFonts w:ascii="宋体" w:hAnsi="宋体" w:eastAsia="宋体" w:cs="宋体"/>
          <w:color w:val="0000FF"/>
          <w:kern w:val="0"/>
          <w:sz w:val="24"/>
        </w:rPr>
        <w:br w:type="textWrapping"/>
      </w:r>
      <w:r>
        <w:rPr>
          <w:rFonts w:ascii="宋体" w:hAnsi="宋体" w:eastAsia="宋体" w:cs="宋体"/>
          <w:color w:val="0000FF"/>
          <w:kern w:val="0"/>
          <w:sz w:val="24"/>
        </w:rPr>
        <w:t>【说明】第六条第2款与第七条第3款关于保质期的起算标准分别为“自交付日至保质期应不少于12个月(如适用)”和“物资保质期不得少于生产日期起12个月”，表述不一致，易引发质量争议。请甲方确认统一标准后调整对应条款。</w:t>
      </w:r>
    </w:p>
  </w:comment>
  <w:comment w:id="9" w:author="熊律师" w:date="2026-06-24T09:47:00Z" w:initials="">
    <w:p w14:paraId="25618287">
      <w:r>
        <w:rPr>
          <w:rFonts w:ascii="宋体" w:hAnsi="宋体" w:eastAsia="宋体" w:cs="宋体"/>
          <w:color w:val="auto"/>
          <w:kern w:val="0"/>
          <w:sz w:val="24"/>
        </w:rPr>
        <w:t>【风险点】验收异议期限约定冲突</w:t>
      </w:r>
      <w:r>
        <w:rPr>
          <w:rFonts w:ascii="宋体" w:hAnsi="宋体" w:eastAsia="宋体" w:cs="宋体"/>
          <w:color w:val="auto"/>
          <w:kern w:val="0"/>
          <w:sz w:val="24"/>
        </w:rPr>
        <w:br w:type="textWrapping"/>
      </w:r>
      <w:r>
        <w:rPr>
          <w:rFonts w:ascii="宋体" w:hAnsi="宋体" w:eastAsia="宋体" w:cs="宋体"/>
          <w:color w:val="auto"/>
          <w:kern w:val="0"/>
          <w:sz w:val="24"/>
        </w:rPr>
        <w:t>【说明】原文关于验收异议期限存在多处不一致（2日、5日、当场、15日），容易引发争议。统一为15个工作日内可书面提出质量异议，逾期视为外观质量验收合格，但不影响追究产品固有缺陷责任，最大化保障甲方权益。</w:t>
      </w:r>
      <w:r>
        <w:rPr>
          <w:rFonts w:ascii="宋体" w:hAnsi="宋体" w:eastAsia="宋体" w:cs="宋体"/>
          <w:color w:val="auto"/>
          <w:kern w:val="0"/>
          <w:sz w:val="24"/>
        </w:rPr>
        <w:br w:type="textWrapping"/>
      </w:r>
      <w:r>
        <w:rPr>
          <w:rFonts w:ascii="宋体" w:hAnsi="宋体" w:eastAsia="宋体" w:cs="宋体"/>
          <w:color w:val="auto"/>
          <w:kern w:val="0"/>
          <w:sz w:val="24"/>
        </w:rPr>
        <w:t>【修改建议】甲方</w:t>
      </w:r>
      <w:r>
        <w:rPr>
          <w:rFonts w:ascii="宋体" w:hAnsi="宋体" w:eastAsia="宋体" w:cs="宋体"/>
          <w:strike/>
          <w:color w:val="999999"/>
          <w:kern w:val="0"/>
          <w:sz w:val="24"/>
        </w:rPr>
        <w:t>应在收到货物后5个工作日内完成验收并签署验收单，逾期未提出书面异议视为验收合格。 1.合同文本、合同附件、磋商文件、磋商响应文件，以及合同附件载明的具体技术参数和核心质量标准。 2.国内相应的标准、规范，签收单据。 3、物资保质期不得少于生产日期起 12 个月。 八、双方权利和义务 (一)甲方的权利和义务 1.甲方</w:t>
      </w:r>
      <w:r>
        <w:rPr>
          <w:rFonts w:ascii="宋体" w:hAnsi="宋体" w:eastAsia="宋体" w:cs="宋体"/>
          <w:color w:val="auto"/>
          <w:kern w:val="0"/>
          <w:sz w:val="24"/>
        </w:rPr>
        <w:t>有权</w:t>
      </w:r>
      <w:r>
        <w:rPr>
          <w:rFonts w:ascii="宋体" w:hAnsi="宋体" w:eastAsia="宋体" w:cs="宋体"/>
          <w:strike/>
          <w:color w:val="999999"/>
          <w:kern w:val="0"/>
          <w:sz w:val="24"/>
        </w:rPr>
        <w:t>利要求乙方出示所采购产品的质检报告或甲方有权利对乙方所供货物进行另行抽检、对乙方提供的货物进行抽查。甲方应</w:t>
      </w:r>
      <w:r>
        <w:rPr>
          <w:rFonts w:ascii="宋体" w:hAnsi="宋体" w:eastAsia="宋体" w:cs="宋体"/>
          <w:color w:val="auto"/>
          <w:kern w:val="0"/>
          <w:sz w:val="24"/>
        </w:rPr>
        <w:t>自</w:t>
      </w:r>
      <w:r>
        <w:rPr>
          <w:rFonts w:ascii="宋体" w:hAnsi="宋体" w:eastAsia="宋体" w:cs="宋体"/>
          <w:strike/>
          <w:color w:val="999999"/>
          <w:kern w:val="0"/>
          <w:sz w:val="24"/>
        </w:rPr>
        <w:t>每批</w:t>
      </w:r>
      <w:r>
        <w:rPr>
          <w:rFonts w:ascii="宋体" w:hAnsi="宋体" w:eastAsia="宋体" w:cs="宋体"/>
          <w:color w:val="auto"/>
          <w:kern w:val="0"/>
          <w:sz w:val="24"/>
        </w:rPr>
        <w:t>收货后</w:t>
      </w:r>
      <w:r>
        <w:rPr>
          <w:rFonts w:ascii="宋体" w:hAnsi="宋体" w:eastAsia="宋体" w:cs="宋体"/>
          <w:strike/>
          <w:color w:val="999999"/>
          <w:kern w:val="0"/>
          <w:sz w:val="24"/>
        </w:rPr>
        <w:t>2</w:t>
      </w:r>
      <w:r>
        <w:rPr>
          <w:rFonts w:ascii="宋体" w:hAnsi="宋体" w:eastAsia="宋体" w:cs="宋体"/>
          <w:color w:val="FF0000"/>
          <w:kern w:val="0"/>
          <w:sz w:val="24"/>
        </w:rPr>
        <w:t>15</w:t>
      </w:r>
      <w:r>
        <w:rPr>
          <w:rFonts w:ascii="宋体" w:hAnsi="宋体" w:eastAsia="宋体" w:cs="宋体"/>
          <w:color w:val="auto"/>
          <w:kern w:val="0"/>
          <w:sz w:val="24"/>
        </w:rPr>
        <w:t>个工作日内</w:t>
      </w:r>
      <w:r>
        <w:rPr>
          <w:rFonts w:ascii="宋体" w:hAnsi="宋体" w:eastAsia="宋体" w:cs="宋体"/>
          <w:strike/>
          <w:color w:val="999999"/>
          <w:kern w:val="0"/>
          <w:sz w:val="24"/>
        </w:rPr>
        <w:t>完成初步验收，并以</w:t>
      </w:r>
      <w:r>
        <w:rPr>
          <w:rFonts w:ascii="宋体" w:hAnsi="宋体" w:eastAsia="宋体" w:cs="宋体"/>
          <w:color w:val="auto"/>
          <w:kern w:val="0"/>
          <w:sz w:val="24"/>
        </w:rPr>
        <w:t>书面</w:t>
      </w:r>
      <w:r>
        <w:rPr>
          <w:rFonts w:ascii="宋体" w:hAnsi="宋体" w:eastAsia="宋体" w:cs="宋体"/>
          <w:strike/>
          <w:color w:val="999999"/>
          <w:kern w:val="0"/>
          <w:sz w:val="24"/>
        </w:rPr>
        <w:t>或电子方式反馈，如发现不合格货物有权要求乙方无条件更换，并可顺延后续结算及付款时间。、对乙方所供货物进行规范储存要求、对乙方的服务进行监督和评判。 2.甲方有权利拒绝接受非卖方采购产品、对乙方所供产品包装破损的产品</w:t>
      </w:r>
      <w:r>
        <w:rPr>
          <w:rFonts w:ascii="宋体" w:hAnsi="宋体" w:eastAsia="宋体" w:cs="宋体"/>
          <w:color w:val="auto"/>
          <w:kern w:val="0"/>
          <w:sz w:val="24"/>
        </w:rPr>
        <w:t>提出</w:t>
      </w:r>
      <w:r>
        <w:rPr>
          <w:rFonts w:ascii="宋体" w:hAnsi="宋体" w:eastAsia="宋体" w:cs="宋体"/>
          <w:strike/>
          <w:color w:val="999999"/>
          <w:kern w:val="0"/>
          <w:sz w:val="24"/>
        </w:rPr>
        <w:t>异议或拒绝接受。甲方应在收货时当场提出书面</w:t>
      </w:r>
      <w:r>
        <w:rPr>
          <w:rFonts w:ascii="宋体" w:hAnsi="宋体" w:eastAsia="宋体" w:cs="宋体"/>
          <w:color w:val="auto"/>
          <w:kern w:val="0"/>
          <w:sz w:val="24"/>
        </w:rPr>
        <w:t>质量异议，逾期未提出</w:t>
      </w:r>
      <w:r>
        <w:rPr>
          <w:rFonts w:ascii="宋体" w:hAnsi="宋体" w:eastAsia="宋体" w:cs="宋体"/>
          <w:strike/>
          <w:color w:val="999999"/>
          <w:kern w:val="0"/>
          <w:sz w:val="24"/>
        </w:rPr>
        <w:t>的，</w:t>
      </w:r>
      <w:r>
        <w:rPr>
          <w:rFonts w:ascii="宋体" w:hAnsi="宋体" w:eastAsia="宋体" w:cs="宋体"/>
          <w:color w:val="auto"/>
          <w:kern w:val="0"/>
          <w:sz w:val="24"/>
        </w:rPr>
        <w:t>视为</w:t>
      </w:r>
      <w:r>
        <w:rPr>
          <w:rFonts w:ascii="宋体" w:hAnsi="宋体" w:eastAsia="宋体" w:cs="宋体"/>
          <w:color w:val="FF0000"/>
          <w:kern w:val="0"/>
          <w:sz w:val="24"/>
        </w:rPr>
        <w:t>外观质量</w:t>
      </w:r>
      <w:r>
        <w:rPr>
          <w:rFonts w:ascii="宋体" w:hAnsi="宋体" w:eastAsia="宋体" w:cs="宋体"/>
          <w:color w:val="auto"/>
          <w:kern w:val="0"/>
          <w:sz w:val="24"/>
        </w:rPr>
        <w:t>验收合格</w:t>
      </w:r>
      <w:r>
        <w:rPr>
          <w:rFonts w:ascii="宋体" w:hAnsi="宋体" w:eastAsia="宋体" w:cs="宋体"/>
          <w:color w:val="FF0000"/>
          <w:kern w:val="0"/>
          <w:sz w:val="24"/>
        </w:rPr>
        <w:t>，但不影响甲方依法追究产品本身固有质量缺陷的责任</w:t>
      </w:r>
      <w:r>
        <w:rPr>
          <w:rFonts w:ascii="宋体" w:hAnsi="宋体" w:eastAsia="宋体" w:cs="宋体"/>
          <w:color w:val="auto"/>
          <w:kern w:val="0"/>
          <w:sz w:val="24"/>
        </w:rPr>
        <w:t>。</w:t>
      </w:r>
    </w:p>
  </w:comment>
  <w:comment w:id="12" w:author="熊律师" w:date="2026-06-24T09:51:00Z" w:initials="">
    <w:p w14:paraId="4244DC6D">
      <w:r>
        <w:rPr>
          <w:rFonts w:ascii="宋体" w:hAnsi="宋体" w:eastAsia="宋体" w:cs="宋体"/>
          <w:color w:val="auto"/>
          <w:kern w:val="0"/>
          <w:sz w:val="24"/>
        </w:rPr>
        <w:t>【风险点】甲方通知义务限制配送灵活性</w:t>
      </w:r>
      <w:r>
        <w:rPr>
          <w:rFonts w:ascii="宋体" w:hAnsi="宋体" w:eastAsia="宋体" w:cs="宋体"/>
          <w:color w:val="auto"/>
          <w:kern w:val="0"/>
          <w:sz w:val="24"/>
        </w:rPr>
        <w:br w:type="textWrapping"/>
      </w:r>
      <w:r>
        <w:rPr>
          <w:rFonts w:ascii="宋体" w:hAnsi="宋体" w:eastAsia="宋体" w:cs="宋体"/>
          <w:color w:val="auto"/>
          <w:kern w:val="0"/>
          <w:sz w:val="24"/>
        </w:rPr>
        <w:t>【说明】原条款要求甲方提前一天通知乙方，限制甲方配送安排的灵活性。修改后删除强制提前通知义务，保障甲方根据实际情况灵活安排配送。</w:t>
      </w:r>
      <w:r>
        <w:rPr>
          <w:rFonts w:ascii="宋体" w:hAnsi="宋体" w:eastAsia="宋体" w:cs="宋体"/>
          <w:color w:val="auto"/>
          <w:kern w:val="0"/>
          <w:sz w:val="24"/>
        </w:rPr>
        <w:br w:type="textWrapping"/>
      </w:r>
      <w:r>
        <w:rPr>
          <w:rFonts w:ascii="宋体" w:hAnsi="宋体" w:eastAsia="宋体" w:cs="宋体"/>
          <w:color w:val="auto"/>
          <w:kern w:val="0"/>
          <w:sz w:val="24"/>
        </w:rPr>
        <w:t>【修改建议】在供货业务运行过程中出现时间、地点、人员变化等现象，甲方</w:t>
      </w:r>
      <w:r>
        <w:rPr>
          <w:rFonts w:ascii="宋体" w:hAnsi="宋体" w:eastAsia="宋体" w:cs="宋体"/>
          <w:strike/>
          <w:color w:val="999999"/>
          <w:kern w:val="0"/>
          <w:sz w:val="24"/>
        </w:rPr>
        <w:t>有义务事先(提前一天)书面通告乙方并配合乙方完成后续交接等事宜;甲方有权</w:t>
      </w:r>
      <w:r>
        <w:rPr>
          <w:rFonts w:ascii="宋体" w:hAnsi="宋体" w:eastAsia="宋体" w:cs="宋体"/>
          <w:color w:val="FF0000"/>
          <w:kern w:val="0"/>
          <w:sz w:val="24"/>
        </w:rPr>
        <w:t>可</w:t>
      </w:r>
      <w:r>
        <w:rPr>
          <w:rFonts w:ascii="宋体" w:hAnsi="宋体" w:eastAsia="宋体" w:cs="宋体"/>
          <w:color w:val="auto"/>
          <w:kern w:val="0"/>
          <w:sz w:val="24"/>
        </w:rPr>
        <w:t>根据实际情况自主</w:t>
      </w:r>
      <w:r>
        <w:rPr>
          <w:rFonts w:ascii="宋体" w:hAnsi="宋体" w:eastAsia="宋体" w:cs="宋体"/>
          <w:strike/>
          <w:color w:val="999999"/>
          <w:kern w:val="0"/>
          <w:sz w:val="24"/>
        </w:rPr>
        <w:t>安排货物交接流程、</w:t>
      </w:r>
      <w:r>
        <w:rPr>
          <w:rFonts w:ascii="宋体" w:hAnsi="宋体" w:eastAsia="宋体" w:cs="宋体"/>
          <w:color w:val="FF0000"/>
          <w:kern w:val="0"/>
          <w:sz w:val="24"/>
        </w:rPr>
        <w:t>决定通知乙方配送调整的</w:t>
      </w:r>
      <w:r>
        <w:rPr>
          <w:rFonts w:ascii="宋体" w:hAnsi="宋体" w:eastAsia="宋体" w:cs="宋体"/>
          <w:color w:val="auto"/>
          <w:kern w:val="0"/>
          <w:sz w:val="24"/>
        </w:rPr>
        <w:t>时间，乙方应</w:t>
      </w:r>
      <w:r>
        <w:rPr>
          <w:rFonts w:ascii="宋体" w:hAnsi="宋体" w:eastAsia="宋体" w:cs="宋体"/>
          <w:strike/>
          <w:color w:val="999999"/>
          <w:kern w:val="0"/>
          <w:sz w:val="24"/>
        </w:rPr>
        <w:t>予</w:t>
      </w:r>
      <w:r>
        <w:rPr>
          <w:rFonts w:ascii="宋体" w:hAnsi="宋体" w:eastAsia="宋体" w:cs="宋体"/>
          <w:color w:val="FF0000"/>
          <w:kern w:val="0"/>
          <w:sz w:val="24"/>
        </w:rPr>
        <w:t>无条件</w:t>
      </w:r>
      <w:r>
        <w:rPr>
          <w:rFonts w:ascii="宋体" w:hAnsi="宋体" w:eastAsia="宋体" w:cs="宋体"/>
          <w:color w:val="auto"/>
          <w:kern w:val="0"/>
          <w:sz w:val="24"/>
        </w:rPr>
        <w:t>配合，相关调整不构成甲方违约或乙方免责理由。</w:t>
      </w:r>
    </w:p>
  </w:comment>
  <w:comment w:id="13" w:author="熊律师" w:date="2026-06-24T10:00:00Z" w:initials="">
    <w:p w14:paraId="2E159874">
      <w:r>
        <w:rPr>
          <w:rFonts w:ascii="宋体" w:hAnsi="宋体" w:eastAsia="宋体" w:cs="宋体"/>
          <w:color w:val="auto"/>
          <w:kern w:val="0"/>
          <w:sz w:val="24"/>
        </w:rPr>
        <w:t>【风险点】乙方替代方案时限不合理</w:t>
      </w:r>
      <w:r>
        <w:rPr>
          <w:rFonts w:ascii="宋体" w:hAnsi="宋体" w:eastAsia="宋体" w:cs="宋体"/>
          <w:color w:val="auto"/>
          <w:kern w:val="0"/>
          <w:sz w:val="24"/>
        </w:rPr>
        <w:br w:type="textWrapping"/>
      </w:r>
      <w:r>
        <w:rPr>
          <w:rFonts w:ascii="宋体" w:hAnsi="宋体" w:eastAsia="宋体" w:cs="宋体"/>
          <w:color w:val="auto"/>
          <w:kern w:val="0"/>
          <w:sz w:val="24"/>
        </w:rPr>
        <w:t>【说明】原条款要求乙方在24小时内提供替代方案，时限过于仓促，实际操作中乙方可能无法及时响应，易引发争议。修改为48小时或双方协商一致的合理期限，并要求书面方案经甲方确认，更符合商业实践，有利于甲方评估和监督。</w:t>
      </w:r>
      <w:r>
        <w:rPr>
          <w:rFonts w:ascii="宋体" w:hAnsi="宋体" w:eastAsia="宋体" w:cs="宋体"/>
          <w:color w:val="auto"/>
          <w:kern w:val="0"/>
          <w:sz w:val="24"/>
        </w:rPr>
        <w:br w:type="textWrapping"/>
      </w:r>
      <w:r>
        <w:rPr>
          <w:rFonts w:ascii="宋体" w:hAnsi="宋体" w:eastAsia="宋体" w:cs="宋体"/>
          <w:color w:val="auto"/>
          <w:kern w:val="0"/>
          <w:sz w:val="24"/>
        </w:rPr>
        <w:t>【修改建议】甲方对产品质量提出书面异议后，乙方应在</w:t>
      </w:r>
      <w:r>
        <w:rPr>
          <w:rFonts w:ascii="宋体" w:hAnsi="宋体" w:eastAsia="宋体" w:cs="宋体"/>
          <w:strike/>
          <w:color w:val="999999"/>
          <w:kern w:val="0"/>
          <w:sz w:val="24"/>
        </w:rPr>
        <w:t>2</w:t>
      </w:r>
      <w:r>
        <w:rPr>
          <w:rFonts w:ascii="宋体" w:hAnsi="宋体" w:eastAsia="宋体" w:cs="宋体"/>
          <w:color w:val="FF0000"/>
          <w:kern w:val="0"/>
          <w:sz w:val="24"/>
        </w:rPr>
        <w:t>收到甲方书面异议后</w:t>
      </w:r>
      <w:r>
        <w:rPr>
          <w:rFonts w:ascii="宋体" w:hAnsi="宋体" w:eastAsia="宋体" w:cs="宋体"/>
          <w:color w:val="auto"/>
          <w:kern w:val="0"/>
          <w:sz w:val="24"/>
        </w:rPr>
        <w:t>4</w:t>
      </w:r>
      <w:r>
        <w:rPr>
          <w:rFonts w:ascii="宋体" w:hAnsi="宋体" w:eastAsia="宋体" w:cs="宋体"/>
          <w:color w:val="FF0000"/>
          <w:kern w:val="0"/>
          <w:sz w:val="24"/>
        </w:rPr>
        <w:t>8</w:t>
      </w:r>
      <w:r>
        <w:rPr>
          <w:rFonts w:ascii="宋体" w:hAnsi="宋体" w:eastAsia="宋体" w:cs="宋体"/>
          <w:color w:val="auto"/>
          <w:kern w:val="0"/>
          <w:sz w:val="24"/>
        </w:rPr>
        <w:t>小时内</w:t>
      </w:r>
      <w:r>
        <w:rPr>
          <w:rFonts w:ascii="宋体" w:hAnsi="宋体" w:eastAsia="宋体" w:cs="宋体"/>
          <w:color w:val="FF0000"/>
          <w:kern w:val="0"/>
          <w:sz w:val="24"/>
        </w:rPr>
        <w:t>（或双方协商一致的合理期限内）</w:t>
      </w:r>
      <w:r>
        <w:rPr>
          <w:rFonts w:ascii="宋体" w:hAnsi="宋体" w:eastAsia="宋体" w:cs="宋体"/>
          <w:color w:val="auto"/>
          <w:kern w:val="0"/>
          <w:sz w:val="24"/>
        </w:rPr>
        <w:t>提供</w:t>
      </w:r>
      <w:r>
        <w:rPr>
          <w:rFonts w:ascii="宋体" w:hAnsi="宋体" w:eastAsia="宋体" w:cs="宋体"/>
          <w:color w:val="FF0000"/>
          <w:kern w:val="0"/>
          <w:sz w:val="24"/>
        </w:rPr>
        <w:t>书面</w:t>
      </w:r>
      <w:r>
        <w:rPr>
          <w:rFonts w:ascii="宋体" w:hAnsi="宋体" w:eastAsia="宋体" w:cs="宋体"/>
          <w:color w:val="auto"/>
          <w:kern w:val="0"/>
          <w:sz w:val="24"/>
        </w:rPr>
        <w:t>替代方案</w:t>
      </w:r>
      <w:r>
        <w:rPr>
          <w:rFonts w:ascii="宋体" w:hAnsi="宋体" w:eastAsia="宋体" w:cs="宋体"/>
          <w:color w:val="FF0000"/>
          <w:kern w:val="0"/>
          <w:sz w:val="24"/>
        </w:rPr>
        <w:t>并经甲方确认</w:t>
      </w:r>
      <w:r>
        <w:rPr>
          <w:rFonts w:ascii="宋体" w:hAnsi="宋体" w:eastAsia="宋体" w:cs="宋体"/>
          <w:color w:val="auto"/>
          <w:kern w:val="0"/>
          <w:sz w:val="24"/>
        </w:rPr>
        <w:t>，逾期未处理的甲方有权按该批货物价款的20%扣除违约金。如因不可抗力(包括但不限于自然灾害、突发疫情、政策变化等)导致合同不能履行，双方均无需承担违约责任，但应及时协商采取合理补救措施。</w:t>
      </w:r>
    </w:p>
  </w:comment>
  <w:comment w:id="14" w:author="熊律师" w:date="2026-06-24T10:04:00Z" w:initials="">
    <w:p w14:paraId="755F0328">
      <w:r>
        <w:rPr>
          <w:rFonts w:ascii="宋体" w:hAnsi="宋体" w:eastAsia="宋体" w:cs="宋体"/>
          <w:color w:val="auto"/>
          <w:kern w:val="0"/>
          <w:sz w:val="24"/>
        </w:rPr>
        <w:t>【风险点】违约金标准及解除权完善</w:t>
      </w:r>
      <w:r>
        <w:rPr>
          <w:rFonts w:ascii="宋体" w:hAnsi="宋体" w:eastAsia="宋体" w:cs="宋体"/>
          <w:color w:val="auto"/>
          <w:kern w:val="0"/>
          <w:sz w:val="24"/>
        </w:rPr>
        <w:br w:type="textWrapping"/>
      </w:r>
      <w:r>
        <w:rPr>
          <w:rFonts w:ascii="宋体" w:hAnsi="宋体" w:eastAsia="宋体" w:cs="宋体"/>
          <w:color w:val="auto"/>
          <w:kern w:val="0"/>
          <w:sz w:val="24"/>
        </w:rPr>
        <w:t>【说明】原条款违约金比例偏低且表述不明确，未充分保障甲方权益。修改后明确违约情形与第五条关联，设置按日计收违约金和甲方单方解除权，提升乙方履约压力，更好保障甲方利益。</w:t>
      </w:r>
      <w:r>
        <w:rPr>
          <w:rFonts w:ascii="宋体" w:hAnsi="宋体" w:eastAsia="宋体" w:cs="宋体"/>
          <w:color w:val="auto"/>
          <w:kern w:val="0"/>
          <w:sz w:val="24"/>
        </w:rPr>
        <w:br w:type="textWrapping"/>
      </w:r>
      <w:r>
        <w:rPr>
          <w:rFonts w:ascii="宋体" w:hAnsi="宋体" w:eastAsia="宋体" w:cs="宋体"/>
          <w:color w:val="auto"/>
          <w:kern w:val="0"/>
          <w:sz w:val="24"/>
        </w:rPr>
        <w:t>【修改建议】乙方</w:t>
      </w:r>
      <w:r>
        <w:rPr>
          <w:rFonts w:ascii="宋体" w:hAnsi="宋体" w:eastAsia="宋体" w:cs="宋体"/>
          <w:strike/>
          <w:color w:val="999999"/>
          <w:kern w:val="0"/>
          <w:sz w:val="24"/>
        </w:rPr>
        <w:t>需如</w:t>
      </w:r>
      <w:r>
        <w:rPr>
          <w:rFonts w:ascii="宋体" w:hAnsi="宋体" w:eastAsia="宋体" w:cs="宋体"/>
          <w:color w:val="FF0000"/>
          <w:kern w:val="0"/>
          <w:sz w:val="24"/>
        </w:rPr>
        <w:t>未按照本合同第五条约定的时间、地点、数量交付符合约定的货物，每逾</w:t>
      </w:r>
      <w:r>
        <w:rPr>
          <w:rFonts w:ascii="宋体" w:hAnsi="宋体" w:eastAsia="宋体" w:cs="宋体"/>
          <w:color w:val="auto"/>
          <w:kern w:val="0"/>
          <w:sz w:val="24"/>
        </w:rPr>
        <w:t>期</w:t>
      </w:r>
      <w:r>
        <w:rPr>
          <w:rFonts w:ascii="宋体" w:hAnsi="宋体" w:eastAsia="宋体" w:cs="宋体"/>
          <w:color w:val="FF0000"/>
          <w:kern w:val="0"/>
          <w:sz w:val="24"/>
        </w:rPr>
        <w:t>一日，应</w:t>
      </w:r>
      <w:r>
        <w:rPr>
          <w:rFonts w:ascii="宋体" w:hAnsi="宋体" w:eastAsia="宋体" w:cs="宋体"/>
          <w:color w:val="auto"/>
          <w:kern w:val="0"/>
          <w:sz w:val="24"/>
        </w:rPr>
        <w:t>向甲方</w:t>
      </w:r>
      <w:r>
        <w:rPr>
          <w:rFonts w:ascii="宋体" w:hAnsi="宋体" w:eastAsia="宋体" w:cs="宋体"/>
          <w:strike/>
          <w:color w:val="999999"/>
          <w:kern w:val="0"/>
          <w:sz w:val="24"/>
        </w:rPr>
        <w:t>供</w:t>
      </w:r>
      <w:r>
        <w:rPr>
          <w:rFonts w:ascii="宋体" w:hAnsi="宋体" w:eastAsia="宋体" w:cs="宋体"/>
          <w:color w:val="FF0000"/>
          <w:kern w:val="0"/>
          <w:sz w:val="24"/>
        </w:rPr>
        <w:t>支付该批次逾期交付</w:t>
      </w:r>
      <w:r>
        <w:rPr>
          <w:rFonts w:ascii="宋体" w:hAnsi="宋体" w:eastAsia="宋体" w:cs="宋体"/>
          <w:color w:val="auto"/>
          <w:kern w:val="0"/>
          <w:sz w:val="24"/>
        </w:rPr>
        <w:t>货</w:t>
      </w:r>
      <w:r>
        <w:rPr>
          <w:rFonts w:ascii="宋体" w:hAnsi="宋体" w:eastAsia="宋体" w:cs="宋体"/>
          <w:color w:val="FF0000"/>
          <w:kern w:val="0"/>
          <w:sz w:val="24"/>
        </w:rPr>
        <w:t>物金额千分之五的违约金；逾期超过5日的</w:t>
      </w:r>
      <w:r>
        <w:rPr>
          <w:rFonts w:ascii="宋体" w:hAnsi="宋体" w:eastAsia="宋体" w:cs="宋体"/>
          <w:color w:val="auto"/>
          <w:kern w:val="0"/>
          <w:sz w:val="24"/>
        </w:rPr>
        <w:t>，</w:t>
      </w:r>
      <w:r>
        <w:rPr>
          <w:rFonts w:ascii="宋体" w:hAnsi="宋体" w:eastAsia="宋体" w:cs="宋体"/>
          <w:strike/>
          <w:color w:val="999999"/>
          <w:kern w:val="0"/>
          <w:sz w:val="24"/>
        </w:rPr>
        <w:t>否则</w:t>
      </w:r>
      <w:r>
        <w:rPr>
          <w:rFonts w:ascii="宋体" w:hAnsi="宋体" w:eastAsia="宋体" w:cs="宋体"/>
          <w:color w:val="FF0000"/>
          <w:kern w:val="0"/>
          <w:sz w:val="24"/>
        </w:rPr>
        <w:t>甲方有权单方解</w:t>
      </w:r>
      <w:r>
        <w:rPr>
          <w:rFonts w:ascii="宋体" w:hAnsi="宋体" w:eastAsia="宋体" w:cs="宋体"/>
          <w:color w:val="auto"/>
          <w:kern w:val="0"/>
          <w:sz w:val="24"/>
        </w:rPr>
        <w:t>除</w:t>
      </w:r>
      <w:r>
        <w:rPr>
          <w:rFonts w:ascii="宋体" w:hAnsi="宋体" w:eastAsia="宋体" w:cs="宋体"/>
          <w:color w:val="FF0000"/>
          <w:kern w:val="0"/>
          <w:sz w:val="24"/>
        </w:rPr>
        <w:t>该批次或全部合同，乙方除</w:t>
      </w:r>
      <w:r>
        <w:rPr>
          <w:rFonts w:ascii="宋体" w:hAnsi="宋体" w:eastAsia="宋体" w:cs="宋体"/>
          <w:color w:val="auto"/>
          <w:kern w:val="0"/>
          <w:sz w:val="24"/>
        </w:rPr>
        <w:t>应</w:t>
      </w:r>
      <w:r>
        <w:rPr>
          <w:rFonts w:ascii="宋体" w:hAnsi="宋体" w:eastAsia="宋体" w:cs="宋体"/>
          <w:strike/>
          <w:color w:val="999999"/>
          <w:kern w:val="0"/>
          <w:sz w:val="24"/>
        </w:rPr>
        <w:t>承担货款</w:t>
      </w:r>
      <w:r>
        <w:rPr>
          <w:rFonts w:ascii="宋体" w:hAnsi="宋体" w:eastAsia="宋体" w:cs="宋体"/>
          <w:color w:val="FF0000"/>
          <w:kern w:val="0"/>
          <w:sz w:val="24"/>
        </w:rPr>
        <w:t>支付违约</w:t>
      </w:r>
      <w:r>
        <w:rPr>
          <w:rFonts w:ascii="宋体" w:hAnsi="宋体" w:eastAsia="宋体" w:cs="宋体"/>
          <w:color w:val="auto"/>
          <w:kern w:val="0"/>
          <w:sz w:val="24"/>
        </w:rPr>
        <w:t>金</w:t>
      </w:r>
      <w:r>
        <w:rPr>
          <w:rFonts w:ascii="宋体" w:hAnsi="宋体" w:eastAsia="宋体" w:cs="宋体"/>
          <w:strike/>
          <w:color w:val="999999"/>
          <w:kern w:val="0"/>
          <w:sz w:val="24"/>
        </w:rPr>
        <w:t>额</w:t>
      </w:r>
      <w:r>
        <w:rPr>
          <w:rFonts w:ascii="宋体" w:hAnsi="宋体" w:eastAsia="宋体" w:cs="宋体"/>
          <w:color w:val="FF0000"/>
          <w:kern w:val="0"/>
          <w:sz w:val="24"/>
        </w:rPr>
        <w:t>外，还应向甲方支付合同总价款</w:t>
      </w:r>
      <w:r>
        <w:rPr>
          <w:rFonts w:ascii="宋体" w:hAnsi="宋体" w:eastAsia="宋体" w:cs="宋体"/>
          <w:color w:val="auto"/>
          <w:kern w:val="0"/>
          <w:sz w:val="24"/>
        </w:rPr>
        <w:t>2</w:t>
      </w:r>
      <w:r>
        <w:rPr>
          <w:rFonts w:ascii="宋体" w:hAnsi="宋体" w:eastAsia="宋体" w:cs="宋体"/>
          <w:color w:val="FF0000"/>
          <w:kern w:val="0"/>
          <w:sz w:val="24"/>
        </w:rPr>
        <w:t>0</w:t>
      </w:r>
      <w:r>
        <w:rPr>
          <w:rFonts w:ascii="宋体" w:hAnsi="宋体" w:eastAsia="宋体" w:cs="宋体"/>
          <w:color w:val="auto"/>
          <w:kern w:val="0"/>
          <w:sz w:val="24"/>
        </w:rPr>
        <w:t>%的违约金</w:t>
      </w:r>
      <w:r>
        <w:rPr>
          <w:rFonts w:ascii="宋体" w:hAnsi="宋体" w:eastAsia="宋体" w:cs="宋体"/>
          <w:strike/>
          <w:color w:val="999999"/>
          <w:kern w:val="0"/>
          <w:sz w:val="24"/>
        </w:rPr>
        <w:t>外，</w:t>
      </w:r>
      <w:r>
        <w:rPr>
          <w:rFonts w:ascii="宋体" w:hAnsi="宋体" w:eastAsia="宋体" w:cs="宋体"/>
          <w:color w:val="FF0000"/>
          <w:kern w:val="0"/>
          <w:sz w:val="24"/>
        </w:rPr>
        <w:t>。</w:t>
      </w:r>
      <w:r>
        <w:rPr>
          <w:rFonts w:ascii="宋体" w:hAnsi="宋体" w:eastAsia="宋体" w:cs="宋体"/>
          <w:color w:val="auto"/>
          <w:kern w:val="0"/>
          <w:sz w:val="24"/>
        </w:rPr>
        <w:t>如因此造成甲方实际损失(包括但不限于延误发放后的补救费用、投诉赔偿等)，乙方还应足额赔偿甲方全部实际损失，违约金不足以弥补损失的，应补足差额。</w:t>
      </w:r>
    </w:p>
  </w:comment>
  <w:comment w:id="15" w:author="熊律师" w:date="2026-06-24T10:08:00Z" w:initials="">
    <w:p w14:paraId="07F1E97A">
      <w:r>
        <w:rPr>
          <w:rFonts w:ascii="宋体" w:hAnsi="宋体" w:eastAsia="宋体" w:cs="宋体"/>
          <w:color w:val="0000FF"/>
          <w:kern w:val="0"/>
          <w:sz w:val="24"/>
        </w:rPr>
        <w:t>【提示】违约金上限赔偿风险</w:t>
      </w:r>
      <w:r>
        <w:rPr>
          <w:rFonts w:ascii="宋体" w:hAnsi="宋体" w:eastAsia="宋体" w:cs="宋体"/>
          <w:color w:val="0000FF"/>
          <w:kern w:val="0"/>
          <w:sz w:val="24"/>
        </w:rPr>
        <w:br w:type="textWrapping"/>
      </w:r>
      <w:r>
        <w:rPr>
          <w:rFonts w:ascii="宋体" w:hAnsi="宋体" w:eastAsia="宋体" w:cs="宋体"/>
          <w:color w:val="0000FF"/>
          <w:kern w:val="0"/>
          <w:sz w:val="24"/>
        </w:rPr>
        <w:t>【说明】本条约定违约方承担的总违约金不超过合同总价款的20%。如乙方发生严重违约（如大面积质量问题、安全事故），该上限可能无法覆盖甲方全部实际损失（如对职工的赔偿、行政罚款、公关费用等），存在甲方损失无法获得足额赔偿的风险。</w:t>
      </w:r>
    </w:p>
  </w:comment>
  <w:comment w:id="16" w:author="熊律师" w:date="2026-06-24T10:12:00Z" w:initials="">
    <w:p w14:paraId="5127F47E">
      <w:r>
        <w:rPr>
          <w:rFonts w:ascii="宋体" w:hAnsi="宋体" w:eastAsia="宋体" w:cs="宋体"/>
          <w:color w:val="auto"/>
          <w:kern w:val="0"/>
          <w:sz w:val="24"/>
        </w:rPr>
        <w:t>【风险点】乙方重大质量问题无限赔偿</w:t>
      </w:r>
      <w:r>
        <w:rPr>
          <w:rFonts w:ascii="宋体" w:hAnsi="宋体" w:eastAsia="宋体" w:cs="宋体"/>
          <w:color w:val="auto"/>
          <w:kern w:val="0"/>
          <w:sz w:val="24"/>
        </w:rPr>
        <w:br w:type="textWrapping"/>
      </w:r>
      <w:r>
        <w:rPr>
          <w:rFonts w:ascii="宋体" w:hAnsi="宋体" w:eastAsia="宋体" w:cs="宋体"/>
          <w:color w:val="auto"/>
          <w:kern w:val="0"/>
          <w:sz w:val="24"/>
        </w:rPr>
        <w:t>【说明】合同缺少对乙方提供虚假资料、产品存在严重安全质量问题的违约责任约定。此为甲方核心风险，需明确乙方在此情况下的无限赔偿责任，防止甲方因重大质量事故或安全事件遭受无法弥补的损失。</w:t>
      </w:r>
      <w:r>
        <w:rPr>
          <w:rFonts w:ascii="宋体" w:hAnsi="宋体" w:eastAsia="宋体" w:cs="宋体"/>
          <w:color w:val="auto"/>
          <w:kern w:val="0"/>
          <w:sz w:val="24"/>
        </w:rPr>
        <w:br w:type="textWrapping"/>
      </w:r>
      <w:r>
        <w:rPr>
          <w:rFonts w:ascii="宋体" w:hAnsi="宋体" w:eastAsia="宋体" w:cs="宋体"/>
          <w:color w:val="auto"/>
          <w:kern w:val="0"/>
          <w:sz w:val="24"/>
        </w:rPr>
        <w:t>【修改建议】</w:t>
      </w:r>
      <w:r>
        <w:rPr>
          <w:rFonts w:ascii="宋体" w:hAnsi="宋体" w:eastAsia="宋体" w:cs="宋体"/>
          <w:color w:val="FF0000"/>
          <w:kern w:val="0"/>
          <w:sz w:val="24"/>
        </w:rPr>
        <w:t>若乙方提供的产品、资质文件存在虚假，或产品不符合国家强制性标准、存在安全隐患并造成任何人身或财产损害的，乙方除承担本合同约定的违约责任外，还应赔偿甲方及第三方因此遭受的全部损失（包括但不限于赔偿金、罚款、律师费、诉讼费、鉴定费等）。</w:t>
      </w:r>
    </w:p>
  </w:comment>
  <w:comment w:id="17" w:author="熊律师" w:date="2026-06-24T10:16:00Z" w:initials="">
    <w:p w14:paraId="798C28C0">
      <w:r>
        <w:rPr>
          <w:rFonts w:ascii="宋体" w:hAnsi="宋体" w:eastAsia="宋体" w:cs="宋体"/>
          <w:color w:val="auto"/>
          <w:kern w:val="0"/>
          <w:sz w:val="24"/>
        </w:rPr>
        <w:t>【风险点】争议解决条款无效</w:t>
      </w:r>
      <w:r>
        <w:rPr>
          <w:rFonts w:ascii="宋体" w:hAnsi="宋体" w:eastAsia="宋体" w:cs="宋体"/>
          <w:color w:val="auto"/>
          <w:kern w:val="0"/>
          <w:sz w:val="24"/>
        </w:rPr>
        <w:br w:type="textWrapping"/>
      </w:r>
      <w:r>
        <w:rPr>
          <w:rFonts w:ascii="宋体" w:hAnsi="宋体" w:eastAsia="宋体" w:cs="宋体"/>
          <w:color w:val="auto"/>
          <w:kern w:val="0"/>
          <w:sz w:val="24"/>
        </w:rPr>
        <w:t>【说明】原条款同时约定仲裁和诉讼，违反法律规定，导致争议解决条款无效。修改为仅诉讼管辖，明确争议由甲方所在地法院管辖，便于甲方维权，符合合同有效性要求。</w:t>
      </w:r>
      <w:r>
        <w:rPr>
          <w:rFonts w:ascii="宋体" w:hAnsi="宋体" w:eastAsia="宋体" w:cs="宋体"/>
          <w:color w:val="auto"/>
          <w:kern w:val="0"/>
          <w:sz w:val="24"/>
        </w:rPr>
        <w:br w:type="textWrapping"/>
      </w:r>
      <w:r>
        <w:rPr>
          <w:rFonts w:ascii="宋体" w:hAnsi="宋体" w:eastAsia="宋体" w:cs="宋体"/>
          <w:color w:val="auto"/>
          <w:kern w:val="0"/>
          <w:sz w:val="24"/>
        </w:rPr>
        <w:t>【修改建议】本合同在履行过程中发生的争议,由甲乙双方当事人协商解决,协商不成的</w:t>
      </w:r>
      <w:r>
        <w:rPr>
          <w:rFonts w:ascii="宋体" w:hAnsi="宋体" w:eastAsia="宋体" w:cs="宋体"/>
          <w:color w:val="FF0000"/>
          <w:kern w:val="0"/>
          <w:sz w:val="24"/>
        </w:rPr>
        <w:t>，依法向</w:t>
      </w:r>
      <w:r>
        <w:rPr>
          <w:rFonts w:ascii="宋体" w:hAnsi="宋体" w:eastAsia="宋体" w:cs="宋体"/>
          <w:color w:val="auto"/>
          <w:kern w:val="0"/>
          <w:sz w:val="24"/>
        </w:rPr>
        <w:t>甲方</w:t>
      </w:r>
      <w:r>
        <w:rPr>
          <w:rFonts w:ascii="宋体" w:hAnsi="宋体" w:eastAsia="宋体" w:cs="宋体"/>
          <w:color w:val="FF0000"/>
          <w:kern w:val="0"/>
          <w:sz w:val="24"/>
        </w:rPr>
        <w:t>所在地</w:t>
      </w:r>
      <w:r>
        <w:rPr>
          <w:rFonts w:ascii="宋体" w:hAnsi="宋体" w:eastAsia="宋体" w:cs="宋体"/>
          <w:color w:val="auto"/>
          <w:kern w:val="0"/>
          <w:sz w:val="24"/>
        </w:rPr>
        <w:t>有</w:t>
      </w:r>
      <w:r>
        <w:rPr>
          <w:rFonts w:ascii="宋体" w:hAnsi="宋体" w:eastAsia="宋体" w:cs="宋体"/>
          <w:color w:val="FF0000"/>
          <w:kern w:val="0"/>
          <w:sz w:val="24"/>
        </w:rPr>
        <w:t>管辖</w:t>
      </w:r>
      <w:r>
        <w:rPr>
          <w:rFonts w:ascii="宋体" w:hAnsi="宋体" w:eastAsia="宋体" w:cs="宋体"/>
          <w:color w:val="auto"/>
          <w:kern w:val="0"/>
          <w:sz w:val="24"/>
        </w:rPr>
        <w:t>权</w:t>
      </w:r>
      <w:r>
        <w:rPr>
          <w:rFonts w:ascii="宋体" w:hAnsi="宋体" w:eastAsia="宋体" w:cs="宋体"/>
          <w:strike/>
          <w:color w:val="999999"/>
          <w:kern w:val="0"/>
          <w:sz w:val="24"/>
        </w:rPr>
        <w:t>根据自身需要选择将争议提交安康仲裁委员会仲裁,或依法向</w:t>
      </w:r>
      <w:r>
        <w:rPr>
          <w:rFonts w:ascii="宋体" w:hAnsi="宋体" w:eastAsia="宋体" w:cs="宋体"/>
          <w:color w:val="FF0000"/>
          <w:kern w:val="0"/>
          <w:sz w:val="24"/>
        </w:rPr>
        <w:t>的</w:t>
      </w:r>
      <w:r>
        <w:rPr>
          <w:rFonts w:ascii="宋体" w:hAnsi="宋体" w:eastAsia="宋体" w:cs="宋体"/>
          <w:color w:val="auto"/>
          <w:kern w:val="0"/>
          <w:sz w:val="24"/>
        </w:rPr>
        <w:t>人民法院提起诉讼。</w:t>
      </w:r>
    </w:p>
  </w:comment>
  <w:comment w:id="18" w:author="熊律师" w:date="2026-06-24T10:20:00Z" w:initials="">
    <w:p w14:paraId="5652372D">
      <w:r>
        <w:rPr>
          <w:rFonts w:ascii="宋体" w:hAnsi="宋体" w:eastAsia="宋体" w:cs="宋体"/>
          <w:color w:val="0000FF"/>
          <w:kern w:val="0"/>
          <w:sz w:val="24"/>
        </w:rPr>
        <w:t>【提示】合同正本份数未明确</w:t>
      </w:r>
      <w:r>
        <w:rPr>
          <w:rFonts w:ascii="宋体" w:hAnsi="宋体" w:eastAsia="宋体" w:cs="宋体"/>
          <w:color w:val="0000FF"/>
          <w:kern w:val="0"/>
          <w:sz w:val="24"/>
        </w:rPr>
        <w:br w:type="textWrapping"/>
      </w:r>
      <w:r>
        <w:rPr>
          <w:rFonts w:ascii="宋体" w:hAnsi="宋体" w:eastAsia="宋体" w:cs="宋体"/>
          <w:color w:val="0000FF"/>
          <w:kern w:val="0"/>
          <w:sz w:val="24"/>
        </w:rPr>
        <w:t>【说明】合同正本双方持有份数处为空，未明确具体份数，可能影响后续合同使用及举证，可能引发后续合同份数争议。应补充完整信息。</w:t>
      </w:r>
    </w:p>
  </w:comment>
  <w:comment w:id="19" w:author="熊律师" w:date="2026-06-24T10:24:00Z" w:initials="">
    <w:p w14:paraId="6A87D6CC">
      <w:r>
        <w:rPr>
          <w:rFonts w:ascii="宋体" w:hAnsi="宋体" w:eastAsia="宋体" w:cs="宋体"/>
          <w:color w:val="auto"/>
          <w:kern w:val="0"/>
          <w:sz w:val="24"/>
        </w:rPr>
        <w:t>【风险点】签订地点表述需准确完整</w:t>
      </w:r>
      <w:r>
        <w:rPr>
          <w:rFonts w:ascii="宋体" w:hAnsi="宋体" w:eastAsia="宋体" w:cs="宋体"/>
          <w:color w:val="auto"/>
          <w:kern w:val="0"/>
          <w:sz w:val="24"/>
        </w:rPr>
        <w:br w:type="textWrapping"/>
      </w:r>
      <w:r>
        <w:rPr>
          <w:rFonts w:ascii="宋体" w:hAnsi="宋体" w:eastAsia="宋体" w:cs="宋体"/>
          <w:color w:val="auto"/>
          <w:kern w:val="0"/>
          <w:sz w:val="24"/>
        </w:rPr>
        <w:t>【说明】原条款合同签订地点表述不完整且缺少关键字，可能影响合同生效及管辖认定。修改后明确为“</w:t>
      </w:r>
      <w:r>
        <w:rPr>
          <w:rFonts w:hint="eastAsia" w:ascii="宋体" w:hAnsi="宋体" w:eastAsia="宋体" w:cs="宋体"/>
          <w:color w:val="auto"/>
          <w:kern w:val="0"/>
          <w:sz w:val="24"/>
          <w:lang w:eastAsia="zh-CN"/>
        </w:rPr>
        <w:t>安康市中心血站</w:t>
      </w:r>
      <w:r>
        <w:rPr>
          <w:rFonts w:ascii="宋体" w:hAnsi="宋体" w:eastAsia="宋体" w:cs="宋体"/>
          <w:color w:val="auto"/>
          <w:kern w:val="0"/>
          <w:sz w:val="24"/>
        </w:rPr>
        <w:t>”，确保合同签订地点准确完整，符合合同成立生效程序要求。</w:t>
      </w:r>
      <w:r>
        <w:rPr>
          <w:rFonts w:ascii="宋体" w:hAnsi="宋体" w:eastAsia="宋体" w:cs="宋体"/>
          <w:color w:val="auto"/>
          <w:kern w:val="0"/>
          <w:sz w:val="24"/>
        </w:rPr>
        <w:br w:type="textWrapping"/>
      </w:r>
      <w:r>
        <w:rPr>
          <w:rFonts w:ascii="宋体" w:hAnsi="宋体" w:eastAsia="宋体" w:cs="宋体"/>
          <w:color w:val="auto"/>
          <w:kern w:val="0"/>
          <w:sz w:val="24"/>
        </w:rPr>
        <w:t>【修改建议】合同经甲乙双方共同签字盖章之日起生效，合同签订地点为</w:t>
      </w:r>
      <w:r>
        <w:rPr>
          <w:rFonts w:hint="eastAsia" w:ascii="宋体" w:hAnsi="宋体" w:eastAsia="宋体" w:cs="宋体"/>
          <w:color w:val="auto"/>
          <w:kern w:val="0"/>
          <w:sz w:val="24"/>
          <w:lang w:eastAsia="zh-CN"/>
        </w:rPr>
        <w:t>安康市中心血站</w:t>
      </w:r>
      <w:r>
        <w:rPr>
          <w:rFonts w:ascii="宋体" w:hAnsi="宋体" w:eastAsia="宋体" w:cs="宋体"/>
          <w:color w:val="FF0000"/>
          <w:kern w:val="0"/>
          <w:sz w:val="24"/>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43EF6C1" w15:done="0"/>
  <w15:commentEx w15:paraId="10C321CA" w15:done="0"/>
  <w15:commentEx w15:paraId="685A1F56" w15:done="0"/>
  <w15:commentEx w15:paraId="3E73A383" w15:done="0"/>
  <w15:commentEx w15:paraId="1A95A340" w15:done="0"/>
  <w15:commentEx w15:paraId="245C8749" w15:done="0"/>
  <w15:commentEx w15:paraId="06818266" w15:done="0"/>
  <w15:commentEx w15:paraId="5F8ED2B9" w15:done="0"/>
  <w15:commentEx w15:paraId="776EA537" w15:done="0"/>
  <w15:commentEx w15:paraId="64979706" w15:done="0"/>
  <w15:commentEx w15:paraId="0A8D91DB" w15:done="0"/>
  <w15:commentEx w15:paraId="25618287" w15:done="0"/>
  <w15:commentEx w15:paraId="4244DC6D" w15:done="0"/>
  <w15:commentEx w15:paraId="2E159874" w15:done="0"/>
  <w15:commentEx w15:paraId="755F0328" w15:done="0"/>
  <w15:commentEx w15:paraId="07F1E97A" w15:done="0"/>
  <w15:commentEx w15:paraId="5127F47E" w15:done="0"/>
  <w15:commentEx w15:paraId="798C28C0" w15:done="0"/>
  <w15:commentEx w15:paraId="5652372D" w15:done="0"/>
  <w15:commentEx w15:paraId="6A87D6C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A4666A5-E39D-43CB-B626-CE626E135363}"/>
  </w:font>
  <w:font w:name="黑体">
    <w:panose1 w:val="02010609060101010101"/>
    <w:charset w:val="86"/>
    <w:family w:val="auto"/>
    <w:pitch w:val="default"/>
    <w:sig w:usb0="800002BF" w:usb1="38CF7CFA" w:usb2="00000016" w:usb3="00000000" w:csb0="00040001" w:csb1="00000000"/>
    <w:embedRegular r:id="rId2" w:fontKey="{1794A31B-C3A3-498B-B19F-61A490C70C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EDB1D1D-32C8-4A91-9E86-C9DC6A180756}"/>
  </w:font>
  <w:font w:name="Calibri Light">
    <w:panose1 w:val="020F0302020204030204"/>
    <w:charset w:val="00"/>
    <w:family w:val="swiss"/>
    <w:pitch w:val="default"/>
    <w:sig w:usb0="E4002EFF" w:usb1="C000247B" w:usb2="00000009" w:usb3="00000000" w:csb0="200001FF" w:csb1="00000000"/>
    <w:embedRegular r:id="rId4" w:fontKey="{43EF5166-DE17-4D43-A52A-4DB1E64ED1F1}"/>
  </w:font>
  <w:font w:name="华文仿宋">
    <w:panose1 w:val="02010600040101010101"/>
    <w:charset w:val="86"/>
    <w:family w:val="auto"/>
    <w:pitch w:val="default"/>
    <w:sig w:usb0="00000287" w:usb1="080F0000" w:usb2="00000000" w:usb3="00000000" w:csb0="0004009F" w:csb1="DFD70000"/>
    <w:embedRegular r:id="rId5" w:fontKey="{4398D3C5-318D-455C-9E9A-166F76DE0ECE}"/>
  </w:font>
  <w:font w:name="仿宋">
    <w:panose1 w:val="02010609060101010101"/>
    <w:charset w:val="86"/>
    <w:family w:val="auto"/>
    <w:pitch w:val="default"/>
    <w:sig w:usb0="800002BF" w:usb1="38CF7CFA" w:usb2="00000016" w:usb3="00000000" w:csb0="00040001" w:csb1="00000000"/>
    <w:embedRegular r:id="rId6" w:fontKey="{F989D581-9FA2-462D-828F-EB590EB8026F}"/>
  </w:font>
  <w:font w:name="仿宋_GB2312">
    <w:panose1 w:val="02010609030101010101"/>
    <w:charset w:val="86"/>
    <w:family w:val="modern"/>
    <w:pitch w:val="default"/>
    <w:sig w:usb0="00000001" w:usb1="080E0000" w:usb2="00000000" w:usb3="00000000" w:csb0="00040000" w:csb1="00000000"/>
    <w:embedRegular r:id="rId7" w:fontKey="{01FC31A7-4CFC-483B-9473-105A8F1DB64F}"/>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0C5DC">
    <w:pPr>
      <w:pStyle w:val="23"/>
      <w:tabs>
        <w:tab w:val="left" w:pos="2431"/>
        <w:tab w:val="center" w:pos="4253"/>
        <w:tab w:val="left" w:pos="5055"/>
        <w:tab w:val="clear" w:pos="4153"/>
        <w:tab w:val="clear" w:pos="8306"/>
      </w:tabs>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9B34D7">
                          <w:pPr>
                            <w:pStyle w:val="23"/>
                            <w:rPr>
                              <w:rFonts w:hint="eastAsia" w:eastAsia="华文仿宋"/>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59B34D7">
                    <w:pPr>
                      <w:pStyle w:val="23"/>
                      <w:rPr>
                        <w:rFonts w:hint="eastAsia" w:eastAsia="华文仿宋"/>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E4DD1">
    <w:pPr>
      <w:pStyle w:val="23"/>
      <w:tabs>
        <w:tab w:val="left" w:pos="2431"/>
        <w:tab w:val="center" w:pos="4253"/>
        <w:tab w:val="left" w:pos="5055"/>
        <w:tab w:val="clear" w:pos="4153"/>
        <w:tab w:val="clear" w:pos="8306"/>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F2D6">
    <w:pPr>
      <w:pStyle w:val="23"/>
      <w:wordWrap w:val="0"/>
      <w:jc w:val="right"/>
      <w:rPr>
        <w:rFonts w:hint="eastAsia" w:ascii="宋体" w:hAnsi="宋体" w:eastAsia="宋体"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EF6E7">
                          <w:pPr>
                            <w:pStyle w:val="2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79EF6E7">
                    <w:pPr>
                      <w:pStyle w:val="23"/>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55</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635DF">
    <w:pPr>
      <w:pStyle w:val="2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BAE6F">
    <w:pPr>
      <w:pStyle w:val="23"/>
      <w:tabs>
        <w:tab w:val="left" w:pos="2431"/>
        <w:tab w:val="clear" w:pos="4153"/>
        <w:tab w:val="clear" w:pos="8306"/>
      </w:tabs>
      <w:wordWrap w:val="0"/>
      <w:ind w:right="360"/>
      <w:jc w:val="both"/>
    </w:pPr>
    <w:r>
      <w:rPr>
        <w:sz w:val="18"/>
      </w:rPr>
      <mc:AlternateContent>
        <mc:Choice Requires="wps">
          <w:drawing>
            <wp:anchor distT="0" distB="0" distL="114300" distR="114300" simplePos="0" relativeHeight="251664384" behindDoc="0" locked="0" layoutInCell="1" allowOverlap="1">
              <wp:simplePos x="0" y="0"/>
              <wp:positionH relativeFrom="margin">
                <wp:posOffset>2376805</wp:posOffset>
              </wp:positionH>
              <wp:positionV relativeFrom="paragraph">
                <wp:posOffset>-48260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3B56EB">
                          <w:pPr>
                            <w:pStyle w:val="23"/>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lang w:val="en-US" w:eastAsia="zh-CN"/>
                            </w:rPr>
                            <w:t>50</w:t>
                          </w:r>
                          <w:r>
                            <w:rPr>
                              <w:rFonts w:hint="eastAsia" w:ascii="宋体" w:hAnsi="宋体" w:eastAsia="宋体" w:cs="宋体"/>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7.15pt;margin-top:-3.8pt;height:144pt;width:144pt;mso-position-horizontal-relative:margin;mso-wrap-style:none;z-index:251664384;mso-width-relative:page;mso-height-relative:page;" filled="f" stroked="f" coordsize="21600,21600" o:gfxdata="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Jym5RtgAAAAKAQAADwAAAAAAAAABACAAAAAiAAAAZHJzL2Rvd25yZXYueG1s&#10;UEsBAhQAFAAAAAgAh07iQKmor5UxAgAAYwQAAA4AAAAAAAAAAQAgAAAAJwEAAGRycy9lMm9Eb2Mu&#10;eG1sUEsFBgAAAAAGAAYAWQEAAMoFAAAAAA==&#10;">
              <v:fill on="f" focussize="0,0"/>
              <v:stroke on="f" weight="0.5pt"/>
              <v:imagedata o:title=""/>
              <o:lock v:ext="edit" aspectratio="f"/>
              <v:textbox inset="0mm,0mm,0mm,0mm" style="mso-fit-shape-to-text:t;">
                <w:txbxContent>
                  <w:p w14:paraId="203B56EB">
                    <w:pPr>
                      <w:pStyle w:val="23"/>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lang w:val="en-US" w:eastAsia="zh-CN"/>
                      </w:rPr>
                      <w:t>50</w:t>
                    </w:r>
                    <w:r>
                      <w:rPr>
                        <w:rFonts w:hint="eastAsia" w:ascii="宋体" w:hAnsi="宋体" w:eastAsia="宋体" w:cs="宋体"/>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3151">
    <w:pPr>
      <w:pStyle w:val="2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4338E">
                          <w:pPr>
                            <w:pStyle w:val="23"/>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124338E">
                    <w:pPr>
                      <w:pStyle w:val="23"/>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lang w:val="en-US" w:eastAsia="zh-CN"/>
                      </w:rPr>
                      <w:t>55</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09F2C">
    <w:pPr>
      <w:pStyle w:val="23"/>
      <w:tabs>
        <w:tab w:val="left" w:pos="2431"/>
        <w:tab w:val="clear" w:pos="4153"/>
        <w:tab w:val="clear" w:pos="8306"/>
      </w:tabs>
      <w:wordWrap w:val="0"/>
      <w:ind w:right="360"/>
      <w:jc w:val="right"/>
      <w:rPr>
        <w:rFonts w:hint="eastAsia" w:ascii="宋体" w:hAnsi="宋体" w:eastAsia="宋体" w:cs="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C0560">
    <w:pPr>
      <w:jc w:val="distribute"/>
      <w:rPr>
        <w:rFonts w:hint="eastAsia" w:ascii="宋体" w:hAnsi="宋体" w:eastAsia="宋体" w:cs="宋体"/>
        <w:sz w:val="18"/>
        <w:szCs w:val="18"/>
        <w:lang w:val="en-US" w:eastAsia="zh-CN"/>
      </w:rPr>
    </w:pPr>
    <w:r>
      <w:rPr>
        <w:rFonts w:hint="eastAsia" w:ascii="宋体" w:hAnsi="宋体" w:eastAsia="宋体" w:cs="宋体"/>
        <w:sz w:val="18"/>
        <w:szCs w:val="18"/>
      </w:rPr>
      <w:tab/>
    </w:r>
    <w:r>
      <w:rPr>
        <w:rFonts w:hint="eastAsia" w:ascii="宋体" w:hAnsi="宋体" w:eastAsia="宋体" w:cs="宋体"/>
        <w:sz w:val="18"/>
        <w:szCs w:val="18"/>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215A7">
    <w:pPr>
      <w:pStyle w:val="24"/>
      <w:pBdr>
        <w:bottom w:val="none" w:color="auto" w:sz="0" w:space="1"/>
      </w:pBdr>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1DCDD">
    <w:pPr>
      <w:pStyle w:val="24"/>
      <w:ind w:firstLine="200" w:firstLineChars="100"/>
      <w:jc w:val="left"/>
      <w:rPr>
        <w:rFonts w:hint="default" w:ascii="宋体" w:hAnsi="宋体" w:eastAsia="宋体" w:cs="宋体"/>
        <w:sz w:val="20"/>
        <w:highlight w:val="none"/>
        <w:lang w:val="en-US" w:eastAsia="zh-CN"/>
      </w:rPr>
    </w:pPr>
    <w:r>
      <w:rPr>
        <w:rFonts w:hint="eastAsia" w:ascii="宋体" w:hAnsi="宋体" w:eastAsia="宋体" w:cs="宋体"/>
        <w:sz w:val="20"/>
        <w:highlight w:val="none"/>
        <w:lang w:eastAsia="zh-CN"/>
      </w:rPr>
      <w:t>项目名称：</w:t>
    </w:r>
    <w:bookmarkStart w:id="378" w:name="OLE_LINK15"/>
    <w:r>
      <w:rPr>
        <w:rFonts w:hint="eastAsia" w:ascii="宋体" w:hAnsi="宋体" w:eastAsia="宋体" w:cs="宋体"/>
        <w:sz w:val="20"/>
        <w:highlight w:val="none"/>
        <w:lang w:val="en-US" w:eastAsia="zh-CN"/>
      </w:rPr>
      <w:t>安康市中心血站献血服务食品采购项目</w:t>
    </w:r>
    <w:r>
      <w:rPr>
        <w:rFonts w:hint="eastAsia" w:ascii="宋体" w:hAnsi="宋体" w:eastAsia="宋体" w:cs="宋体"/>
        <w:sz w:val="20"/>
        <w:highlight w:val="none"/>
      </w:rPr>
      <w:t xml:space="preserve">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 xml:space="preserve"> </w:t>
    </w:r>
    <w:bookmarkEnd w:id="378"/>
    <w:r>
      <w:rPr>
        <w:rFonts w:hint="eastAsia" w:ascii="宋体" w:hAnsi="宋体" w:eastAsia="宋体" w:cs="宋体"/>
        <w:sz w:val="20"/>
        <w:highlight w:val="none"/>
        <w:lang w:val="en-US" w:eastAsia="zh-CN"/>
      </w:rPr>
      <w:t xml:space="preserve"> 项目编号：AKSH2026--ZTP-099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4944D">
    <w:pPr>
      <w:pStyle w:val="2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449F5">
    <w:pPr>
      <w:pStyle w:val="24"/>
      <w:keepNext w:val="0"/>
      <w:keepLines w:val="0"/>
      <w:pageBreakBefore w:val="0"/>
      <w:widowControl w:val="0"/>
      <w:kinsoku/>
      <w:wordWrap/>
      <w:overflowPunct/>
      <w:topLinePunct w:val="0"/>
      <w:autoSpaceDE/>
      <w:autoSpaceDN/>
      <w:bidi w:val="0"/>
      <w:adjustRightInd/>
      <w:snapToGrid w:val="0"/>
      <w:jc w:val="both"/>
      <w:textAlignment w:val="auto"/>
      <w:rPr>
        <w:rFonts w:hint="default" w:ascii="宋体" w:hAnsi="宋体" w:eastAsia="宋体" w:cs="宋体"/>
        <w:lang w:val="en-US" w:eastAsia="zh-CN"/>
      </w:rPr>
    </w:pPr>
    <w:r>
      <w:rPr>
        <w:rFonts w:hint="eastAsia" w:ascii="宋体" w:hAnsi="宋体" w:eastAsia="宋体" w:cs="宋体"/>
        <w:sz w:val="20"/>
        <w:highlight w:val="none"/>
        <w:lang w:eastAsia="zh-CN"/>
      </w:rPr>
      <w:t>项目名称：</w:t>
    </w:r>
    <w:r>
      <w:rPr>
        <w:rFonts w:hint="eastAsia" w:ascii="宋体" w:hAnsi="宋体" w:eastAsia="宋体" w:cs="宋体"/>
        <w:sz w:val="20"/>
        <w:highlight w:val="none"/>
        <w:lang w:val="en-US" w:eastAsia="zh-CN"/>
      </w:rPr>
      <w:t>安康市中心血站献血服务食品采购项目</w:t>
    </w:r>
    <w:r>
      <w:rPr>
        <w:rFonts w:hint="eastAsia" w:ascii="宋体" w:hAnsi="宋体" w:eastAsia="宋体" w:cs="宋体"/>
        <w:sz w:val="20"/>
        <w:highlight w:val="none"/>
        <w:lang w:eastAsia="zh-CN"/>
      </w:rPr>
      <w:t xml:space="preserve">   </w:t>
    </w:r>
    <w:r>
      <w:rPr>
        <w:rFonts w:hint="eastAsia" w:ascii="宋体" w:hAnsi="宋体" w:eastAsia="宋体" w:cs="宋体"/>
        <w:sz w:val="20"/>
        <w:highlight w:val="none"/>
        <w:lang w:val="en-US" w:eastAsia="zh-CN"/>
      </w:rPr>
      <w:t xml:space="preserve">              项目编号：AKSH2026--ZTP-099</w:t>
    </w:r>
    <w:r>
      <w:rPr>
        <w:rFonts w:hint="eastAsia" w:ascii="宋体" w:hAnsi="宋体" w:eastAsia="宋体" w:cs="宋体"/>
        <w:kern w:val="0"/>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BEE7A">
    <w:pPr>
      <w:pBdr>
        <w:bottom w:val="single" w:color="auto" w:sz="4" w:space="0"/>
      </w:pBdr>
      <w:jc w:val="both"/>
      <w:rPr>
        <w:rFonts w:hint="eastAsia"/>
        <w:lang w:val="en-US" w:eastAsia="zh-CN"/>
      </w:rPr>
    </w:pPr>
    <w:r>
      <w:rPr>
        <w:rFonts w:hint="eastAsia" w:ascii="宋体" w:hAnsi="宋体" w:eastAsia="宋体" w:cs="宋体"/>
        <w:sz w:val="20"/>
        <w:highlight w:val="none"/>
        <w:lang w:eastAsia="zh-CN"/>
      </w:rPr>
      <w:t>项目名称：</w:t>
    </w:r>
    <w:r>
      <w:rPr>
        <w:rFonts w:hint="eastAsia" w:ascii="宋体" w:hAnsi="宋体" w:eastAsia="宋体" w:cs="宋体"/>
        <w:sz w:val="20"/>
        <w:highlight w:val="none"/>
        <w:lang w:val="en-US" w:eastAsia="zh-CN"/>
      </w:rPr>
      <w:t>安康市中心血站献血服务食品采购项目</w:t>
    </w:r>
    <w:r>
      <w:rPr>
        <w:rFonts w:hint="eastAsia" w:ascii="宋体" w:hAnsi="宋体" w:eastAsia="宋体" w:cs="宋体"/>
        <w:sz w:val="20"/>
        <w:highlight w:val="none"/>
      </w:rPr>
      <w:t xml:space="preserve"> </w:t>
    </w:r>
    <w:r>
      <w:rPr>
        <w:rFonts w:hint="eastAsia" w:ascii="宋体" w:hAnsi="宋体" w:eastAsia="宋体" w:cs="宋体"/>
        <w:sz w:val="20"/>
        <w:highlight w:val="none"/>
        <w:lang w:val="en-US" w:eastAsia="zh-CN"/>
      </w:rPr>
      <w:t xml:space="preserve">                   项目编号：AKSH2026--ZTP-099</w:t>
    </w:r>
    <w:r>
      <w:rPr>
        <w:rFonts w:hint="eastAsia" w:ascii="宋体" w:hAnsi="宋体" w:eastAsia="宋体" w:cs="宋体"/>
        <w:kern w:val="0"/>
        <w:sz w:val="18"/>
        <w:szCs w:val="18"/>
        <w:lang w:val="en-US" w:eastAsia="zh-CN" w:bidi="ar-S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52898"/>
    <w:multiLevelType w:val="singleLevel"/>
    <w:tmpl w:val="8B652898"/>
    <w:lvl w:ilvl="0" w:tentative="0">
      <w:start w:val="3"/>
      <w:numFmt w:val="chineseCounting"/>
      <w:suff w:val="space"/>
      <w:lvlText w:val="第%1章"/>
      <w:lvlJc w:val="left"/>
      <w:rPr>
        <w:rFonts w:hint="eastAsia"/>
      </w:rPr>
    </w:lvl>
  </w:abstractNum>
  <w:abstractNum w:abstractNumId="1">
    <w:nsid w:val="F593EF01"/>
    <w:multiLevelType w:val="singleLevel"/>
    <w:tmpl w:val="F593EF01"/>
    <w:lvl w:ilvl="0" w:tentative="0">
      <w:start w:val="1"/>
      <w:numFmt w:val="decimal"/>
      <w:lvlText w:val="%1"/>
      <w:lvlJc w:val="left"/>
      <w:pPr>
        <w:tabs>
          <w:tab w:val="left" w:pos="420"/>
        </w:tabs>
        <w:ind w:left="705" w:leftChars="0" w:hanging="425" w:firstLineChars="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熊律师">
    <w15:presenceInfo w15:providerId="None" w15:userId="熊律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TrueTypeFonts/>
  <w:saveSubsetFonts/>
  <w:bordersDoNotSurroundHeader w:val="0"/>
  <w:bordersDoNotSurroundFooter w:val="0"/>
  <w:attachedTemplate r:id="rId1"/>
  <w:revisionView w:markup="0"/>
  <w:documentProtection w:enforcement="0"/>
  <w:defaultTabStop w:val="420"/>
  <w:drawingGridHorizontalSpacing w:val="280"/>
  <w:drawingGridVerticalSpacing w:val="198"/>
  <w:displayHorizontalDrawingGridEvery w:val="1"/>
  <w:displayVerticalDrawingGridEvery w:val="1"/>
  <w:noPunctuationKerning w:val="1"/>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lNTZjYmI2ODUwNjVhNGQ4ODA1YTg3ZjkyN2NjMzYifQ=="/>
  </w:docVars>
  <w:rsids>
    <w:rsidRoot w:val="00276103"/>
    <w:rsid w:val="00011D14"/>
    <w:rsid w:val="000121E1"/>
    <w:rsid w:val="00024F44"/>
    <w:rsid w:val="00026194"/>
    <w:rsid w:val="0004092A"/>
    <w:rsid w:val="000409AC"/>
    <w:rsid w:val="00054856"/>
    <w:rsid w:val="0006111D"/>
    <w:rsid w:val="00067801"/>
    <w:rsid w:val="00071ED2"/>
    <w:rsid w:val="000916FF"/>
    <w:rsid w:val="00092C81"/>
    <w:rsid w:val="00095EC0"/>
    <w:rsid w:val="000D2F9C"/>
    <w:rsid w:val="000D4451"/>
    <w:rsid w:val="000D4B24"/>
    <w:rsid w:val="000D5996"/>
    <w:rsid w:val="000E15F1"/>
    <w:rsid w:val="000E78A9"/>
    <w:rsid w:val="000F0906"/>
    <w:rsid w:val="00107F04"/>
    <w:rsid w:val="00132AB2"/>
    <w:rsid w:val="001345C5"/>
    <w:rsid w:val="00142225"/>
    <w:rsid w:val="00146383"/>
    <w:rsid w:val="00147C6C"/>
    <w:rsid w:val="001501D1"/>
    <w:rsid w:val="0015205E"/>
    <w:rsid w:val="0015716C"/>
    <w:rsid w:val="001708A1"/>
    <w:rsid w:val="001711CA"/>
    <w:rsid w:val="00182814"/>
    <w:rsid w:val="001918B0"/>
    <w:rsid w:val="0019420E"/>
    <w:rsid w:val="001B3EC3"/>
    <w:rsid w:val="001B75D7"/>
    <w:rsid w:val="001D693E"/>
    <w:rsid w:val="001D6D28"/>
    <w:rsid w:val="001F392F"/>
    <w:rsid w:val="001F4E02"/>
    <w:rsid w:val="001F4FFA"/>
    <w:rsid w:val="00207041"/>
    <w:rsid w:val="00217AE5"/>
    <w:rsid w:val="00217B13"/>
    <w:rsid w:val="00243136"/>
    <w:rsid w:val="002524D9"/>
    <w:rsid w:val="002563A8"/>
    <w:rsid w:val="00262942"/>
    <w:rsid w:val="00272450"/>
    <w:rsid w:val="00276103"/>
    <w:rsid w:val="00284337"/>
    <w:rsid w:val="00294DAB"/>
    <w:rsid w:val="002A3903"/>
    <w:rsid w:val="002A3BF9"/>
    <w:rsid w:val="002A3D81"/>
    <w:rsid w:val="002B192D"/>
    <w:rsid w:val="002B308B"/>
    <w:rsid w:val="002B691E"/>
    <w:rsid w:val="002D0507"/>
    <w:rsid w:val="002D2C90"/>
    <w:rsid w:val="002F009F"/>
    <w:rsid w:val="002F1A74"/>
    <w:rsid w:val="002F682C"/>
    <w:rsid w:val="00305EB5"/>
    <w:rsid w:val="003072E5"/>
    <w:rsid w:val="0031118E"/>
    <w:rsid w:val="0031248D"/>
    <w:rsid w:val="003134A9"/>
    <w:rsid w:val="0032276E"/>
    <w:rsid w:val="00335F17"/>
    <w:rsid w:val="00336EFA"/>
    <w:rsid w:val="00351234"/>
    <w:rsid w:val="003577A2"/>
    <w:rsid w:val="00363A95"/>
    <w:rsid w:val="0037576D"/>
    <w:rsid w:val="0038258B"/>
    <w:rsid w:val="00394B45"/>
    <w:rsid w:val="003A08B0"/>
    <w:rsid w:val="003B1610"/>
    <w:rsid w:val="003B5D98"/>
    <w:rsid w:val="003C28DE"/>
    <w:rsid w:val="003C498B"/>
    <w:rsid w:val="003C603A"/>
    <w:rsid w:val="003F108F"/>
    <w:rsid w:val="003F1E12"/>
    <w:rsid w:val="00410CA8"/>
    <w:rsid w:val="00411927"/>
    <w:rsid w:val="004136CD"/>
    <w:rsid w:val="004215EB"/>
    <w:rsid w:val="0042558D"/>
    <w:rsid w:val="00426F03"/>
    <w:rsid w:val="004305F5"/>
    <w:rsid w:val="0043141B"/>
    <w:rsid w:val="004372CF"/>
    <w:rsid w:val="00440E26"/>
    <w:rsid w:val="00457AA3"/>
    <w:rsid w:val="0048210A"/>
    <w:rsid w:val="00496201"/>
    <w:rsid w:val="00496FF3"/>
    <w:rsid w:val="004A3DAE"/>
    <w:rsid w:val="004A4865"/>
    <w:rsid w:val="004B1790"/>
    <w:rsid w:val="004C1B3A"/>
    <w:rsid w:val="004C1D4F"/>
    <w:rsid w:val="004D37C1"/>
    <w:rsid w:val="004D523A"/>
    <w:rsid w:val="004D776C"/>
    <w:rsid w:val="004D7C0E"/>
    <w:rsid w:val="004F51DC"/>
    <w:rsid w:val="00500643"/>
    <w:rsid w:val="00504DA1"/>
    <w:rsid w:val="00506C22"/>
    <w:rsid w:val="0051523B"/>
    <w:rsid w:val="00522CEE"/>
    <w:rsid w:val="005310C9"/>
    <w:rsid w:val="00551934"/>
    <w:rsid w:val="00553C02"/>
    <w:rsid w:val="005611BF"/>
    <w:rsid w:val="00562877"/>
    <w:rsid w:val="0056693B"/>
    <w:rsid w:val="005747AA"/>
    <w:rsid w:val="00580202"/>
    <w:rsid w:val="005900DC"/>
    <w:rsid w:val="005B1048"/>
    <w:rsid w:val="005B1912"/>
    <w:rsid w:val="005C71E8"/>
    <w:rsid w:val="005E1C76"/>
    <w:rsid w:val="005E798C"/>
    <w:rsid w:val="005F42BB"/>
    <w:rsid w:val="006024D7"/>
    <w:rsid w:val="0060694E"/>
    <w:rsid w:val="00607C5F"/>
    <w:rsid w:val="00631550"/>
    <w:rsid w:val="006423BA"/>
    <w:rsid w:val="00655236"/>
    <w:rsid w:val="00655823"/>
    <w:rsid w:val="00661709"/>
    <w:rsid w:val="00661EDA"/>
    <w:rsid w:val="00667A44"/>
    <w:rsid w:val="00677E82"/>
    <w:rsid w:val="00680269"/>
    <w:rsid w:val="006818EC"/>
    <w:rsid w:val="00681B42"/>
    <w:rsid w:val="006847DD"/>
    <w:rsid w:val="006847DE"/>
    <w:rsid w:val="006939BC"/>
    <w:rsid w:val="006A696C"/>
    <w:rsid w:val="006B341A"/>
    <w:rsid w:val="006C26A1"/>
    <w:rsid w:val="006C6C7A"/>
    <w:rsid w:val="006E67F7"/>
    <w:rsid w:val="006F14EC"/>
    <w:rsid w:val="006F6E80"/>
    <w:rsid w:val="00705186"/>
    <w:rsid w:val="007066CC"/>
    <w:rsid w:val="00721C78"/>
    <w:rsid w:val="0072200B"/>
    <w:rsid w:val="007336C4"/>
    <w:rsid w:val="00735397"/>
    <w:rsid w:val="00747FEF"/>
    <w:rsid w:val="0076563E"/>
    <w:rsid w:val="00766127"/>
    <w:rsid w:val="00766D27"/>
    <w:rsid w:val="0077095E"/>
    <w:rsid w:val="00771CFD"/>
    <w:rsid w:val="00781C94"/>
    <w:rsid w:val="00796285"/>
    <w:rsid w:val="00797072"/>
    <w:rsid w:val="007A6CEE"/>
    <w:rsid w:val="007B1F33"/>
    <w:rsid w:val="007C1AB6"/>
    <w:rsid w:val="007D455F"/>
    <w:rsid w:val="007E29E9"/>
    <w:rsid w:val="007E2A47"/>
    <w:rsid w:val="00800C8F"/>
    <w:rsid w:val="00801342"/>
    <w:rsid w:val="0080401E"/>
    <w:rsid w:val="00805ED3"/>
    <w:rsid w:val="008142E9"/>
    <w:rsid w:val="008207AB"/>
    <w:rsid w:val="00825D97"/>
    <w:rsid w:val="0083077C"/>
    <w:rsid w:val="008413BE"/>
    <w:rsid w:val="0084291C"/>
    <w:rsid w:val="00844A7A"/>
    <w:rsid w:val="00847343"/>
    <w:rsid w:val="00851842"/>
    <w:rsid w:val="008523E5"/>
    <w:rsid w:val="00852685"/>
    <w:rsid w:val="0086232F"/>
    <w:rsid w:val="008677C8"/>
    <w:rsid w:val="0088251D"/>
    <w:rsid w:val="00882CA4"/>
    <w:rsid w:val="00884DF7"/>
    <w:rsid w:val="00892A74"/>
    <w:rsid w:val="0089649D"/>
    <w:rsid w:val="008977E6"/>
    <w:rsid w:val="008A0A6F"/>
    <w:rsid w:val="008A0ABB"/>
    <w:rsid w:val="008A164E"/>
    <w:rsid w:val="008A387E"/>
    <w:rsid w:val="008B3F6A"/>
    <w:rsid w:val="008C3523"/>
    <w:rsid w:val="008D04E2"/>
    <w:rsid w:val="008D0F23"/>
    <w:rsid w:val="008E7F0F"/>
    <w:rsid w:val="008F666C"/>
    <w:rsid w:val="00907DA1"/>
    <w:rsid w:val="00930935"/>
    <w:rsid w:val="009601E0"/>
    <w:rsid w:val="00963F71"/>
    <w:rsid w:val="0098787B"/>
    <w:rsid w:val="00992BD2"/>
    <w:rsid w:val="009A071D"/>
    <w:rsid w:val="009B4D82"/>
    <w:rsid w:val="009B6AA6"/>
    <w:rsid w:val="009C4E3B"/>
    <w:rsid w:val="009D0AA6"/>
    <w:rsid w:val="009F417D"/>
    <w:rsid w:val="009F7629"/>
    <w:rsid w:val="009F777C"/>
    <w:rsid w:val="00A023CC"/>
    <w:rsid w:val="00A235FA"/>
    <w:rsid w:val="00A2726C"/>
    <w:rsid w:val="00A3238E"/>
    <w:rsid w:val="00A35539"/>
    <w:rsid w:val="00A42D07"/>
    <w:rsid w:val="00A477A1"/>
    <w:rsid w:val="00A51B91"/>
    <w:rsid w:val="00A54FFB"/>
    <w:rsid w:val="00A5616F"/>
    <w:rsid w:val="00A60100"/>
    <w:rsid w:val="00A63A67"/>
    <w:rsid w:val="00A66D71"/>
    <w:rsid w:val="00A73565"/>
    <w:rsid w:val="00A77138"/>
    <w:rsid w:val="00A7771E"/>
    <w:rsid w:val="00A9079F"/>
    <w:rsid w:val="00A958FB"/>
    <w:rsid w:val="00AB7A64"/>
    <w:rsid w:val="00AC3A07"/>
    <w:rsid w:val="00AF0523"/>
    <w:rsid w:val="00B064D8"/>
    <w:rsid w:val="00B24A7A"/>
    <w:rsid w:val="00B25C41"/>
    <w:rsid w:val="00B32B44"/>
    <w:rsid w:val="00B34C54"/>
    <w:rsid w:val="00B35B3D"/>
    <w:rsid w:val="00B50AA4"/>
    <w:rsid w:val="00B6554A"/>
    <w:rsid w:val="00B765C2"/>
    <w:rsid w:val="00B83BB4"/>
    <w:rsid w:val="00B94751"/>
    <w:rsid w:val="00BA270E"/>
    <w:rsid w:val="00BA3A5F"/>
    <w:rsid w:val="00BB1A34"/>
    <w:rsid w:val="00BB238C"/>
    <w:rsid w:val="00BB679E"/>
    <w:rsid w:val="00BC1FDF"/>
    <w:rsid w:val="00BC3F03"/>
    <w:rsid w:val="00BC5201"/>
    <w:rsid w:val="00BD1748"/>
    <w:rsid w:val="00BD7B0F"/>
    <w:rsid w:val="00BF1583"/>
    <w:rsid w:val="00BF706B"/>
    <w:rsid w:val="00C02F92"/>
    <w:rsid w:val="00C12EAD"/>
    <w:rsid w:val="00C1462B"/>
    <w:rsid w:val="00C2267F"/>
    <w:rsid w:val="00C30E88"/>
    <w:rsid w:val="00C36B5B"/>
    <w:rsid w:val="00C55543"/>
    <w:rsid w:val="00C560DA"/>
    <w:rsid w:val="00C609BA"/>
    <w:rsid w:val="00C620AF"/>
    <w:rsid w:val="00C80D51"/>
    <w:rsid w:val="00C8309E"/>
    <w:rsid w:val="00C92E4A"/>
    <w:rsid w:val="00C96829"/>
    <w:rsid w:val="00CA0F67"/>
    <w:rsid w:val="00CA4E56"/>
    <w:rsid w:val="00CB2AEA"/>
    <w:rsid w:val="00CB3B3C"/>
    <w:rsid w:val="00CB7D83"/>
    <w:rsid w:val="00CC5D30"/>
    <w:rsid w:val="00CC67C4"/>
    <w:rsid w:val="00CD6381"/>
    <w:rsid w:val="00CD79DA"/>
    <w:rsid w:val="00CE3718"/>
    <w:rsid w:val="00CF0627"/>
    <w:rsid w:val="00CF17F7"/>
    <w:rsid w:val="00CF2461"/>
    <w:rsid w:val="00D039CE"/>
    <w:rsid w:val="00D06F62"/>
    <w:rsid w:val="00D2513E"/>
    <w:rsid w:val="00D30EE6"/>
    <w:rsid w:val="00D316DE"/>
    <w:rsid w:val="00D36315"/>
    <w:rsid w:val="00D40301"/>
    <w:rsid w:val="00D4408E"/>
    <w:rsid w:val="00D610CA"/>
    <w:rsid w:val="00D67385"/>
    <w:rsid w:val="00D81543"/>
    <w:rsid w:val="00D817A0"/>
    <w:rsid w:val="00D96176"/>
    <w:rsid w:val="00DA3BD6"/>
    <w:rsid w:val="00DA4EE4"/>
    <w:rsid w:val="00DA5A45"/>
    <w:rsid w:val="00DB2D27"/>
    <w:rsid w:val="00DC1447"/>
    <w:rsid w:val="00DC1BCD"/>
    <w:rsid w:val="00DC5E60"/>
    <w:rsid w:val="00DD3389"/>
    <w:rsid w:val="00DE4D3D"/>
    <w:rsid w:val="00DE5360"/>
    <w:rsid w:val="00DE7B6E"/>
    <w:rsid w:val="00DF22C1"/>
    <w:rsid w:val="00DF416F"/>
    <w:rsid w:val="00E03517"/>
    <w:rsid w:val="00E13977"/>
    <w:rsid w:val="00E17593"/>
    <w:rsid w:val="00E20FD2"/>
    <w:rsid w:val="00E34F2C"/>
    <w:rsid w:val="00E42B0C"/>
    <w:rsid w:val="00E46A27"/>
    <w:rsid w:val="00E74F56"/>
    <w:rsid w:val="00E816A0"/>
    <w:rsid w:val="00E8284E"/>
    <w:rsid w:val="00E92007"/>
    <w:rsid w:val="00E9609B"/>
    <w:rsid w:val="00EB48B6"/>
    <w:rsid w:val="00EC0951"/>
    <w:rsid w:val="00EC54AB"/>
    <w:rsid w:val="00ED0360"/>
    <w:rsid w:val="00ED760D"/>
    <w:rsid w:val="00EE5535"/>
    <w:rsid w:val="00EF1EE2"/>
    <w:rsid w:val="00EF24F7"/>
    <w:rsid w:val="00EF2D7A"/>
    <w:rsid w:val="00F2205A"/>
    <w:rsid w:val="00F2647F"/>
    <w:rsid w:val="00F3460A"/>
    <w:rsid w:val="00F513CD"/>
    <w:rsid w:val="00F6354A"/>
    <w:rsid w:val="00F64F3D"/>
    <w:rsid w:val="00F707BF"/>
    <w:rsid w:val="00F94172"/>
    <w:rsid w:val="00FC5A27"/>
    <w:rsid w:val="00FC66A9"/>
    <w:rsid w:val="00FE7899"/>
    <w:rsid w:val="01115B19"/>
    <w:rsid w:val="01130B24"/>
    <w:rsid w:val="01161381"/>
    <w:rsid w:val="01341807"/>
    <w:rsid w:val="01434415"/>
    <w:rsid w:val="01492722"/>
    <w:rsid w:val="014A4B87"/>
    <w:rsid w:val="01514167"/>
    <w:rsid w:val="016245C6"/>
    <w:rsid w:val="01652269"/>
    <w:rsid w:val="016F10DA"/>
    <w:rsid w:val="01714809"/>
    <w:rsid w:val="01A544B3"/>
    <w:rsid w:val="01A56261"/>
    <w:rsid w:val="01B43F2C"/>
    <w:rsid w:val="01C97501"/>
    <w:rsid w:val="01F1594A"/>
    <w:rsid w:val="01F40F97"/>
    <w:rsid w:val="01F42D45"/>
    <w:rsid w:val="01FD765E"/>
    <w:rsid w:val="020C6E0B"/>
    <w:rsid w:val="02160F0D"/>
    <w:rsid w:val="02251150"/>
    <w:rsid w:val="022C24DE"/>
    <w:rsid w:val="02405F8A"/>
    <w:rsid w:val="024617F2"/>
    <w:rsid w:val="02781260"/>
    <w:rsid w:val="02997909"/>
    <w:rsid w:val="02D432A2"/>
    <w:rsid w:val="02DC3F04"/>
    <w:rsid w:val="02E4100B"/>
    <w:rsid w:val="031F3DF1"/>
    <w:rsid w:val="03287B1A"/>
    <w:rsid w:val="034A3564"/>
    <w:rsid w:val="0355064A"/>
    <w:rsid w:val="03824AAC"/>
    <w:rsid w:val="038A7E04"/>
    <w:rsid w:val="03974F7D"/>
    <w:rsid w:val="03A60AD2"/>
    <w:rsid w:val="03AA4003"/>
    <w:rsid w:val="03B66504"/>
    <w:rsid w:val="03B86720"/>
    <w:rsid w:val="03B94246"/>
    <w:rsid w:val="03DD1CE2"/>
    <w:rsid w:val="03E83E04"/>
    <w:rsid w:val="03FF5FEC"/>
    <w:rsid w:val="040E27E3"/>
    <w:rsid w:val="040E4592"/>
    <w:rsid w:val="0420376D"/>
    <w:rsid w:val="042042C5"/>
    <w:rsid w:val="04223B99"/>
    <w:rsid w:val="042C1685"/>
    <w:rsid w:val="0433224A"/>
    <w:rsid w:val="04471852"/>
    <w:rsid w:val="045126D0"/>
    <w:rsid w:val="047D5273"/>
    <w:rsid w:val="04A23C2F"/>
    <w:rsid w:val="04A24CDA"/>
    <w:rsid w:val="04C035DB"/>
    <w:rsid w:val="04C609C8"/>
    <w:rsid w:val="04E2157A"/>
    <w:rsid w:val="04E667F5"/>
    <w:rsid w:val="04F33787"/>
    <w:rsid w:val="04FE63B4"/>
    <w:rsid w:val="05025778"/>
    <w:rsid w:val="050634BB"/>
    <w:rsid w:val="05157BA2"/>
    <w:rsid w:val="05173E06"/>
    <w:rsid w:val="053A4875"/>
    <w:rsid w:val="05656433"/>
    <w:rsid w:val="05D37841"/>
    <w:rsid w:val="05E57574"/>
    <w:rsid w:val="061826E9"/>
    <w:rsid w:val="062F259D"/>
    <w:rsid w:val="064A68B9"/>
    <w:rsid w:val="065E2E82"/>
    <w:rsid w:val="067D155B"/>
    <w:rsid w:val="06A27213"/>
    <w:rsid w:val="06A97A77"/>
    <w:rsid w:val="06AE3E0A"/>
    <w:rsid w:val="06BD6762"/>
    <w:rsid w:val="06C74ECC"/>
    <w:rsid w:val="06CE669C"/>
    <w:rsid w:val="072A733E"/>
    <w:rsid w:val="072B0FB7"/>
    <w:rsid w:val="07683FB9"/>
    <w:rsid w:val="076F5347"/>
    <w:rsid w:val="07B57391"/>
    <w:rsid w:val="07D57174"/>
    <w:rsid w:val="08283748"/>
    <w:rsid w:val="08332819"/>
    <w:rsid w:val="087F780C"/>
    <w:rsid w:val="088A61B1"/>
    <w:rsid w:val="08A454C4"/>
    <w:rsid w:val="08B374B6"/>
    <w:rsid w:val="08CE0713"/>
    <w:rsid w:val="08CE0793"/>
    <w:rsid w:val="08EE6740"/>
    <w:rsid w:val="08F76E43"/>
    <w:rsid w:val="090C6E83"/>
    <w:rsid w:val="091268D2"/>
    <w:rsid w:val="094748D9"/>
    <w:rsid w:val="095B5E66"/>
    <w:rsid w:val="09612535"/>
    <w:rsid w:val="09616F12"/>
    <w:rsid w:val="09842C00"/>
    <w:rsid w:val="098E3A7F"/>
    <w:rsid w:val="099E7FC1"/>
    <w:rsid w:val="09BF1E8A"/>
    <w:rsid w:val="09C13E54"/>
    <w:rsid w:val="0A1D552E"/>
    <w:rsid w:val="0A2C39C3"/>
    <w:rsid w:val="0A4800A6"/>
    <w:rsid w:val="0A4B01E4"/>
    <w:rsid w:val="0AAA0BDE"/>
    <w:rsid w:val="0AAC0660"/>
    <w:rsid w:val="0AB9178B"/>
    <w:rsid w:val="0AC51722"/>
    <w:rsid w:val="0AD247D5"/>
    <w:rsid w:val="0AEA2F37"/>
    <w:rsid w:val="0AF04677"/>
    <w:rsid w:val="0B0B182B"/>
    <w:rsid w:val="0B250BAE"/>
    <w:rsid w:val="0B304DED"/>
    <w:rsid w:val="0B41524D"/>
    <w:rsid w:val="0B436951"/>
    <w:rsid w:val="0B536D2E"/>
    <w:rsid w:val="0B756CA4"/>
    <w:rsid w:val="0B9536DF"/>
    <w:rsid w:val="0B9A495D"/>
    <w:rsid w:val="0BE04A65"/>
    <w:rsid w:val="0BF95B27"/>
    <w:rsid w:val="0C0727E4"/>
    <w:rsid w:val="0C0B13B7"/>
    <w:rsid w:val="0C0C497A"/>
    <w:rsid w:val="0C0F534B"/>
    <w:rsid w:val="0C2A3F33"/>
    <w:rsid w:val="0C3F7BB0"/>
    <w:rsid w:val="0C4072B2"/>
    <w:rsid w:val="0C564D28"/>
    <w:rsid w:val="0C7B022C"/>
    <w:rsid w:val="0C7E7DDA"/>
    <w:rsid w:val="0C9544DF"/>
    <w:rsid w:val="0C9E3391"/>
    <w:rsid w:val="0CAD7E82"/>
    <w:rsid w:val="0CDD71F7"/>
    <w:rsid w:val="0D505C1B"/>
    <w:rsid w:val="0D6E4423"/>
    <w:rsid w:val="0D731FE0"/>
    <w:rsid w:val="0D8E404C"/>
    <w:rsid w:val="0D984AC2"/>
    <w:rsid w:val="0DB31D06"/>
    <w:rsid w:val="0DB53CD0"/>
    <w:rsid w:val="0DDF2AFB"/>
    <w:rsid w:val="0DE35517"/>
    <w:rsid w:val="0E1E1875"/>
    <w:rsid w:val="0E236E8B"/>
    <w:rsid w:val="0E4B5A97"/>
    <w:rsid w:val="0E4D5CB6"/>
    <w:rsid w:val="0EAA3109"/>
    <w:rsid w:val="0EB6385C"/>
    <w:rsid w:val="0EC248F6"/>
    <w:rsid w:val="0EC96770"/>
    <w:rsid w:val="0ED71A24"/>
    <w:rsid w:val="0F184516"/>
    <w:rsid w:val="0F197CD5"/>
    <w:rsid w:val="0F1B4006"/>
    <w:rsid w:val="0F402B37"/>
    <w:rsid w:val="0F4F4271"/>
    <w:rsid w:val="0F4F4C55"/>
    <w:rsid w:val="0F667ABC"/>
    <w:rsid w:val="0F9F2542"/>
    <w:rsid w:val="0FAD1102"/>
    <w:rsid w:val="0FFA1E6E"/>
    <w:rsid w:val="10014FAA"/>
    <w:rsid w:val="101953C6"/>
    <w:rsid w:val="102B2B3E"/>
    <w:rsid w:val="10370F89"/>
    <w:rsid w:val="103A226A"/>
    <w:rsid w:val="103B0B91"/>
    <w:rsid w:val="10455B65"/>
    <w:rsid w:val="10555FA2"/>
    <w:rsid w:val="10710382"/>
    <w:rsid w:val="10750EDD"/>
    <w:rsid w:val="109E4EEF"/>
    <w:rsid w:val="1114617F"/>
    <w:rsid w:val="11146F5F"/>
    <w:rsid w:val="11194576"/>
    <w:rsid w:val="11494D1C"/>
    <w:rsid w:val="1158509E"/>
    <w:rsid w:val="115F5735"/>
    <w:rsid w:val="11603F53"/>
    <w:rsid w:val="11B85B3D"/>
    <w:rsid w:val="11BA7B07"/>
    <w:rsid w:val="11D53BCF"/>
    <w:rsid w:val="11DF4667"/>
    <w:rsid w:val="11EE6E2B"/>
    <w:rsid w:val="11F95F0B"/>
    <w:rsid w:val="12266FB2"/>
    <w:rsid w:val="1232427A"/>
    <w:rsid w:val="124D4697"/>
    <w:rsid w:val="124E070C"/>
    <w:rsid w:val="126D2DCB"/>
    <w:rsid w:val="128B4FFF"/>
    <w:rsid w:val="12B74046"/>
    <w:rsid w:val="12D746E8"/>
    <w:rsid w:val="12E362B6"/>
    <w:rsid w:val="12EA3E8A"/>
    <w:rsid w:val="12EC1F42"/>
    <w:rsid w:val="131461DE"/>
    <w:rsid w:val="131E5E73"/>
    <w:rsid w:val="133E02C4"/>
    <w:rsid w:val="135A334F"/>
    <w:rsid w:val="1360023A"/>
    <w:rsid w:val="137141F5"/>
    <w:rsid w:val="13777B70"/>
    <w:rsid w:val="13826402"/>
    <w:rsid w:val="13850235"/>
    <w:rsid w:val="13954387"/>
    <w:rsid w:val="13955112"/>
    <w:rsid w:val="139E0D62"/>
    <w:rsid w:val="139F6FB4"/>
    <w:rsid w:val="13A7230D"/>
    <w:rsid w:val="13A91BE1"/>
    <w:rsid w:val="13B660AC"/>
    <w:rsid w:val="13BD743A"/>
    <w:rsid w:val="13CE1647"/>
    <w:rsid w:val="13F05A62"/>
    <w:rsid w:val="13FB578B"/>
    <w:rsid w:val="13FC61B5"/>
    <w:rsid w:val="145B16CE"/>
    <w:rsid w:val="145D29CB"/>
    <w:rsid w:val="14807878"/>
    <w:rsid w:val="14866E4C"/>
    <w:rsid w:val="14922122"/>
    <w:rsid w:val="14A23938"/>
    <w:rsid w:val="14AD3953"/>
    <w:rsid w:val="14BA1BCC"/>
    <w:rsid w:val="14C01613"/>
    <w:rsid w:val="14D233B9"/>
    <w:rsid w:val="14D25167"/>
    <w:rsid w:val="14E32ED1"/>
    <w:rsid w:val="150D619F"/>
    <w:rsid w:val="15237771"/>
    <w:rsid w:val="152C05C1"/>
    <w:rsid w:val="15565D98"/>
    <w:rsid w:val="15673B02"/>
    <w:rsid w:val="156A53A0"/>
    <w:rsid w:val="15851891"/>
    <w:rsid w:val="158F3058"/>
    <w:rsid w:val="15910B7E"/>
    <w:rsid w:val="15966195"/>
    <w:rsid w:val="15BF393E"/>
    <w:rsid w:val="15C25DBE"/>
    <w:rsid w:val="15CF708F"/>
    <w:rsid w:val="15DD3DC4"/>
    <w:rsid w:val="160C7053"/>
    <w:rsid w:val="16115BE7"/>
    <w:rsid w:val="16192FF0"/>
    <w:rsid w:val="163C0257"/>
    <w:rsid w:val="16471AAC"/>
    <w:rsid w:val="1695469E"/>
    <w:rsid w:val="169C5A2D"/>
    <w:rsid w:val="16A668AC"/>
    <w:rsid w:val="16CA07EC"/>
    <w:rsid w:val="16ED0036"/>
    <w:rsid w:val="16FC471D"/>
    <w:rsid w:val="170A6E3A"/>
    <w:rsid w:val="17487963"/>
    <w:rsid w:val="17632DA5"/>
    <w:rsid w:val="1767603B"/>
    <w:rsid w:val="17716EB9"/>
    <w:rsid w:val="17771379"/>
    <w:rsid w:val="17843613"/>
    <w:rsid w:val="17A400E4"/>
    <w:rsid w:val="17B1375A"/>
    <w:rsid w:val="17BD5C5B"/>
    <w:rsid w:val="17E40441"/>
    <w:rsid w:val="18493992"/>
    <w:rsid w:val="18510A99"/>
    <w:rsid w:val="186E164B"/>
    <w:rsid w:val="18707171"/>
    <w:rsid w:val="18AE1A47"/>
    <w:rsid w:val="18C96881"/>
    <w:rsid w:val="18CD0120"/>
    <w:rsid w:val="18FE652B"/>
    <w:rsid w:val="19450347"/>
    <w:rsid w:val="194859F8"/>
    <w:rsid w:val="194D74B2"/>
    <w:rsid w:val="19BF59EA"/>
    <w:rsid w:val="19D01228"/>
    <w:rsid w:val="1A0C74B6"/>
    <w:rsid w:val="1A4C1518"/>
    <w:rsid w:val="1A5E5267"/>
    <w:rsid w:val="1A750269"/>
    <w:rsid w:val="1A7B310B"/>
    <w:rsid w:val="1A8A072D"/>
    <w:rsid w:val="1AEE25CF"/>
    <w:rsid w:val="1AF71484"/>
    <w:rsid w:val="1B063DBD"/>
    <w:rsid w:val="1B102545"/>
    <w:rsid w:val="1B155DAE"/>
    <w:rsid w:val="1B34092A"/>
    <w:rsid w:val="1B3577D4"/>
    <w:rsid w:val="1B426428"/>
    <w:rsid w:val="1B4F12C0"/>
    <w:rsid w:val="1B8F5B60"/>
    <w:rsid w:val="1BA07D6D"/>
    <w:rsid w:val="1BB456F0"/>
    <w:rsid w:val="1BE20386"/>
    <w:rsid w:val="1BF63E31"/>
    <w:rsid w:val="1C06508B"/>
    <w:rsid w:val="1C25451A"/>
    <w:rsid w:val="1C2F56BD"/>
    <w:rsid w:val="1C3919B9"/>
    <w:rsid w:val="1C715135"/>
    <w:rsid w:val="1C962F1E"/>
    <w:rsid w:val="1CA05B4B"/>
    <w:rsid w:val="1CB6536F"/>
    <w:rsid w:val="1CBB2985"/>
    <w:rsid w:val="1CC3394E"/>
    <w:rsid w:val="1CC47F14"/>
    <w:rsid w:val="1CC950A2"/>
    <w:rsid w:val="1D0205B4"/>
    <w:rsid w:val="1D04257E"/>
    <w:rsid w:val="1D3C2E73"/>
    <w:rsid w:val="1D437B1F"/>
    <w:rsid w:val="1D4604A0"/>
    <w:rsid w:val="1D61352C"/>
    <w:rsid w:val="1D725739"/>
    <w:rsid w:val="1D8334A3"/>
    <w:rsid w:val="1D9873E4"/>
    <w:rsid w:val="1D9E10C3"/>
    <w:rsid w:val="1DB91A81"/>
    <w:rsid w:val="1DF60CD6"/>
    <w:rsid w:val="1E0B3B2A"/>
    <w:rsid w:val="1E122A78"/>
    <w:rsid w:val="1E192DA5"/>
    <w:rsid w:val="1E2F7187"/>
    <w:rsid w:val="1E470974"/>
    <w:rsid w:val="1E596826"/>
    <w:rsid w:val="1E7772C7"/>
    <w:rsid w:val="1EA638ED"/>
    <w:rsid w:val="1F0C13AB"/>
    <w:rsid w:val="1F0E5E95"/>
    <w:rsid w:val="1F3E147E"/>
    <w:rsid w:val="1F426BC1"/>
    <w:rsid w:val="1F59095F"/>
    <w:rsid w:val="1F5C044F"/>
    <w:rsid w:val="1FB74433"/>
    <w:rsid w:val="1FC54D53"/>
    <w:rsid w:val="1FFE32B4"/>
    <w:rsid w:val="200A7EAB"/>
    <w:rsid w:val="20307817"/>
    <w:rsid w:val="20322F5E"/>
    <w:rsid w:val="20457135"/>
    <w:rsid w:val="207E61A3"/>
    <w:rsid w:val="208F215E"/>
    <w:rsid w:val="2096173F"/>
    <w:rsid w:val="20D12BB7"/>
    <w:rsid w:val="20E74298"/>
    <w:rsid w:val="210743EB"/>
    <w:rsid w:val="212E3725"/>
    <w:rsid w:val="214473ED"/>
    <w:rsid w:val="215F5FD5"/>
    <w:rsid w:val="217557F8"/>
    <w:rsid w:val="217D44F9"/>
    <w:rsid w:val="219D08AB"/>
    <w:rsid w:val="21A97250"/>
    <w:rsid w:val="21C31C0C"/>
    <w:rsid w:val="21D53C6F"/>
    <w:rsid w:val="21EB0021"/>
    <w:rsid w:val="221843E8"/>
    <w:rsid w:val="22356D36"/>
    <w:rsid w:val="2268661C"/>
    <w:rsid w:val="228D26CE"/>
    <w:rsid w:val="228E4F6B"/>
    <w:rsid w:val="229121BE"/>
    <w:rsid w:val="22982E69"/>
    <w:rsid w:val="22A719E1"/>
    <w:rsid w:val="22D4654E"/>
    <w:rsid w:val="22DE117B"/>
    <w:rsid w:val="22E449E3"/>
    <w:rsid w:val="22F31AE6"/>
    <w:rsid w:val="231132FF"/>
    <w:rsid w:val="2322375E"/>
    <w:rsid w:val="23243032"/>
    <w:rsid w:val="2331574F"/>
    <w:rsid w:val="234B4A63"/>
    <w:rsid w:val="2378337E"/>
    <w:rsid w:val="237C4C1C"/>
    <w:rsid w:val="239A32F4"/>
    <w:rsid w:val="23B85879"/>
    <w:rsid w:val="23B91DFA"/>
    <w:rsid w:val="23BE3486"/>
    <w:rsid w:val="23D90A84"/>
    <w:rsid w:val="23ED7965"/>
    <w:rsid w:val="23F410FE"/>
    <w:rsid w:val="24062738"/>
    <w:rsid w:val="24101808"/>
    <w:rsid w:val="24165A03"/>
    <w:rsid w:val="24A00DDE"/>
    <w:rsid w:val="24A16E93"/>
    <w:rsid w:val="24B6415E"/>
    <w:rsid w:val="24C2196B"/>
    <w:rsid w:val="24CA7C09"/>
    <w:rsid w:val="24DE36B4"/>
    <w:rsid w:val="24E3532B"/>
    <w:rsid w:val="24EA3E07"/>
    <w:rsid w:val="25243F0A"/>
    <w:rsid w:val="254C2D14"/>
    <w:rsid w:val="255E0351"/>
    <w:rsid w:val="256E67E6"/>
    <w:rsid w:val="257C53A7"/>
    <w:rsid w:val="25C00FB4"/>
    <w:rsid w:val="25F92305"/>
    <w:rsid w:val="26135C57"/>
    <w:rsid w:val="26235823"/>
    <w:rsid w:val="26321F0A"/>
    <w:rsid w:val="263537A8"/>
    <w:rsid w:val="26566403"/>
    <w:rsid w:val="267F67D1"/>
    <w:rsid w:val="268406DB"/>
    <w:rsid w:val="26B80661"/>
    <w:rsid w:val="26BB5A5B"/>
    <w:rsid w:val="26DB434F"/>
    <w:rsid w:val="26E01F3E"/>
    <w:rsid w:val="26E256DE"/>
    <w:rsid w:val="26E66850"/>
    <w:rsid w:val="270D5C50"/>
    <w:rsid w:val="2725381D"/>
    <w:rsid w:val="2729330D"/>
    <w:rsid w:val="27534580"/>
    <w:rsid w:val="277976C4"/>
    <w:rsid w:val="278E28DE"/>
    <w:rsid w:val="2793584B"/>
    <w:rsid w:val="279D32FA"/>
    <w:rsid w:val="27C72271"/>
    <w:rsid w:val="27DD40F7"/>
    <w:rsid w:val="27FF5E1C"/>
    <w:rsid w:val="280B656E"/>
    <w:rsid w:val="28277120"/>
    <w:rsid w:val="282F6BB7"/>
    <w:rsid w:val="28341F69"/>
    <w:rsid w:val="283A6E54"/>
    <w:rsid w:val="28616AD6"/>
    <w:rsid w:val="286B34B1"/>
    <w:rsid w:val="28814A83"/>
    <w:rsid w:val="2890116A"/>
    <w:rsid w:val="28944E10"/>
    <w:rsid w:val="289E5635"/>
    <w:rsid w:val="28A30E9D"/>
    <w:rsid w:val="28AD37B2"/>
    <w:rsid w:val="28B138A4"/>
    <w:rsid w:val="28CA467C"/>
    <w:rsid w:val="28CB1353"/>
    <w:rsid w:val="28DC43AF"/>
    <w:rsid w:val="29140EF8"/>
    <w:rsid w:val="2916166F"/>
    <w:rsid w:val="2944442E"/>
    <w:rsid w:val="29444AB0"/>
    <w:rsid w:val="295D729E"/>
    <w:rsid w:val="29634188"/>
    <w:rsid w:val="29785E86"/>
    <w:rsid w:val="29B82726"/>
    <w:rsid w:val="29CA5F95"/>
    <w:rsid w:val="29E654E5"/>
    <w:rsid w:val="2A257690"/>
    <w:rsid w:val="2A2953D2"/>
    <w:rsid w:val="2A2C04E6"/>
    <w:rsid w:val="2A3049B2"/>
    <w:rsid w:val="2A4B359A"/>
    <w:rsid w:val="2A5F3326"/>
    <w:rsid w:val="2A622692"/>
    <w:rsid w:val="2A662182"/>
    <w:rsid w:val="2A7F4FF2"/>
    <w:rsid w:val="2AD27817"/>
    <w:rsid w:val="2AF552B4"/>
    <w:rsid w:val="2B0E36C7"/>
    <w:rsid w:val="2B1C1B5A"/>
    <w:rsid w:val="2B2F4C6A"/>
    <w:rsid w:val="2B367DA6"/>
    <w:rsid w:val="2B6F150A"/>
    <w:rsid w:val="2B89781E"/>
    <w:rsid w:val="2B990335"/>
    <w:rsid w:val="2BA066B9"/>
    <w:rsid w:val="2BAE32CF"/>
    <w:rsid w:val="2BC01D66"/>
    <w:rsid w:val="2BC86DB2"/>
    <w:rsid w:val="2BD40774"/>
    <w:rsid w:val="2BD575BF"/>
    <w:rsid w:val="2BDA2E28"/>
    <w:rsid w:val="2BDA4BD6"/>
    <w:rsid w:val="2BEE600C"/>
    <w:rsid w:val="2C195E22"/>
    <w:rsid w:val="2C3A068B"/>
    <w:rsid w:val="2C5030EA"/>
    <w:rsid w:val="2C5C1839"/>
    <w:rsid w:val="2C73502A"/>
    <w:rsid w:val="2C770676"/>
    <w:rsid w:val="2C7B7C21"/>
    <w:rsid w:val="2C7C04FF"/>
    <w:rsid w:val="2C7F577D"/>
    <w:rsid w:val="2C8608B9"/>
    <w:rsid w:val="2CA13945"/>
    <w:rsid w:val="2CC455FF"/>
    <w:rsid w:val="2CEF46B1"/>
    <w:rsid w:val="2CF04CDB"/>
    <w:rsid w:val="2CF31A01"/>
    <w:rsid w:val="2CF86E01"/>
    <w:rsid w:val="2D02012D"/>
    <w:rsid w:val="2D053ED4"/>
    <w:rsid w:val="2D214A86"/>
    <w:rsid w:val="2D2F2CFF"/>
    <w:rsid w:val="2D9B3372"/>
    <w:rsid w:val="2DBD47AF"/>
    <w:rsid w:val="2DBE4083"/>
    <w:rsid w:val="2DC25921"/>
    <w:rsid w:val="2DC45B3D"/>
    <w:rsid w:val="2DCA0C7A"/>
    <w:rsid w:val="2DD92C6B"/>
    <w:rsid w:val="2DF1175B"/>
    <w:rsid w:val="2DFE7669"/>
    <w:rsid w:val="2E05778F"/>
    <w:rsid w:val="2E0E500A"/>
    <w:rsid w:val="2E296A4A"/>
    <w:rsid w:val="2E2E745B"/>
    <w:rsid w:val="2E3305CD"/>
    <w:rsid w:val="2E422F06"/>
    <w:rsid w:val="2E4E18AB"/>
    <w:rsid w:val="2E976DAE"/>
    <w:rsid w:val="2EA25753"/>
    <w:rsid w:val="2EBC05C2"/>
    <w:rsid w:val="2EF37D5C"/>
    <w:rsid w:val="2F154177"/>
    <w:rsid w:val="2F4B7B98"/>
    <w:rsid w:val="2F6A6270"/>
    <w:rsid w:val="2F866FF8"/>
    <w:rsid w:val="2F950E14"/>
    <w:rsid w:val="2FBC4D4D"/>
    <w:rsid w:val="2FC16DE4"/>
    <w:rsid w:val="2FC71915"/>
    <w:rsid w:val="2FD8767E"/>
    <w:rsid w:val="2FDE12AC"/>
    <w:rsid w:val="300246FB"/>
    <w:rsid w:val="30077F63"/>
    <w:rsid w:val="300C303E"/>
    <w:rsid w:val="305E2A8B"/>
    <w:rsid w:val="30723EBB"/>
    <w:rsid w:val="309A0DD7"/>
    <w:rsid w:val="30A74658"/>
    <w:rsid w:val="30BA35CC"/>
    <w:rsid w:val="30C324A1"/>
    <w:rsid w:val="30C96FC7"/>
    <w:rsid w:val="30F01BDC"/>
    <w:rsid w:val="311C17EC"/>
    <w:rsid w:val="31296922"/>
    <w:rsid w:val="313F372D"/>
    <w:rsid w:val="31491397"/>
    <w:rsid w:val="314D409C"/>
    <w:rsid w:val="315C6AC7"/>
    <w:rsid w:val="3163741B"/>
    <w:rsid w:val="316D3DF6"/>
    <w:rsid w:val="3192385D"/>
    <w:rsid w:val="319A7284"/>
    <w:rsid w:val="31B53FDE"/>
    <w:rsid w:val="31BE7923"/>
    <w:rsid w:val="31E340B8"/>
    <w:rsid w:val="321A061F"/>
    <w:rsid w:val="321B5F48"/>
    <w:rsid w:val="32340DB8"/>
    <w:rsid w:val="324234D5"/>
    <w:rsid w:val="32601D82"/>
    <w:rsid w:val="32676A97"/>
    <w:rsid w:val="32974F27"/>
    <w:rsid w:val="329F26D5"/>
    <w:rsid w:val="32AA2E28"/>
    <w:rsid w:val="32F04CDF"/>
    <w:rsid w:val="330C0B92"/>
    <w:rsid w:val="33184235"/>
    <w:rsid w:val="33376E11"/>
    <w:rsid w:val="333809DF"/>
    <w:rsid w:val="333C43C8"/>
    <w:rsid w:val="334943EF"/>
    <w:rsid w:val="335334BF"/>
    <w:rsid w:val="338419AF"/>
    <w:rsid w:val="338D69D1"/>
    <w:rsid w:val="33AE5533"/>
    <w:rsid w:val="33BF137E"/>
    <w:rsid w:val="33C368F0"/>
    <w:rsid w:val="33C62F95"/>
    <w:rsid w:val="33FB1B8D"/>
    <w:rsid w:val="33FE78CF"/>
    <w:rsid w:val="340A6274"/>
    <w:rsid w:val="341744ED"/>
    <w:rsid w:val="342D5ABF"/>
    <w:rsid w:val="344C23E9"/>
    <w:rsid w:val="346A6D13"/>
    <w:rsid w:val="347B4A7C"/>
    <w:rsid w:val="34B01B96"/>
    <w:rsid w:val="34B47820"/>
    <w:rsid w:val="34B8182C"/>
    <w:rsid w:val="34CC2921"/>
    <w:rsid w:val="34E34E21"/>
    <w:rsid w:val="35213875"/>
    <w:rsid w:val="353B0B1D"/>
    <w:rsid w:val="35413979"/>
    <w:rsid w:val="3569521C"/>
    <w:rsid w:val="35944047"/>
    <w:rsid w:val="35A3428A"/>
    <w:rsid w:val="35C02138"/>
    <w:rsid w:val="35CD1665"/>
    <w:rsid w:val="35CD57AB"/>
    <w:rsid w:val="361707D4"/>
    <w:rsid w:val="361A45B2"/>
    <w:rsid w:val="362178A5"/>
    <w:rsid w:val="362A675A"/>
    <w:rsid w:val="36301896"/>
    <w:rsid w:val="36317AE8"/>
    <w:rsid w:val="36421777"/>
    <w:rsid w:val="364C66D0"/>
    <w:rsid w:val="36630C68"/>
    <w:rsid w:val="36776155"/>
    <w:rsid w:val="36B40CF8"/>
    <w:rsid w:val="36B43E37"/>
    <w:rsid w:val="36B97ADD"/>
    <w:rsid w:val="36BF3346"/>
    <w:rsid w:val="36DB66E6"/>
    <w:rsid w:val="36F40B16"/>
    <w:rsid w:val="36F6663C"/>
    <w:rsid w:val="37054AD1"/>
    <w:rsid w:val="3709636F"/>
    <w:rsid w:val="370A3EEB"/>
    <w:rsid w:val="3715740A"/>
    <w:rsid w:val="372616BB"/>
    <w:rsid w:val="372C4753"/>
    <w:rsid w:val="37357164"/>
    <w:rsid w:val="373E4630"/>
    <w:rsid w:val="37404D66"/>
    <w:rsid w:val="3757357E"/>
    <w:rsid w:val="37940DC6"/>
    <w:rsid w:val="37BF7375"/>
    <w:rsid w:val="37C41FF5"/>
    <w:rsid w:val="37C90A41"/>
    <w:rsid w:val="3833434D"/>
    <w:rsid w:val="385D20A6"/>
    <w:rsid w:val="38673C95"/>
    <w:rsid w:val="387E7977"/>
    <w:rsid w:val="38A01D63"/>
    <w:rsid w:val="38AD71CE"/>
    <w:rsid w:val="38B7004D"/>
    <w:rsid w:val="38D40A1E"/>
    <w:rsid w:val="38E76B84"/>
    <w:rsid w:val="38FE5C7B"/>
    <w:rsid w:val="39445D84"/>
    <w:rsid w:val="39567866"/>
    <w:rsid w:val="39697599"/>
    <w:rsid w:val="39837157"/>
    <w:rsid w:val="39842006"/>
    <w:rsid w:val="39873EC3"/>
    <w:rsid w:val="399834E3"/>
    <w:rsid w:val="3998512C"/>
    <w:rsid w:val="399860D0"/>
    <w:rsid w:val="39A71E6F"/>
    <w:rsid w:val="39FA6443"/>
    <w:rsid w:val="3A033549"/>
    <w:rsid w:val="3A085004"/>
    <w:rsid w:val="3A4B63D8"/>
    <w:rsid w:val="3A712BA9"/>
    <w:rsid w:val="3A8723CC"/>
    <w:rsid w:val="3A8D1B94"/>
    <w:rsid w:val="3A8F6B2B"/>
    <w:rsid w:val="3AB94550"/>
    <w:rsid w:val="3AC70A1B"/>
    <w:rsid w:val="3AEA295B"/>
    <w:rsid w:val="3B0D21A6"/>
    <w:rsid w:val="3B410AA9"/>
    <w:rsid w:val="3B512C45"/>
    <w:rsid w:val="3B561D9F"/>
    <w:rsid w:val="3B7479A6"/>
    <w:rsid w:val="3BEE1859"/>
    <w:rsid w:val="3BF82E56"/>
    <w:rsid w:val="3C024534"/>
    <w:rsid w:val="3C025A83"/>
    <w:rsid w:val="3C0B4937"/>
    <w:rsid w:val="3C493DC6"/>
    <w:rsid w:val="3C834E15"/>
    <w:rsid w:val="3C937993"/>
    <w:rsid w:val="3CB7061B"/>
    <w:rsid w:val="3CBE19AA"/>
    <w:rsid w:val="3CC01BC6"/>
    <w:rsid w:val="3CC20ED4"/>
    <w:rsid w:val="3CCB0F64"/>
    <w:rsid w:val="3CF35954"/>
    <w:rsid w:val="3CF35D7D"/>
    <w:rsid w:val="3D0616A6"/>
    <w:rsid w:val="3D332398"/>
    <w:rsid w:val="3D606F05"/>
    <w:rsid w:val="3D70539A"/>
    <w:rsid w:val="3D8A5D30"/>
    <w:rsid w:val="3DDA0A65"/>
    <w:rsid w:val="3DE713D4"/>
    <w:rsid w:val="3E175815"/>
    <w:rsid w:val="3E4B1963"/>
    <w:rsid w:val="3E4D7489"/>
    <w:rsid w:val="3E5527E2"/>
    <w:rsid w:val="3E66482E"/>
    <w:rsid w:val="3E772758"/>
    <w:rsid w:val="3EA82517"/>
    <w:rsid w:val="3EAB0654"/>
    <w:rsid w:val="3EF56C64"/>
    <w:rsid w:val="3F012022"/>
    <w:rsid w:val="3F236827"/>
    <w:rsid w:val="3F2F4DE1"/>
    <w:rsid w:val="3F747725"/>
    <w:rsid w:val="3F937934"/>
    <w:rsid w:val="3FAE3296"/>
    <w:rsid w:val="3FFB2F15"/>
    <w:rsid w:val="40147FD7"/>
    <w:rsid w:val="40B922C8"/>
    <w:rsid w:val="40C501F6"/>
    <w:rsid w:val="40D13B66"/>
    <w:rsid w:val="40F300AD"/>
    <w:rsid w:val="41140732"/>
    <w:rsid w:val="411C1395"/>
    <w:rsid w:val="4125649B"/>
    <w:rsid w:val="41263FC1"/>
    <w:rsid w:val="41265D6F"/>
    <w:rsid w:val="41281AE7"/>
    <w:rsid w:val="41283EAE"/>
    <w:rsid w:val="413255B1"/>
    <w:rsid w:val="413F511E"/>
    <w:rsid w:val="415A3295"/>
    <w:rsid w:val="416156AA"/>
    <w:rsid w:val="4178510D"/>
    <w:rsid w:val="418F34CB"/>
    <w:rsid w:val="41932688"/>
    <w:rsid w:val="41B65345"/>
    <w:rsid w:val="41CE6B33"/>
    <w:rsid w:val="41E00614"/>
    <w:rsid w:val="41F45821"/>
    <w:rsid w:val="41FA3EE9"/>
    <w:rsid w:val="42213106"/>
    <w:rsid w:val="425008DD"/>
    <w:rsid w:val="42544AFB"/>
    <w:rsid w:val="426E5C20"/>
    <w:rsid w:val="42701998"/>
    <w:rsid w:val="427A45C5"/>
    <w:rsid w:val="42AB29D0"/>
    <w:rsid w:val="42B86E9B"/>
    <w:rsid w:val="42D00689"/>
    <w:rsid w:val="42DE6715"/>
    <w:rsid w:val="42E934F8"/>
    <w:rsid w:val="42EB7271"/>
    <w:rsid w:val="431A650B"/>
    <w:rsid w:val="43326C4D"/>
    <w:rsid w:val="4339622E"/>
    <w:rsid w:val="43430E5B"/>
    <w:rsid w:val="434B5F61"/>
    <w:rsid w:val="4359067E"/>
    <w:rsid w:val="435B2B84"/>
    <w:rsid w:val="435C1F1C"/>
    <w:rsid w:val="438F22F2"/>
    <w:rsid w:val="43BE6733"/>
    <w:rsid w:val="43CC3AB9"/>
    <w:rsid w:val="43E91A02"/>
    <w:rsid w:val="43F35309"/>
    <w:rsid w:val="44044A8E"/>
    <w:rsid w:val="4413652A"/>
    <w:rsid w:val="441A605F"/>
    <w:rsid w:val="441B3B85"/>
    <w:rsid w:val="44337121"/>
    <w:rsid w:val="444A7FC7"/>
    <w:rsid w:val="448E4357"/>
    <w:rsid w:val="44930A79"/>
    <w:rsid w:val="44A65B45"/>
    <w:rsid w:val="44B97D37"/>
    <w:rsid w:val="44BF2933"/>
    <w:rsid w:val="44EC107E"/>
    <w:rsid w:val="44EE4DF6"/>
    <w:rsid w:val="45280308"/>
    <w:rsid w:val="4528655A"/>
    <w:rsid w:val="452A192A"/>
    <w:rsid w:val="452F5B3A"/>
    <w:rsid w:val="45446601"/>
    <w:rsid w:val="459040FF"/>
    <w:rsid w:val="45B147A1"/>
    <w:rsid w:val="45B35DDA"/>
    <w:rsid w:val="45B55914"/>
    <w:rsid w:val="45EB6847"/>
    <w:rsid w:val="45FC3543"/>
    <w:rsid w:val="460C60C5"/>
    <w:rsid w:val="464949DA"/>
    <w:rsid w:val="46511AE0"/>
    <w:rsid w:val="4651208B"/>
    <w:rsid w:val="465B470D"/>
    <w:rsid w:val="465B6E0D"/>
    <w:rsid w:val="465D2233"/>
    <w:rsid w:val="4665558C"/>
    <w:rsid w:val="4674757D"/>
    <w:rsid w:val="4678706D"/>
    <w:rsid w:val="46804174"/>
    <w:rsid w:val="468C2B19"/>
    <w:rsid w:val="469D0882"/>
    <w:rsid w:val="46B627AF"/>
    <w:rsid w:val="46E12E64"/>
    <w:rsid w:val="46E6047B"/>
    <w:rsid w:val="46F506BE"/>
    <w:rsid w:val="47173B87"/>
    <w:rsid w:val="472B0583"/>
    <w:rsid w:val="47356D0C"/>
    <w:rsid w:val="47370CD6"/>
    <w:rsid w:val="47415A84"/>
    <w:rsid w:val="474472DC"/>
    <w:rsid w:val="47450DC4"/>
    <w:rsid w:val="477D002C"/>
    <w:rsid w:val="478D4D9A"/>
    <w:rsid w:val="478E532E"/>
    <w:rsid w:val="47CA56A6"/>
    <w:rsid w:val="47FD3CCE"/>
    <w:rsid w:val="47FD781C"/>
    <w:rsid w:val="48276F9D"/>
    <w:rsid w:val="48313978"/>
    <w:rsid w:val="48425B85"/>
    <w:rsid w:val="484713ED"/>
    <w:rsid w:val="48474F49"/>
    <w:rsid w:val="484B1A18"/>
    <w:rsid w:val="487D4E0F"/>
    <w:rsid w:val="489932CB"/>
    <w:rsid w:val="489B7043"/>
    <w:rsid w:val="489F1FE9"/>
    <w:rsid w:val="48B56357"/>
    <w:rsid w:val="49262358"/>
    <w:rsid w:val="49311309"/>
    <w:rsid w:val="49425710"/>
    <w:rsid w:val="49441489"/>
    <w:rsid w:val="497D499A"/>
    <w:rsid w:val="49C93C69"/>
    <w:rsid w:val="4A001853"/>
    <w:rsid w:val="4A01737A"/>
    <w:rsid w:val="4A0C644A"/>
    <w:rsid w:val="4A3D6352"/>
    <w:rsid w:val="4A437992"/>
    <w:rsid w:val="4A5230D3"/>
    <w:rsid w:val="4A527BD5"/>
    <w:rsid w:val="4A802994"/>
    <w:rsid w:val="4A9B5A20"/>
    <w:rsid w:val="4ADF590D"/>
    <w:rsid w:val="4AE922E8"/>
    <w:rsid w:val="4B0C4228"/>
    <w:rsid w:val="4B182BCD"/>
    <w:rsid w:val="4B1B26BD"/>
    <w:rsid w:val="4B315A3D"/>
    <w:rsid w:val="4B512D1C"/>
    <w:rsid w:val="4B5300A9"/>
    <w:rsid w:val="4B616322"/>
    <w:rsid w:val="4BC44A01"/>
    <w:rsid w:val="4BFE6267"/>
    <w:rsid w:val="4C237A7B"/>
    <w:rsid w:val="4C2D1ED9"/>
    <w:rsid w:val="4C3E48B5"/>
    <w:rsid w:val="4C4C77D4"/>
    <w:rsid w:val="4C6D47B1"/>
    <w:rsid w:val="4C891FD4"/>
    <w:rsid w:val="4CA706AC"/>
    <w:rsid w:val="4CBD7ED0"/>
    <w:rsid w:val="4CD6771E"/>
    <w:rsid w:val="4CFD651E"/>
    <w:rsid w:val="4CFF45D5"/>
    <w:rsid w:val="4D1843F2"/>
    <w:rsid w:val="4D843229"/>
    <w:rsid w:val="4D875DE8"/>
    <w:rsid w:val="4D972057"/>
    <w:rsid w:val="4DB844FD"/>
    <w:rsid w:val="4DBC1F35"/>
    <w:rsid w:val="4DC4703C"/>
    <w:rsid w:val="4DE60D60"/>
    <w:rsid w:val="4E0F02B7"/>
    <w:rsid w:val="4E173610"/>
    <w:rsid w:val="4E6B160F"/>
    <w:rsid w:val="4E6D46B7"/>
    <w:rsid w:val="4ECE22FB"/>
    <w:rsid w:val="4ED241EE"/>
    <w:rsid w:val="4ED667D8"/>
    <w:rsid w:val="4EE94FAC"/>
    <w:rsid w:val="4EEC23A6"/>
    <w:rsid w:val="4F0973FC"/>
    <w:rsid w:val="4F10078B"/>
    <w:rsid w:val="4F3718ED"/>
    <w:rsid w:val="4F437604"/>
    <w:rsid w:val="4F560168"/>
    <w:rsid w:val="4F6208BA"/>
    <w:rsid w:val="4F672375"/>
    <w:rsid w:val="4F697E9B"/>
    <w:rsid w:val="4F764366"/>
    <w:rsid w:val="4F8627FB"/>
    <w:rsid w:val="4F8810DB"/>
    <w:rsid w:val="4F9111A0"/>
    <w:rsid w:val="4FB05ACA"/>
    <w:rsid w:val="4FC450D1"/>
    <w:rsid w:val="4FE65048"/>
    <w:rsid w:val="4FEC63D6"/>
    <w:rsid w:val="4FF514A4"/>
    <w:rsid w:val="500001F2"/>
    <w:rsid w:val="502777DD"/>
    <w:rsid w:val="50286711"/>
    <w:rsid w:val="5032295C"/>
    <w:rsid w:val="50355FCF"/>
    <w:rsid w:val="50446212"/>
    <w:rsid w:val="504601DC"/>
    <w:rsid w:val="50767DEB"/>
    <w:rsid w:val="50874A7C"/>
    <w:rsid w:val="509C604E"/>
    <w:rsid w:val="50A433C7"/>
    <w:rsid w:val="50A82C45"/>
    <w:rsid w:val="50BB4726"/>
    <w:rsid w:val="50CD6207"/>
    <w:rsid w:val="50D717BE"/>
    <w:rsid w:val="50E7376D"/>
    <w:rsid w:val="50F33EC0"/>
    <w:rsid w:val="510C4F82"/>
    <w:rsid w:val="51134562"/>
    <w:rsid w:val="511D6410"/>
    <w:rsid w:val="512E5354"/>
    <w:rsid w:val="513D513B"/>
    <w:rsid w:val="51583D23"/>
    <w:rsid w:val="51735001"/>
    <w:rsid w:val="51736DAF"/>
    <w:rsid w:val="51A21442"/>
    <w:rsid w:val="51A241AF"/>
    <w:rsid w:val="51AA17AC"/>
    <w:rsid w:val="51C36F2F"/>
    <w:rsid w:val="51DB0D64"/>
    <w:rsid w:val="522307D5"/>
    <w:rsid w:val="523A5B1F"/>
    <w:rsid w:val="524C7CB5"/>
    <w:rsid w:val="526E7576"/>
    <w:rsid w:val="52734B8D"/>
    <w:rsid w:val="528B637A"/>
    <w:rsid w:val="52A511EA"/>
    <w:rsid w:val="52C535BF"/>
    <w:rsid w:val="52C84ED8"/>
    <w:rsid w:val="531138D4"/>
    <w:rsid w:val="53211655"/>
    <w:rsid w:val="532145E9"/>
    <w:rsid w:val="532C2F77"/>
    <w:rsid w:val="533D4A63"/>
    <w:rsid w:val="53643AD9"/>
    <w:rsid w:val="536746F1"/>
    <w:rsid w:val="536E566D"/>
    <w:rsid w:val="53A019B1"/>
    <w:rsid w:val="53A5521A"/>
    <w:rsid w:val="53B13BBE"/>
    <w:rsid w:val="53B21163"/>
    <w:rsid w:val="53B271C1"/>
    <w:rsid w:val="53B35B89"/>
    <w:rsid w:val="53BD2563"/>
    <w:rsid w:val="53C57104"/>
    <w:rsid w:val="54063F0A"/>
    <w:rsid w:val="5409239C"/>
    <w:rsid w:val="54234541"/>
    <w:rsid w:val="54660E4D"/>
    <w:rsid w:val="54A159E1"/>
    <w:rsid w:val="54B73456"/>
    <w:rsid w:val="54CD67D6"/>
    <w:rsid w:val="54E0475B"/>
    <w:rsid w:val="54EB459D"/>
    <w:rsid w:val="54F40207"/>
    <w:rsid w:val="54F71AA5"/>
    <w:rsid w:val="54F76864"/>
    <w:rsid w:val="5527238A"/>
    <w:rsid w:val="552F77ED"/>
    <w:rsid w:val="554A42CB"/>
    <w:rsid w:val="555D3FFE"/>
    <w:rsid w:val="55651104"/>
    <w:rsid w:val="55711857"/>
    <w:rsid w:val="55886BA1"/>
    <w:rsid w:val="55913CA7"/>
    <w:rsid w:val="559519EA"/>
    <w:rsid w:val="55F61D5C"/>
    <w:rsid w:val="56010E2D"/>
    <w:rsid w:val="56206DD9"/>
    <w:rsid w:val="56250D86"/>
    <w:rsid w:val="56292132"/>
    <w:rsid w:val="56313160"/>
    <w:rsid w:val="563805C7"/>
    <w:rsid w:val="564927D4"/>
    <w:rsid w:val="56777341"/>
    <w:rsid w:val="567E247E"/>
    <w:rsid w:val="56925F29"/>
    <w:rsid w:val="56A30136"/>
    <w:rsid w:val="56A35C41"/>
    <w:rsid w:val="56C24012"/>
    <w:rsid w:val="56C97D88"/>
    <w:rsid w:val="56D24578"/>
    <w:rsid w:val="56E9366F"/>
    <w:rsid w:val="571C5DAE"/>
    <w:rsid w:val="572C012C"/>
    <w:rsid w:val="5750172E"/>
    <w:rsid w:val="57511940"/>
    <w:rsid w:val="576D42A0"/>
    <w:rsid w:val="578C0D71"/>
    <w:rsid w:val="579E3D67"/>
    <w:rsid w:val="57A777B2"/>
    <w:rsid w:val="57AF3D7C"/>
    <w:rsid w:val="57B07556"/>
    <w:rsid w:val="57C85D74"/>
    <w:rsid w:val="57D4087C"/>
    <w:rsid w:val="57D60097"/>
    <w:rsid w:val="57EE6F82"/>
    <w:rsid w:val="58602160"/>
    <w:rsid w:val="58907F4D"/>
    <w:rsid w:val="58930993"/>
    <w:rsid w:val="58BF6C57"/>
    <w:rsid w:val="59017396"/>
    <w:rsid w:val="591250FF"/>
    <w:rsid w:val="591744C4"/>
    <w:rsid w:val="591A3FB4"/>
    <w:rsid w:val="591C5F7E"/>
    <w:rsid w:val="5932754F"/>
    <w:rsid w:val="595079D6"/>
    <w:rsid w:val="598002BB"/>
    <w:rsid w:val="59822285"/>
    <w:rsid w:val="598F04FE"/>
    <w:rsid w:val="59A05CA7"/>
    <w:rsid w:val="59C43254"/>
    <w:rsid w:val="59FF38D6"/>
    <w:rsid w:val="5A1E1882"/>
    <w:rsid w:val="5A3C2E03"/>
    <w:rsid w:val="5A5D23AA"/>
    <w:rsid w:val="5A67147B"/>
    <w:rsid w:val="5A673229"/>
    <w:rsid w:val="5A767910"/>
    <w:rsid w:val="5A8738CB"/>
    <w:rsid w:val="5A943A15"/>
    <w:rsid w:val="5AB15946"/>
    <w:rsid w:val="5ABA15AB"/>
    <w:rsid w:val="5ABA77FD"/>
    <w:rsid w:val="5B0B1E06"/>
    <w:rsid w:val="5B0E18F6"/>
    <w:rsid w:val="5B280C0A"/>
    <w:rsid w:val="5B2D7FCE"/>
    <w:rsid w:val="5B3C5143"/>
    <w:rsid w:val="5B590DC3"/>
    <w:rsid w:val="5B6065F6"/>
    <w:rsid w:val="5B723F21"/>
    <w:rsid w:val="5B77749C"/>
    <w:rsid w:val="5BC56459"/>
    <w:rsid w:val="5BC81ACB"/>
    <w:rsid w:val="5BCE1694"/>
    <w:rsid w:val="5BD668B8"/>
    <w:rsid w:val="5C076A71"/>
    <w:rsid w:val="5C3E620B"/>
    <w:rsid w:val="5C642116"/>
    <w:rsid w:val="5C655469"/>
    <w:rsid w:val="5C89392A"/>
    <w:rsid w:val="5C8B30D1"/>
    <w:rsid w:val="5CBF10FA"/>
    <w:rsid w:val="5CDD3C76"/>
    <w:rsid w:val="5D080CF3"/>
    <w:rsid w:val="5D1551BE"/>
    <w:rsid w:val="5D543F38"/>
    <w:rsid w:val="5D753EAF"/>
    <w:rsid w:val="5D850596"/>
    <w:rsid w:val="5D971696"/>
    <w:rsid w:val="5DA27BC8"/>
    <w:rsid w:val="5DB446FC"/>
    <w:rsid w:val="5DB52841"/>
    <w:rsid w:val="5DC5373F"/>
    <w:rsid w:val="5DC82230"/>
    <w:rsid w:val="5E055233"/>
    <w:rsid w:val="5E0C4813"/>
    <w:rsid w:val="5E2A4C99"/>
    <w:rsid w:val="5E581806"/>
    <w:rsid w:val="5E6648BE"/>
    <w:rsid w:val="5E7A5C21"/>
    <w:rsid w:val="5E850121"/>
    <w:rsid w:val="5E8C325E"/>
    <w:rsid w:val="5E9F131C"/>
    <w:rsid w:val="5F0135F2"/>
    <w:rsid w:val="5F047298"/>
    <w:rsid w:val="5F0F6EA7"/>
    <w:rsid w:val="5F3758C0"/>
    <w:rsid w:val="5F3D27AA"/>
    <w:rsid w:val="5F4023F6"/>
    <w:rsid w:val="5F530C4A"/>
    <w:rsid w:val="5F683CCB"/>
    <w:rsid w:val="5F6D308F"/>
    <w:rsid w:val="5F7771DF"/>
    <w:rsid w:val="5F8E1258"/>
    <w:rsid w:val="5F920D48"/>
    <w:rsid w:val="5FB52C88"/>
    <w:rsid w:val="5FB567E4"/>
    <w:rsid w:val="5FD01870"/>
    <w:rsid w:val="5FD2606E"/>
    <w:rsid w:val="5FE22FDD"/>
    <w:rsid w:val="5FF05A6E"/>
    <w:rsid w:val="60065292"/>
    <w:rsid w:val="600B28A8"/>
    <w:rsid w:val="6022031E"/>
    <w:rsid w:val="603040BD"/>
    <w:rsid w:val="604A1623"/>
    <w:rsid w:val="6051475F"/>
    <w:rsid w:val="60C50CA9"/>
    <w:rsid w:val="60CE5DB0"/>
    <w:rsid w:val="60DB1BA6"/>
    <w:rsid w:val="60FD0443"/>
    <w:rsid w:val="615269E1"/>
    <w:rsid w:val="615838CB"/>
    <w:rsid w:val="618F606A"/>
    <w:rsid w:val="61C80A51"/>
    <w:rsid w:val="61D27EB7"/>
    <w:rsid w:val="61E635CD"/>
    <w:rsid w:val="62132BD1"/>
    <w:rsid w:val="623835D2"/>
    <w:rsid w:val="623F15C0"/>
    <w:rsid w:val="62483088"/>
    <w:rsid w:val="62546789"/>
    <w:rsid w:val="625E3163"/>
    <w:rsid w:val="62682941"/>
    <w:rsid w:val="62774225"/>
    <w:rsid w:val="628801E0"/>
    <w:rsid w:val="629224CF"/>
    <w:rsid w:val="62976675"/>
    <w:rsid w:val="62A72D5C"/>
    <w:rsid w:val="62B15989"/>
    <w:rsid w:val="62B2525D"/>
    <w:rsid w:val="62BA3C91"/>
    <w:rsid w:val="62E47B0C"/>
    <w:rsid w:val="62F13FD7"/>
    <w:rsid w:val="62FA7330"/>
    <w:rsid w:val="630F26B0"/>
    <w:rsid w:val="63163A33"/>
    <w:rsid w:val="632C30AB"/>
    <w:rsid w:val="6333639E"/>
    <w:rsid w:val="636522D0"/>
    <w:rsid w:val="636E5628"/>
    <w:rsid w:val="636F1287"/>
    <w:rsid w:val="63811F28"/>
    <w:rsid w:val="63860BC4"/>
    <w:rsid w:val="639F1C85"/>
    <w:rsid w:val="63A23524"/>
    <w:rsid w:val="63B374DF"/>
    <w:rsid w:val="63B514A9"/>
    <w:rsid w:val="63C876B9"/>
    <w:rsid w:val="63D731CD"/>
    <w:rsid w:val="63E61662"/>
    <w:rsid w:val="63FF2724"/>
    <w:rsid w:val="641A755E"/>
    <w:rsid w:val="64243F39"/>
    <w:rsid w:val="643E149E"/>
    <w:rsid w:val="645C36D2"/>
    <w:rsid w:val="64813139"/>
    <w:rsid w:val="64A84B6A"/>
    <w:rsid w:val="64BD2457"/>
    <w:rsid w:val="64D03BF7"/>
    <w:rsid w:val="64D15E6F"/>
    <w:rsid w:val="64DB6CED"/>
    <w:rsid w:val="64E57E73"/>
    <w:rsid w:val="64F33936"/>
    <w:rsid w:val="64F8789F"/>
    <w:rsid w:val="65024FE6"/>
    <w:rsid w:val="65130235"/>
    <w:rsid w:val="654C7BEB"/>
    <w:rsid w:val="655B1BDC"/>
    <w:rsid w:val="657809E0"/>
    <w:rsid w:val="658A426F"/>
    <w:rsid w:val="65B17A4E"/>
    <w:rsid w:val="65B74107"/>
    <w:rsid w:val="65C43C25"/>
    <w:rsid w:val="65D8322D"/>
    <w:rsid w:val="66044022"/>
    <w:rsid w:val="66187850"/>
    <w:rsid w:val="66326DE1"/>
    <w:rsid w:val="66495ED8"/>
    <w:rsid w:val="664F1741"/>
    <w:rsid w:val="6655119C"/>
    <w:rsid w:val="669435F8"/>
    <w:rsid w:val="66A54E5D"/>
    <w:rsid w:val="66B141AA"/>
    <w:rsid w:val="66D85CF0"/>
    <w:rsid w:val="66E60FFA"/>
    <w:rsid w:val="67007749"/>
    <w:rsid w:val="670F7122"/>
    <w:rsid w:val="674943E2"/>
    <w:rsid w:val="67682089"/>
    <w:rsid w:val="67CB3049"/>
    <w:rsid w:val="67F02AB0"/>
    <w:rsid w:val="685A43CD"/>
    <w:rsid w:val="689F6284"/>
    <w:rsid w:val="68AB4C28"/>
    <w:rsid w:val="68AD274F"/>
    <w:rsid w:val="68B7537B"/>
    <w:rsid w:val="68CC52CB"/>
    <w:rsid w:val="68F323CD"/>
    <w:rsid w:val="69083E29"/>
    <w:rsid w:val="69401815"/>
    <w:rsid w:val="69407A67"/>
    <w:rsid w:val="69727678"/>
    <w:rsid w:val="69886D18"/>
    <w:rsid w:val="699A7177"/>
    <w:rsid w:val="69A04061"/>
    <w:rsid w:val="69A20100"/>
    <w:rsid w:val="69AA4EE0"/>
    <w:rsid w:val="69AE677E"/>
    <w:rsid w:val="69B30239"/>
    <w:rsid w:val="69C45FA2"/>
    <w:rsid w:val="69FC398E"/>
    <w:rsid w:val="6A1707C7"/>
    <w:rsid w:val="6A276531"/>
    <w:rsid w:val="6A5175BC"/>
    <w:rsid w:val="6A5437CA"/>
    <w:rsid w:val="6A902328"/>
    <w:rsid w:val="6A9F256B"/>
    <w:rsid w:val="6AAB7162"/>
    <w:rsid w:val="6AC3362E"/>
    <w:rsid w:val="6ADF6E0B"/>
    <w:rsid w:val="6AE10DD5"/>
    <w:rsid w:val="6AE178F0"/>
    <w:rsid w:val="6AEB01DC"/>
    <w:rsid w:val="6B030D4C"/>
    <w:rsid w:val="6B2C2051"/>
    <w:rsid w:val="6B347157"/>
    <w:rsid w:val="6B485F70"/>
    <w:rsid w:val="6B657311"/>
    <w:rsid w:val="6B76151E"/>
    <w:rsid w:val="6B923E7E"/>
    <w:rsid w:val="6B9E135C"/>
    <w:rsid w:val="6BB87EC1"/>
    <w:rsid w:val="6BDB0F05"/>
    <w:rsid w:val="6BF6440D"/>
    <w:rsid w:val="6C11621C"/>
    <w:rsid w:val="6C337F2A"/>
    <w:rsid w:val="6C427652"/>
    <w:rsid w:val="6C644FCA"/>
    <w:rsid w:val="6C8163CC"/>
    <w:rsid w:val="6C8C6B1F"/>
    <w:rsid w:val="6CA633EB"/>
    <w:rsid w:val="6CAE50B7"/>
    <w:rsid w:val="6CAF118B"/>
    <w:rsid w:val="6CD26840"/>
    <w:rsid w:val="6CD50F42"/>
    <w:rsid w:val="6CDC6D8E"/>
    <w:rsid w:val="6CE626D3"/>
    <w:rsid w:val="6CF9123E"/>
    <w:rsid w:val="6D031699"/>
    <w:rsid w:val="6D035033"/>
    <w:rsid w:val="6D4A4A10"/>
    <w:rsid w:val="6D633D24"/>
    <w:rsid w:val="6D6B4986"/>
    <w:rsid w:val="6D8C1240"/>
    <w:rsid w:val="6D9764FF"/>
    <w:rsid w:val="6DB93944"/>
    <w:rsid w:val="6DBE53FE"/>
    <w:rsid w:val="6DE03D66"/>
    <w:rsid w:val="6DFB0400"/>
    <w:rsid w:val="6E2039C3"/>
    <w:rsid w:val="6E2E6EEA"/>
    <w:rsid w:val="6E4770F5"/>
    <w:rsid w:val="6E573888"/>
    <w:rsid w:val="6E661D1D"/>
    <w:rsid w:val="6E6E2980"/>
    <w:rsid w:val="6E9323E7"/>
    <w:rsid w:val="6E9C74ED"/>
    <w:rsid w:val="6E9F6C6D"/>
    <w:rsid w:val="6EDA0016"/>
    <w:rsid w:val="6EDD4233"/>
    <w:rsid w:val="6EDE7B06"/>
    <w:rsid w:val="6EF2535F"/>
    <w:rsid w:val="6F1277AF"/>
    <w:rsid w:val="6F213DEB"/>
    <w:rsid w:val="6F59718C"/>
    <w:rsid w:val="6F5E0C47"/>
    <w:rsid w:val="6F80157A"/>
    <w:rsid w:val="6FA523D2"/>
    <w:rsid w:val="6FAC2771"/>
    <w:rsid w:val="6FDB2297"/>
    <w:rsid w:val="6FEA4288"/>
    <w:rsid w:val="6FF536C2"/>
    <w:rsid w:val="6FFB46E7"/>
    <w:rsid w:val="70082960"/>
    <w:rsid w:val="7027728A"/>
    <w:rsid w:val="702D7AE0"/>
    <w:rsid w:val="702F4391"/>
    <w:rsid w:val="70310A83"/>
    <w:rsid w:val="7060454A"/>
    <w:rsid w:val="70636BE4"/>
    <w:rsid w:val="706C1141"/>
    <w:rsid w:val="707B75D6"/>
    <w:rsid w:val="708C50EF"/>
    <w:rsid w:val="709F1517"/>
    <w:rsid w:val="70AC59E2"/>
    <w:rsid w:val="70AC7790"/>
    <w:rsid w:val="70CE7706"/>
    <w:rsid w:val="70D30A99"/>
    <w:rsid w:val="70F52C1D"/>
    <w:rsid w:val="71186BD3"/>
    <w:rsid w:val="71213CDA"/>
    <w:rsid w:val="71247108"/>
    <w:rsid w:val="713A2FED"/>
    <w:rsid w:val="715220E5"/>
    <w:rsid w:val="715F2A54"/>
    <w:rsid w:val="716342F2"/>
    <w:rsid w:val="716F2C97"/>
    <w:rsid w:val="71C50B09"/>
    <w:rsid w:val="71CD2FDE"/>
    <w:rsid w:val="72086C48"/>
    <w:rsid w:val="725B321B"/>
    <w:rsid w:val="72750781"/>
    <w:rsid w:val="72AD2D4A"/>
    <w:rsid w:val="72B017B9"/>
    <w:rsid w:val="72D60AF4"/>
    <w:rsid w:val="72E70F53"/>
    <w:rsid w:val="72F13B80"/>
    <w:rsid w:val="72F43813"/>
    <w:rsid w:val="72FB055A"/>
    <w:rsid w:val="73025D8D"/>
    <w:rsid w:val="7306762B"/>
    <w:rsid w:val="73250AF8"/>
    <w:rsid w:val="732775A1"/>
    <w:rsid w:val="733817AF"/>
    <w:rsid w:val="733A1083"/>
    <w:rsid w:val="73726A6F"/>
    <w:rsid w:val="73830C7C"/>
    <w:rsid w:val="73905DAB"/>
    <w:rsid w:val="739B6045"/>
    <w:rsid w:val="73A62BBC"/>
    <w:rsid w:val="73B21561"/>
    <w:rsid w:val="73B51331"/>
    <w:rsid w:val="73D2575F"/>
    <w:rsid w:val="73DC213A"/>
    <w:rsid w:val="73E62FB9"/>
    <w:rsid w:val="740718AD"/>
    <w:rsid w:val="740F2536"/>
    <w:rsid w:val="74195A99"/>
    <w:rsid w:val="741E09A4"/>
    <w:rsid w:val="74203314"/>
    <w:rsid w:val="74224DE2"/>
    <w:rsid w:val="74257F85"/>
    <w:rsid w:val="746417AB"/>
    <w:rsid w:val="748B5C62"/>
    <w:rsid w:val="74982505"/>
    <w:rsid w:val="74A27702"/>
    <w:rsid w:val="74A7099A"/>
    <w:rsid w:val="74DA0D6F"/>
    <w:rsid w:val="74E12C34"/>
    <w:rsid w:val="74FE3078"/>
    <w:rsid w:val="753417CF"/>
    <w:rsid w:val="75E44CC4"/>
    <w:rsid w:val="75E9473F"/>
    <w:rsid w:val="75EF084A"/>
    <w:rsid w:val="761413B6"/>
    <w:rsid w:val="76357511"/>
    <w:rsid w:val="76380DE0"/>
    <w:rsid w:val="764E3614"/>
    <w:rsid w:val="765267D9"/>
    <w:rsid w:val="765961EB"/>
    <w:rsid w:val="76754F3C"/>
    <w:rsid w:val="767E1BCE"/>
    <w:rsid w:val="76876D22"/>
    <w:rsid w:val="769E63CC"/>
    <w:rsid w:val="76AA651F"/>
    <w:rsid w:val="76CC46E8"/>
    <w:rsid w:val="772B7660"/>
    <w:rsid w:val="773F4EBA"/>
    <w:rsid w:val="7746449A"/>
    <w:rsid w:val="77534E09"/>
    <w:rsid w:val="775A6197"/>
    <w:rsid w:val="77610DB1"/>
    <w:rsid w:val="77684075"/>
    <w:rsid w:val="77715A51"/>
    <w:rsid w:val="77A318EC"/>
    <w:rsid w:val="77AB07A1"/>
    <w:rsid w:val="77B07B65"/>
    <w:rsid w:val="77BE2A47"/>
    <w:rsid w:val="77C11D73"/>
    <w:rsid w:val="77CD0717"/>
    <w:rsid w:val="77D870BC"/>
    <w:rsid w:val="77EE068E"/>
    <w:rsid w:val="780F6F82"/>
    <w:rsid w:val="788334CC"/>
    <w:rsid w:val="78AF606F"/>
    <w:rsid w:val="78CF226D"/>
    <w:rsid w:val="78D369EC"/>
    <w:rsid w:val="78E21FA1"/>
    <w:rsid w:val="790243F1"/>
    <w:rsid w:val="79144124"/>
    <w:rsid w:val="791660EE"/>
    <w:rsid w:val="79167E9C"/>
    <w:rsid w:val="79517126"/>
    <w:rsid w:val="7956473D"/>
    <w:rsid w:val="798E3ED6"/>
    <w:rsid w:val="79975481"/>
    <w:rsid w:val="799A287B"/>
    <w:rsid w:val="799C4845"/>
    <w:rsid w:val="79B017FC"/>
    <w:rsid w:val="79B0251C"/>
    <w:rsid w:val="79FA77BE"/>
    <w:rsid w:val="79FB036D"/>
    <w:rsid w:val="7A0C15EA"/>
    <w:rsid w:val="7A2F5A49"/>
    <w:rsid w:val="7A3229CD"/>
    <w:rsid w:val="7A355691"/>
    <w:rsid w:val="7A3C4EF3"/>
    <w:rsid w:val="7A3F3423"/>
    <w:rsid w:val="7A574C10"/>
    <w:rsid w:val="7A5E1AFB"/>
    <w:rsid w:val="7A6A66F1"/>
    <w:rsid w:val="7A6B246A"/>
    <w:rsid w:val="7A7C01D3"/>
    <w:rsid w:val="7A85177D"/>
    <w:rsid w:val="7A861051"/>
    <w:rsid w:val="7A862E00"/>
    <w:rsid w:val="7A886B78"/>
    <w:rsid w:val="7A8D0632"/>
    <w:rsid w:val="7AA8546C"/>
    <w:rsid w:val="7AC5601E"/>
    <w:rsid w:val="7B34121B"/>
    <w:rsid w:val="7B46305F"/>
    <w:rsid w:val="7B4E03E0"/>
    <w:rsid w:val="7B560A24"/>
    <w:rsid w:val="7B615D46"/>
    <w:rsid w:val="7B786BEC"/>
    <w:rsid w:val="7B841A35"/>
    <w:rsid w:val="7BDD2EF3"/>
    <w:rsid w:val="7BDF310F"/>
    <w:rsid w:val="7BE67FFA"/>
    <w:rsid w:val="7BEE3352"/>
    <w:rsid w:val="7C18460C"/>
    <w:rsid w:val="7C2826E5"/>
    <w:rsid w:val="7C286864"/>
    <w:rsid w:val="7C2C0A42"/>
    <w:rsid w:val="7C480A5D"/>
    <w:rsid w:val="7C526C04"/>
    <w:rsid w:val="7C7750F6"/>
    <w:rsid w:val="7C7A771D"/>
    <w:rsid w:val="7C9A0DE4"/>
    <w:rsid w:val="7CB251DE"/>
    <w:rsid w:val="7CB400F8"/>
    <w:rsid w:val="7CC85951"/>
    <w:rsid w:val="7CE309DD"/>
    <w:rsid w:val="7CE502B1"/>
    <w:rsid w:val="7CE85FF3"/>
    <w:rsid w:val="7CF6426C"/>
    <w:rsid w:val="7D205B85"/>
    <w:rsid w:val="7D2F63A0"/>
    <w:rsid w:val="7D341239"/>
    <w:rsid w:val="7D3D00ED"/>
    <w:rsid w:val="7D4C003E"/>
    <w:rsid w:val="7D6A4C5A"/>
    <w:rsid w:val="7D9F66B2"/>
    <w:rsid w:val="7DA0067C"/>
    <w:rsid w:val="7E1D280B"/>
    <w:rsid w:val="7E2A4E77"/>
    <w:rsid w:val="7E2E7A36"/>
    <w:rsid w:val="7E3964D6"/>
    <w:rsid w:val="7E631DD5"/>
    <w:rsid w:val="7E784ECC"/>
    <w:rsid w:val="7E9006F1"/>
    <w:rsid w:val="7E953F59"/>
    <w:rsid w:val="7EB559AD"/>
    <w:rsid w:val="7F345520"/>
    <w:rsid w:val="7F405C73"/>
    <w:rsid w:val="7F436422"/>
    <w:rsid w:val="7F4A6AF1"/>
    <w:rsid w:val="7F54171E"/>
    <w:rsid w:val="7F6000C3"/>
    <w:rsid w:val="7F653A26"/>
    <w:rsid w:val="7F840255"/>
    <w:rsid w:val="7F9D1DB0"/>
    <w:rsid w:val="7FAA57E2"/>
    <w:rsid w:val="7FCF0D5E"/>
    <w:rsid w:val="7FD50AB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0" w:semiHidden="0" w:name="envelope return"/>
    <w:lsdException w:qFormat="1"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iPriority="99" w:semiHidden="0" w:name="Body Text 3"/>
    <w:lsdException w:qFormat="1" w:unhideWhenUsed="0" w:uiPriority="99" w:semiHidden="0" w:name="Body Text Indent 2"/>
    <w:lsdException w:uiPriority="99"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Times New Roman"/>
      <w:kern w:val="2"/>
      <w:sz w:val="28"/>
      <w:szCs w:val="28"/>
      <w:lang w:val="en-US" w:eastAsia="zh-CN" w:bidi="ar-SA"/>
    </w:rPr>
  </w:style>
  <w:style w:type="paragraph" w:styleId="2">
    <w:name w:val="heading 1"/>
    <w:basedOn w:val="1"/>
    <w:next w:val="1"/>
    <w:link w:val="56"/>
    <w:autoRedefine/>
    <w:qFormat/>
    <w:uiPriority w:val="99"/>
    <w:pPr>
      <w:keepNext/>
      <w:keepLines/>
      <w:spacing w:line="240" w:lineRule="auto"/>
      <w:jc w:val="center"/>
      <w:outlineLvl w:val="0"/>
    </w:pPr>
    <w:rPr>
      <w:b/>
      <w:bCs/>
      <w:kern w:val="44"/>
      <w:sz w:val="36"/>
      <w:szCs w:val="44"/>
    </w:rPr>
  </w:style>
  <w:style w:type="paragraph" w:styleId="3">
    <w:name w:val="heading 2"/>
    <w:basedOn w:val="1"/>
    <w:next w:val="1"/>
    <w:link w:val="57"/>
    <w:autoRedefine/>
    <w:qFormat/>
    <w:uiPriority w:val="99"/>
    <w:pPr>
      <w:keepNext/>
      <w:keepLines/>
      <w:spacing w:line="240" w:lineRule="auto"/>
      <w:outlineLvl w:val="1"/>
    </w:pPr>
    <w:rPr>
      <w:rFonts w:ascii="Calibri" w:hAnsi="Calibri"/>
      <w:b/>
      <w:bCs/>
      <w:sz w:val="32"/>
      <w:szCs w:val="32"/>
    </w:rPr>
  </w:style>
  <w:style w:type="paragraph" w:styleId="4">
    <w:name w:val="heading 3"/>
    <w:basedOn w:val="1"/>
    <w:next w:val="1"/>
    <w:link w:val="58"/>
    <w:autoRedefine/>
    <w:qFormat/>
    <w:uiPriority w:val="99"/>
    <w:pPr>
      <w:keepNext/>
      <w:keepLines/>
      <w:spacing w:line="400" w:lineRule="atLeast"/>
      <w:jc w:val="center"/>
      <w:outlineLvl w:val="2"/>
    </w:pPr>
    <w:rPr>
      <w:b/>
      <w:bCs/>
      <w:sz w:val="32"/>
      <w:szCs w:val="32"/>
      <w:u w:val="double"/>
    </w:rPr>
  </w:style>
  <w:style w:type="paragraph" w:styleId="5">
    <w:name w:val="heading 4"/>
    <w:basedOn w:val="1"/>
    <w:next w:val="1"/>
    <w:link w:val="94"/>
    <w:autoRedefine/>
    <w:qFormat/>
    <w:uiPriority w:val="99"/>
    <w:pPr>
      <w:ind w:left="724"/>
      <w:outlineLvl w:val="3"/>
    </w:pPr>
    <w:rPr>
      <w:rFonts w:ascii="仿宋" w:hAnsi="仿宋" w:eastAsia="仿宋" w:cs="仿宋"/>
      <w:b/>
      <w:bCs/>
      <w:lang w:val="ja-JP" w:eastAsia="ja-JP" w:bidi="ja-JP"/>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44">
    <w:name w:val="Default Paragraph Font"/>
    <w:autoRedefine/>
    <w:semiHidden/>
    <w:unhideWhenUsed/>
    <w:qFormat/>
    <w:uiPriority w:val="1"/>
  </w:style>
  <w:style w:type="table" w:default="1" w:styleId="42">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oc 7"/>
    <w:basedOn w:val="1"/>
    <w:next w:val="1"/>
    <w:autoRedefine/>
    <w:unhideWhenUsed/>
    <w:qFormat/>
    <w:uiPriority w:val="39"/>
    <w:pPr>
      <w:ind w:left="1680"/>
      <w:jc w:val="left"/>
    </w:pPr>
    <w:rPr>
      <w:rFonts w:asciiTheme="minorHAnsi" w:hAnsiTheme="minorHAnsi"/>
      <w:sz w:val="18"/>
      <w:szCs w:val="18"/>
    </w:rPr>
  </w:style>
  <w:style w:type="paragraph" w:styleId="8">
    <w:name w:val="Normal Indent"/>
    <w:basedOn w:val="1"/>
    <w:autoRedefine/>
    <w:qFormat/>
    <w:uiPriority w:val="99"/>
    <w:pPr>
      <w:widowControl w:val="0"/>
      <w:spacing w:line="240" w:lineRule="auto"/>
      <w:ind w:firstLine="420"/>
    </w:pPr>
    <w:rPr>
      <w:rFonts w:ascii="Calibri" w:hAnsi="Calibri" w:eastAsia="宋体" w:cs="Calibri"/>
      <w:sz w:val="21"/>
      <w:szCs w:val="21"/>
    </w:rPr>
  </w:style>
  <w:style w:type="paragraph" w:styleId="9">
    <w:name w:val="Document Map"/>
    <w:basedOn w:val="1"/>
    <w:link w:val="59"/>
    <w:autoRedefine/>
    <w:qFormat/>
    <w:uiPriority w:val="99"/>
    <w:rPr>
      <w:rFonts w:ascii="宋体" w:eastAsia="宋体"/>
      <w:sz w:val="18"/>
      <w:szCs w:val="18"/>
    </w:rPr>
  </w:style>
  <w:style w:type="paragraph" w:styleId="10">
    <w:name w:val="annotation text"/>
    <w:basedOn w:val="1"/>
    <w:link w:val="97"/>
    <w:autoRedefine/>
    <w:semiHidden/>
    <w:qFormat/>
    <w:uiPriority w:val="99"/>
    <w:pPr>
      <w:widowControl w:val="0"/>
      <w:spacing w:line="240" w:lineRule="auto"/>
      <w:jc w:val="left"/>
    </w:pPr>
    <w:rPr>
      <w:rFonts w:ascii="宋体" w:hAnsi="Calibri" w:eastAsia="宋体" w:cs="宋体"/>
      <w:kern w:val="0"/>
      <w:sz w:val="34"/>
      <w:szCs w:val="34"/>
    </w:rPr>
  </w:style>
  <w:style w:type="paragraph" w:styleId="11">
    <w:name w:val="Body Text 3"/>
    <w:basedOn w:val="1"/>
    <w:unhideWhenUsed/>
    <w:qFormat/>
    <w:uiPriority w:val="99"/>
    <w:pPr>
      <w:spacing w:after="120"/>
    </w:pPr>
    <w:rPr>
      <w:sz w:val="16"/>
      <w:szCs w:val="16"/>
    </w:rPr>
  </w:style>
  <w:style w:type="paragraph" w:styleId="12">
    <w:name w:val="Body Text"/>
    <w:basedOn w:val="1"/>
    <w:link w:val="95"/>
    <w:autoRedefine/>
    <w:qFormat/>
    <w:uiPriority w:val="99"/>
    <w:rPr>
      <w:rFonts w:ascii="仿宋" w:hAnsi="仿宋" w:eastAsia="仿宋" w:cs="仿宋"/>
      <w:lang w:val="ja-JP" w:eastAsia="ja-JP" w:bidi="ja-JP"/>
    </w:rPr>
  </w:style>
  <w:style w:type="paragraph" w:styleId="13">
    <w:name w:val="Body Text Indent"/>
    <w:basedOn w:val="1"/>
    <w:next w:val="14"/>
    <w:link w:val="98"/>
    <w:autoRedefine/>
    <w:qFormat/>
    <w:uiPriority w:val="99"/>
    <w:pPr>
      <w:widowControl w:val="0"/>
      <w:spacing w:after="120" w:line="240" w:lineRule="auto"/>
      <w:ind w:left="420" w:leftChars="200"/>
    </w:pPr>
    <w:rPr>
      <w:rFonts w:ascii="Calibri" w:hAnsi="Calibri" w:eastAsia="宋体" w:cs="Calibri"/>
      <w:sz w:val="21"/>
      <w:szCs w:val="21"/>
    </w:rPr>
  </w:style>
  <w:style w:type="paragraph" w:styleId="14">
    <w:name w:val="envelope return"/>
    <w:basedOn w:val="1"/>
    <w:unhideWhenUsed/>
    <w:qFormat/>
    <w:uiPriority w:val="0"/>
    <w:pPr>
      <w:snapToGrid w:val="0"/>
    </w:pPr>
    <w:rPr>
      <w:rFonts w:ascii="Arial" w:hAnsi="Arial" w:eastAsia="宋体"/>
      <w:szCs w:val="24"/>
    </w:rPr>
  </w:style>
  <w:style w:type="paragraph" w:styleId="15">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16">
    <w:name w:val="toc 5"/>
    <w:basedOn w:val="1"/>
    <w:next w:val="1"/>
    <w:autoRedefine/>
    <w:unhideWhenUsed/>
    <w:qFormat/>
    <w:uiPriority w:val="39"/>
    <w:pPr>
      <w:ind w:left="1120"/>
      <w:jc w:val="left"/>
    </w:pPr>
    <w:rPr>
      <w:rFonts w:asciiTheme="minorHAnsi" w:hAnsiTheme="minorHAnsi"/>
      <w:sz w:val="18"/>
      <w:szCs w:val="18"/>
    </w:rPr>
  </w:style>
  <w:style w:type="paragraph" w:styleId="17">
    <w:name w:val="toc 3"/>
    <w:basedOn w:val="1"/>
    <w:next w:val="1"/>
    <w:autoRedefine/>
    <w:unhideWhenUsed/>
    <w:qFormat/>
    <w:uiPriority w:val="39"/>
    <w:pPr>
      <w:ind w:left="560"/>
      <w:jc w:val="left"/>
    </w:pPr>
    <w:rPr>
      <w:rFonts w:asciiTheme="minorHAnsi" w:hAnsiTheme="minorHAnsi"/>
      <w:i/>
      <w:iCs/>
      <w:sz w:val="20"/>
      <w:szCs w:val="20"/>
    </w:rPr>
  </w:style>
  <w:style w:type="paragraph" w:styleId="18">
    <w:name w:val="Plain Text"/>
    <w:basedOn w:val="1"/>
    <w:link w:val="60"/>
    <w:autoRedefine/>
    <w:qFormat/>
    <w:uiPriority w:val="0"/>
    <w:rPr>
      <w:rFonts w:ascii="宋体" w:hAnsi="Courier New" w:eastAsia="宋体" w:cs="Courier New"/>
      <w:sz w:val="21"/>
      <w:szCs w:val="21"/>
    </w:rPr>
  </w:style>
  <w:style w:type="paragraph" w:styleId="19">
    <w:name w:val="toc 8"/>
    <w:basedOn w:val="1"/>
    <w:next w:val="1"/>
    <w:autoRedefine/>
    <w:unhideWhenUsed/>
    <w:qFormat/>
    <w:uiPriority w:val="39"/>
    <w:pPr>
      <w:ind w:left="1960"/>
      <w:jc w:val="left"/>
    </w:pPr>
    <w:rPr>
      <w:rFonts w:asciiTheme="minorHAnsi" w:hAnsiTheme="minorHAnsi"/>
      <w:sz w:val="18"/>
      <w:szCs w:val="18"/>
    </w:rPr>
  </w:style>
  <w:style w:type="paragraph" w:styleId="20">
    <w:name w:val="Date"/>
    <w:basedOn w:val="1"/>
    <w:next w:val="1"/>
    <w:link w:val="61"/>
    <w:autoRedefine/>
    <w:qFormat/>
    <w:uiPriority w:val="0"/>
    <w:pPr>
      <w:ind w:left="100" w:leftChars="2500"/>
    </w:pPr>
  </w:style>
  <w:style w:type="paragraph" w:styleId="21">
    <w:name w:val="Body Text Indent 2"/>
    <w:basedOn w:val="1"/>
    <w:link w:val="99"/>
    <w:autoRedefine/>
    <w:qFormat/>
    <w:uiPriority w:val="99"/>
    <w:pPr>
      <w:widowControl w:val="0"/>
      <w:spacing w:after="120" w:line="480" w:lineRule="auto"/>
      <w:ind w:left="420" w:leftChars="200"/>
    </w:pPr>
    <w:rPr>
      <w:rFonts w:ascii="Calibri" w:hAnsi="Calibri" w:eastAsia="宋体" w:cs="Calibri"/>
      <w:sz w:val="21"/>
      <w:szCs w:val="21"/>
    </w:rPr>
  </w:style>
  <w:style w:type="paragraph" w:styleId="22">
    <w:name w:val="Balloon Text"/>
    <w:basedOn w:val="1"/>
    <w:link w:val="62"/>
    <w:autoRedefine/>
    <w:qFormat/>
    <w:uiPriority w:val="99"/>
    <w:pPr>
      <w:spacing w:line="240" w:lineRule="auto"/>
    </w:pPr>
    <w:rPr>
      <w:sz w:val="18"/>
      <w:szCs w:val="18"/>
    </w:rPr>
  </w:style>
  <w:style w:type="paragraph" w:styleId="23">
    <w:name w:val="footer"/>
    <w:basedOn w:val="1"/>
    <w:link w:val="63"/>
    <w:autoRedefine/>
    <w:qFormat/>
    <w:uiPriority w:val="99"/>
    <w:pPr>
      <w:widowControl w:val="0"/>
      <w:tabs>
        <w:tab w:val="center" w:pos="4153"/>
        <w:tab w:val="right" w:pos="8306"/>
      </w:tabs>
      <w:snapToGrid w:val="0"/>
      <w:spacing w:line="240" w:lineRule="auto"/>
      <w:jc w:val="left"/>
    </w:pPr>
    <w:rPr>
      <w:kern w:val="0"/>
      <w:sz w:val="18"/>
      <w:szCs w:val="20"/>
    </w:rPr>
  </w:style>
  <w:style w:type="paragraph" w:styleId="24">
    <w:name w:val="header"/>
    <w:basedOn w:val="1"/>
    <w:link w:val="64"/>
    <w:autoRedefine/>
    <w:qFormat/>
    <w:uiPriority w:val="99"/>
    <w:pPr>
      <w:widowControl w:val="0"/>
      <w:pBdr>
        <w:bottom w:val="single" w:color="auto" w:sz="6" w:space="1"/>
      </w:pBdr>
      <w:tabs>
        <w:tab w:val="center" w:pos="4153"/>
        <w:tab w:val="right" w:pos="8306"/>
      </w:tabs>
      <w:snapToGrid w:val="0"/>
      <w:spacing w:line="240" w:lineRule="auto"/>
      <w:jc w:val="center"/>
    </w:pPr>
    <w:rPr>
      <w:kern w:val="0"/>
      <w:sz w:val="18"/>
      <w:szCs w:val="20"/>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unhideWhenUsed/>
    <w:qFormat/>
    <w:uiPriority w:val="39"/>
    <w:pPr>
      <w:ind w:left="840"/>
      <w:jc w:val="left"/>
    </w:pPr>
    <w:rPr>
      <w:rFonts w:asciiTheme="minorHAnsi" w:hAnsiTheme="minorHAnsi"/>
      <w:sz w:val="18"/>
      <w:szCs w:val="18"/>
    </w:rPr>
  </w:style>
  <w:style w:type="paragraph" w:styleId="27">
    <w:name w:val="footnote text"/>
    <w:basedOn w:val="1"/>
    <w:link w:val="100"/>
    <w:autoRedefine/>
    <w:semiHidden/>
    <w:unhideWhenUsed/>
    <w:qFormat/>
    <w:uiPriority w:val="99"/>
    <w:pPr>
      <w:widowControl w:val="0"/>
      <w:snapToGrid w:val="0"/>
      <w:spacing w:line="240" w:lineRule="auto"/>
      <w:jc w:val="left"/>
    </w:pPr>
    <w:rPr>
      <w:rFonts w:ascii="Calibri" w:hAnsi="Calibri" w:eastAsia="宋体" w:cs="Calibri"/>
      <w:sz w:val="18"/>
      <w:szCs w:val="21"/>
    </w:rPr>
  </w:style>
  <w:style w:type="paragraph" w:styleId="28">
    <w:name w:val="toc 6"/>
    <w:basedOn w:val="1"/>
    <w:next w:val="1"/>
    <w:autoRedefine/>
    <w:unhideWhenUsed/>
    <w:qFormat/>
    <w:uiPriority w:val="39"/>
    <w:pPr>
      <w:ind w:left="1400"/>
      <w:jc w:val="left"/>
    </w:pPr>
    <w:rPr>
      <w:rFonts w:asciiTheme="minorHAnsi" w:hAnsiTheme="minorHAnsi"/>
      <w:sz w:val="18"/>
      <w:szCs w:val="18"/>
    </w:rPr>
  </w:style>
  <w:style w:type="paragraph" w:styleId="29">
    <w:name w:val="toc 2"/>
    <w:basedOn w:val="1"/>
    <w:next w:val="1"/>
    <w:autoRedefine/>
    <w:unhideWhenUsed/>
    <w:qFormat/>
    <w:uiPriority w:val="39"/>
    <w:pPr>
      <w:ind w:left="280"/>
      <w:jc w:val="left"/>
    </w:pPr>
    <w:rPr>
      <w:rFonts w:asciiTheme="minorHAnsi" w:hAnsiTheme="minorHAnsi"/>
      <w:smallCaps/>
      <w:sz w:val="20"/>
      <w:szCs w:val="20"/>
    </w:rPr>
  </w:style>
  <w:style w:type="paragraph" w:styleId="30">
    <w:name w:val="toc 9"/>
    <w:basedOn w:val="1"/>
    <w:next w:val="1"/>
    <w:autoRedefine/>
    <w:unhideWhenUsed/>
    <w:qFormat/>
    <w:uiPriority w:val="39"/>
    <w:pPr>
      <w:ind w:left="2240"/>
      <w:jc w:val="left"/>
    </w:pPr>
    <w:rPr>
      <w:rFonts w:asciiTheme="minorHAnsi" w:hAnsiTheme="minorHAnsi"/>
      <w:sz w:val="18"/>
      <w:szCs w:val="18"/>
    </w:rPr>
  </w:style>
  <w:style w:type="paragraph" w:styleId="31">
    <w:name w:val="Body Text 2"/>
    <w:basedOn w:val="1"/>
    <w:link w:val="102"/>
    <w:autoRedefine/>
    <w:qFormat/>
    <w:uiPriority w:val="99"/>
    <w:pPr>
      <w:adjustRightInd w:val="0"/>
      <w:snapToGrid w:val="0"/>
      <w:spacing w:line="480" w:lineRule="atLeast"/>
    </w:pPr>
    <w:rPr>
      <w:rFonts w:ascii="宋体" w:hAnsi="宋体"/>
    </w:rPr>
  </w:style>
  <w:style w:type="paragraph" w:styleId="32">
    <w:name w:val="Message Header"/>
    <w:basedOn w:val="1"/>
    <w:next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33">
    <w:name w:val="Normal (Web)"/>
    <w:basedOn w:val="1"/>
    <w:autoRedefine/>
    <w:qFormat/>
    <w:uiPriority w:val="99"/>
    <w:pPr>
      <w:spacing w:beforeAutospacing="1" w:afterAutospacing="1"/>
      <w:jc w:val="left"/>
    </w:pPr>
    <w:rPr>
      <w:kern w:val="0"/>
      <w:sz w:val="24"/>
    </w:rPr>
  </w:style>
  <w:style w:type="paragraph" w:styleId="34">
    <w:name w:val="Title"/>
    <w:basedOn w:val="1"/>
    <w:next w:val="1"/>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35">
    <w:name w:val="annotation subject"/>
    <w:basedOn w:val="10"/>
    <w:next w:val="1"/>
    <w:link w:val="101"/>
    <w:autoRedefine/>
    <w:semiHidden/>
    <w:unhideWhenUsed/>
    <w:qFormat/>
    <w:uiPriority w:val="99"/>
    <w:rPr>
      <w:rFonts w:ascii="Calibri" w:cs="Calibri"/>
      <w:b/>
      <w:bCs/>
      <w:kern w:val="2"/>
      <w:sz w:val="21"/>
      <w:szCs w:val="21"/>
    </w:rPr>
  </w:style>
  <w:style w:type="paragraph" w:styleId="36">
    <w:name w:val="Body Text First Indent"/>
    <w:basedOn w:val="12"/>
    <w:autoRedefine/>
    <w:qFormat/>
    <w:uiPriority w:val="0"/>
    <w:pPr>
      <w:ind w:firstLine="420" w:firstLineChars="100"/>
    </w:pPr>
  </w:style>
  <w:style w:type="paragraph" w:styleId="37">
    <w:name w:val="Body Text First Indent 2"/>
    <w:basedOn w:val="13"/>
    <w:next w:val="38"/>
    <w:autoRedefine/>
    <w:qFormat/>
    <w:uiPriority w:val="99"/>
    <w:pPr>
      <w:tabs>
        <w:tab w:val="left" w:pos="4900"/>
      </w:tabs>
      <w:ind w:firstLine="420" w:firstLineChars="200"/>
    </w:pPr>
  </w:style>
  <w:style w:type="paragraph" w:customStyle="1" w:styleId="38">
    <w:name w:val="样式 标题 3 + (中文) 黑体 小四 非加粗 段前: 7.8 磅 段后: 0 磅 行距: 固定值 20 磅_0"/>
    <w:basedOn w:val="39"/>
    <w:qFormat/>
    <w:uiPriority w:val="0"/>
    <w:pPr>
      <w:spacing w:before="0" w:after="0" w:line="400" w:lineRule="exact"/>
    </w:pPr>
    <w:rPr>
      <w:rFonts w:ascii="Times New Roman" w:hAnsi="Times New Roman" w:eastAsia="黑体" w:cs="宋体"/>
      <w:b w:val="0"/>
      <w:bCs w:val="0"/>
      <w:sz w:val="21"/>
      <w:szCs w:val="20"/>
    </w:rPr>
  </w:style>
  <w:style w:type="paragraph" w:customStyle="1" w:styleId="39">
    <w:name w:val="标题 3_0"/>
    <w:basedOn w:val="40"/>
    <w:next w:val="41"/>
    <w:qFormat/>
    <w:uiPriority w:val="0"/>
    <w:pPr>
      <w:keepNext/>
      <w:keepLines/>
      <w:spacing w:before="260" w:after="260" w:line="416" w:lineRule="auto"/>
      <w:outlineLvl w:val="2"/>
    </w:pPr>
    <w:rPr>
      <w:rFonts w:ascii="Calibri" w:hAnsi="Calibri" w:eastAsia="宋体"/>
      <w:b/>
      <w:bCs/>
      <w:sz w:val="32"/>
      <w:szCs w:val="32"/>
    </w:rPr>
  </w:style>
  <w:style w:type="paragraph" w:customStyle="1" w:styleId="40">
    <w:name w:val="正文_0"/>
    <w:next w:val="3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正文_1"/>
    <w:next w:val="37"/>
    <w:qFormat/>
    <w:uiPriority w:val="0"/>
    <w:pPr>
      <w:widowControl w:val="0"/>
      <w:jc w:val="both"/>
    </w:pPr>
    <w:rPr>
      <w:rFonts w:ascii="Calibri" w:hAnsi="Calibri" w:eastAsia="仿宋_GB2312" w:cs="Times New Roman"/>
      <w:kern w:val="2"/>
      <w:sz w:val="21"/>
      <w:szCs w:val="22"/>
      <w:lang w:val="en-US" w:eastAsia="zh-CN" w:bidi="ar-SA"/>
    </w:rPr>
  </w:style>
  <w:style w:type="table" w:styleId="43">
    <w:name w:val="Table Grid"/>
    <w:basedOn w:val="42"/>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autoRedefine/>
    <w:qFormat/>
    <w:uiPriority w:val="99"/>
    <w:rPr>
      <w:b/>
      <w:bCs/>
      <w:sz w:val="24"/>
      <w:szCs w:val="24"/>
    </w:rPr>
  </w:style>
  <w:style w:type="character" w:styleId="46">
    <w:name w:val="page number"/>
    <w:basedOn w:val="44"/>
    <w:autoRedefine/>
    <w:qFormat/>
    <w:uiPriority w:val="99"/>
    <w:rPr>
      <w:rFonts w:ascii="Times New Roman" w:hAnsi="Times New Roman" w:eastAsia="宋体" w:cs="Times New Roman"/>
    </w:rPr>
  </w:style>
  <w:style w:type="character" w:styleId="47">
    <w:name w:val="FollowedHyperlink"/>
    <w:autoRedefine/>
    <w:qFormat/>
    <w:uiPriority w:val="99"/>
    <w:rPr>
      <w:rFonts w:hint="eastAsia" w:ascii="宋体" w:hAnsi="宋体" w:eastAsia="宋体" w:cs="宋体"/>
      <w:color w:val="000000"/>
      <w:sz w:val="18"/>
      <w:szCs w:val="18"/>
      <w:u w:val="none"/>
    </w:rPr>
  </w:style>
  <w:style w:type="character" w:styleId="48">
    <w:name w:val="Emphasis"/>
    <w:basedOn w:val="44"/>
    <w:autoRedefine/>
    <w:qFormat/>
    <w:uiPriority w:val="99"/>
  </w:style>
  <w:style w:type="character" w:styleId="49">
    <w:name w:val="Hyperlink"/>
    <w:autoRedefine/>
    <w:qFormat/>
    <w:uiPriority w:val="99"/>
    <w:rPr>
      <w:rFonts w:cs="Times New Roman"/>
      <w:color w:val="000000"/>
      <w:sz w:val="18"/>
      <w:u w:val="none"/>
    </w:rPr>
  </w:style>
  <w:style w:type="character" w:styleId="50">
    <w:name w:val="annotation reference"/>
    <w:basedOn w:val="44"/>
    <w:autoRedefine/>
    <w:semiHidden/>
    <w:qFormat/>
    <w:uiPriority w:val="99"/>
    <w:rPr>
      <w:sz w:val="21"/>
      <w:szCs w:val="21"/>
    </w:rPr>
  </w:style>
  <w:style w:type="character" w:styleId="51">
    <w:name w:val="HTML Cite"/>
    <w:basedOn w:val="44"/>
    <w:autoRedefine/>
    <w:qFormat/>
    <w:uiPriority w:val="99"/>
  </w:style>
  <w:style w:type="character" w:styleId="52">
    <w:name w:val="footnote reference"/>
    <w:basedOn w:val="44"/>
    <w:autoRedefine/>
    <w:semiHidden/>
    <w:unhideWhenUsed/>
    <w:qFormat/>
    <w:uiPriority w:val="99"/>
    <w:rPr>
      <w:vertAlign w:val="superscript"/>
    </w:rPr>
  </w:style>
  <w:style w:type="paragraph" w:customStyle="1" w:styleId="53">
    <w:name w:val="TOC 标题1"/>
    <w:basedOn w:val="2"/>
    <w:next w:val="1"/>
    <w:autoRedefine/>
    <w:unhideWhenUsed/>
    <w:qFormat/>
    <w:uiPriority w:val="39"/>
    <w:pPr>
      <w:widowControl/>
      <w:spacing w:before="480" w:after="0" w:line="276" w:lineRule="auto"/>
      <w:jc w:val="left"/>
      <w:outlineLvl w:val="9"/>
    </w:pPr>
    <w:rPr>
      <w:rFonts w:ascii="Calibri Light" w:hAnsi="Calibri Light"/>
      <w:color w:val="2E75B5"/>
      <w:kern w:val="0"/>
      <w:sz w:val="28"/>
      <w:szCs w:val="28"/>
    </w:rPr>
  </w:style>
  <w:style w:type="paragraph" w:customStyle="1" w:styleId="54">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55">
    <w:name w:val="列出段落1"/>
    <w:basedOn w:val="1"/>
    <w:autoRedefine/>
    <w:qFormat/>
    <w:uiPriority w:val="99"/>
    <w:pPr>
      <w:spacing w:line="240" w:lineRule="auto"/>
      <w:ind w:firstLine="420" w:firstLineChars="200"/>
      <w:jc w:val="left"/>
    </w:pPr>
    <w:rPr>
      <w:rFonts w:ascii="Times New Roman" w:hAnsi="Times New Roman" w:eastAsia="宋体"/>
      <w:kern w:val="0"/>
      <w:sz w:val="24"/>
      <w:szCs w:val="24"/>
      <w:lang w:val="en-AU" w:eastAsia="en-US"/>
    </w:rPr>
  </w:style>
  <w:style w:type="character" w:customStyle="1" w:styleId="56">
    <w:name w:val="标题 1 Char"/>
    <w:link w:val="2"/>
    <w:autoRedefine/>
    <w:qFormat/>
    <w:uiPriority w:val="99"/>
    <w:rPr>
      <w:rFonts w:cs="Times New Roman"/>
      <w:b/>
      <w:bCs/>
      <w:kern w:val="44"/>
      <w:sz w:val="44"/>
      <w:szCs w:val="44"/>
    </w:rPr>
  </w:style>
  <w:style w:type="character" w:customStyle="1" w:styleId="57">
    <w:name w:val="标题 2 Char"/>
    <w:link w:val="3"/>
    <w:autoRedefine/>
    <w:qFormat/>
    <w:uiPriority w:val="99"/>
    <w:rPr>
      <w:rFonts w:ascii="Calibri" w:hAnsi="Calibri" w:eastAsia="华文仿宋" w:cs="Times New Roman"/>
      <w:b/>
      <w:bCs/>
      <w:sz w:val="32"/>
      <w:szCs w:val="32"/>
    </w:rPr>
  </w:style>
  <w:style w:type="character" w:customStyle="1" w:styleId="58">
    <w:name w:val="标题 3 Char"/>
    <w:link w:val="4"/>
    <w:autoRedefine/>
    <w:qFormat/>
    <w:uiPriority w:val="99"/>
    <w:rPr>
      <w:rFonts w:cs="Times New Roman"/>
      <w:b/>
      <w:bCs/>
      <w:sz w:val="32"/>
      <w:szCs w:val="32"/>
      <w:u w:val="double"/>
    </w:rPr>
  </w:style>
  <w:style w:type="character" w:customStyle="1" w:styleId="59">
    <w:name w:val="文档结构图 Char"/>
    <w:link w:val="9"/>
    <w:autoRedefine/>
    <w:qFormat/>
    <w:uiPriority w:val="99"/>
    <w:rPr>
      <w:rFonts w:ascii="宋体" w:eastAsia="宋体" w:cs="Times New Roman"/>
      <w:sz w:val="18"/>
      <w:szCs w:val="18"/>
    </w:rPr>
  </w:style>
  <w:style w:type="character" w:customStyle="1" w:styleId="60">
    <w:name w:val="纯文本 Char"/>
    <w:link w:val="18"/>
    <w:autoRedefine/>
    <w:qFormat/>
    <w:uiPriority w:val="0"/>
    <w:rPr>
      <w:rFonts w:ascii="宋体" w:hAnsi="Courier New" w:eastAsia="宋体" w:cs="Courier New"/>
      <w:sz w:val="21"/>
      <w:szCs w:val="21"/>
    </w:rPr>
  </w:style>
  <w:style w:type="character" w:customStyle="1" w:styleId="61">
    <w:name w:val="日期 Char"/>
    <w:link w:val="20"/>
    <w:autoRedefine/>
    <w:qFormat/>
    <w:uiPriority w:val="0"/>
    <w:rPr>
      <w:rFonts w:ascii="Calibri Light" w:hAnsi="Calibri Light" w:eastAsia="华文仿宋" w:cs="Times New Roman"/>
      <w:sz w:val="28"/>
    </w:rPr>
  </w:style>
  <w:style w:type="character" w:customStyle="1" w:styleId="62">
    <w:name w:val="批注框文本 Char"/>
    <w:link w:val="22"/>
    <w:autoRedefine/>
    <w:qFormat/>
    <w:uiPriority w:val="99"/>
    <w:rPr>
      <w:rFonts w:cs="Times New Roman"/>
      <w:sz w:val="18"/>
      <w:szCs w:val="18"/>
    </w:rPr>
  </w:style>
  <w:style w:type="character" w:customStyle="1" w:styleId="63">
    <w:name w:val="页脚 Char"/>
    <w:link w:val="23"/>
    <w:autoRedefine/>
    <w:qFormat/>
    <w:uiPriority w:val="99"/>
    <w:rPr>
      <w:rFonts w:cs="Times New Roman"/>
      <w:sz w:val="18"/>
    </w:rPr>
  </w:style>
  <w:style w:type="character" w:customStyle="1" w:styleId="64">
    <w:name w:val="页眉 Char"/>
    <w:link w:val="24"/>
    <w:autoRedefine/>
    <w:qFormat/>
    <w:uiPriority w:val="99"/>
    <w:rPr>
      <w:rFonts w:cs="Times New Roman"/>
      <w:sz w:val="18"/>
    </w:rPr>
  </w:style>
  <w:style w:type="paragraph" w:customStyle="1" w:styleId="65">
    <w:name w:val="正文（缩进 2 字符）"/>
    <w:basedOn w:val="1"/>
    <w:autoRedefine/>
    <w:qFormat/>
    <w:uiPriority w:val="99"/>
    <w:pPr>
      <w:ind w:firstLine="200" w:firstLineChars="200"/>
    </w:pPr>
  </w:style>
  <w:style w:type="paragraph" w:customStyle="1" w:styleId="66">
    <w:name w:val="正文（缩进 4 字符）"/>
    <w:basedOn w:val="1"/>
    <w:autoRedefine/>
    <w:qFormat/>
    <w:uiPriority w:val="99"/>
    <w:pPr>
      <w:ind w:firstLine="1134" w:firstLineChars="400"/>
    </w:pPr>
  </w:style>
  <w:style w:type="paragraph" w:customStyle="1" w:styleId="67">
    <w:name w:val="标题 2（投标文件）"/>
    <w:basedOn w:val="3"/>
    <w:autoRedefine/>
    <w:qFormat/>
    <w:uiPriority w:val="99"/>
    <w:pPr>
      <w:jc w:val="center"/>
    </w:pPr>
  </w:style>
  <w:style w:type="character" w:customStyle="1" w:styleId="68">
    <w:name w:val="页眉 Char1"/>
    <w:autoRedefine/>
    <w:qFormat/>
    <w:uiPriority w:val="99"/>
    <w:rPr>
      <w:rFonts w:cs="Times New Roman"/>
      <w:sz w:val="18"/>
      <w:szCs w:val="18"/>
    </w:rPr>
  </w:style>
  <w:style w:type="character" w:customStyle="1" w:styleId="69">
    <w:name w:val="页脚 Char1"/>
    <w:autoRedefine/>
    <w:qFormat/>
    <w:uiPriority w:val="99"/>
    <w:rPr>
      <w:rFonts w:cs="Times New Roman"/>
      <w:sz w:val="18"/>
      <w:szCs w:val="18"/>
    </w:rPr>
  </w:style>
  <w:style w:type="paragraph" w:customStyle="1" w:styleId="70">
    <w:name w:val="标题 3（投标文件）"/>
    <w:basedOn w:val="4"/>
    <w:autoRedefine/>
    <w:qFormat/>
    <w:uiPriority w:val="99"/>
    <w:pPr>
      <w:jc w:val="left"/>
    </w:pPr>
    <w:rPr>
      <w:u w:val="none"/>
    </w:rPr>
  </w:style>
  <w:style w:type="table" w:customStyle="1" w:styleId="71">
    <w:name w:val="网格型1"/>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2">
    <w:name w:val="网格型2"/>
    <w:basedOn w:val="42"/>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3">
    <w:name w:val="网格型11"/>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4">
    <w:name w:val="grace"/>
    <w:basedOn w:val="44"/>
    <w:autoRedefine/>
    <w:qFormat/>
    <w:uiPriority w:val="0"/>
  </w:style>
  <w:style w:type="character" w:customStyle="1" w:styleId="75">
    <w:name w:val="mark"/>
    <w:autoRedefine/>
    <w:qFormat/>
    <w:uiPriority w:val="0"/>
    <w:rPr>
      <w:color w:val="CC2200"/>
    </w:rPr>
  </w:style>
  <w:style w:type="character" w:customStyle="1" w:styleId="76">
    <w:name w:val="subtext"/>
    <w:autoRedefine/>
    <w:qFormat/>
    <w:uiPriority w:val="0"/>
    <w:rPr>
      <w:color w:val="888888"/>
    </w:rPr>
  </w:style>
  <w:style w:type="character" w:customStyle="1" w:styleId="77">
    <w:name w:val="span-text"/>
    <w:basedOn w:val="44"/>
    <w:autoRedefine/>
    <w:qFormat/>
    <w:uiPriority w:val="0"/>
  </w:style>
  <w:style w:type="character" w:customStyle="1" w:styleId="78">
    <w:name w:val="view-vip1"/>
    <w:basedOn w:val="44"/>
    <w:autoRedefine/>
    <w:qFormat/>
    <w:uiPriority w:val="0"/>
  </w:style>
  <w:style w:type="character" w:customStyle="1" w:styleId="79">
    <w:name w:val="view-vip"/>
    <w:basedOn w:val="44"/>
    <w:autoRedefine/>
    <w:qFormat/>
    <w:uiPriority w:val="0"/>
  </w:style>
  <w:style w:type="character" w:customStyle="1" w:styleId="80">
    <w:name w:val="grace6"/>
    <w:basedOn w:val="44"/>
    <w:autoRedefine/>
    <w:qFormat/>
    <w:uiPriority w:val="0"/>
  </w:style>
  <w:style w:type="character" w:customStyle="1" w:styleId="81">
    <w:name w:val="r-time"/>
    <w:autoRedefine/>
    <w:qFormat/>
    <w:uiPriority w:val="0"/>
    <w:rPr>
      <w:color w:val="B30000"/>
    </w:rPr>
  </w:style>
  <w:style w:type="character" w:customStyle="1" w:styleId="82">
    <w:name w:val="r-text"/>
    <w:autoRedefine/>
    <w:qFormat/>
    <w:uiPriority w:val="0"/>
    <w:rPr>
      <w:color w:val="00349B"/>
    </w:rPr>
  </w:style>
  <w:style w:type="character" w:customStyle="1" w:styleId="83">
    <w:name w:val="grace5"/>
    <w:basedOn w:val="44"/>
    <w:autoRedefine/>
    <w:qFormat/>
    <w:uiPriority w:val="0"/>
  </w:style>
  <w:style w:type="character" w:customStyle="1" w:styleId="84">
    <w:name w:val="redfilenumber"/>
    <w:autoRedefine/>
    <w:qFormat/>
    <w:uiPriority w:val="0"/>
    <w:rPr>
      <w:color w:val="BA2636"/>
      <w:sz w:val="18"/>
      <w:szCs w:val="18"/>
    </w:rPr>
  </w:style>
  <w:style w:type="character" w:customStyle="1" w:styleId="85">
    <w:name w:val="cfdate"/>
    <w:autoRedefine/>
    <w:qFormat/>
    <w:uiPriority w:val="0"/>
    <w:rPr>
      <w:color w:val="333333"/>
      <w:sz w:val="18"/>
      <w:szCs w:val="18"/>
    </w:rPr>
  </w:style>
  <w:style w:type="character" w:customStyle="1" w:styleId="86">
    <w:name w:val="qxdate"/>
    <w:autoRedefine/>
    <w:qFormat/>
    <w:uiPriority w:val="0"/>
    <w:rPr>
      <w:color w:val="333333"/>
      <w:sz w:val="18"/>
      <w:szCs w:val="18"/>
    </w:rPr>
  </w:style>
  <w:style w:type="character" w:customStyle="1" w:styleId="87">
    <w:name w:val="gjfg"/>
    <w:basedOn w:val="44"/>
    <w:autoRedefine/>
    <w:qFormat/>
    <w:uiPriority w:val="0"/>
  </w:style>
  <w:style w:type="character" w:customStyle="1" w:styleId="88">
    <w:name w:val="redfilefwwh"/>
    <w:autoRedefine/>
    <w:qFormat/>
    <w:uiPriority w:val="0"/>
    <w:rPr>
      <w:color w:val="BA2636"/>
      <w:sz w:val="18"/>
      <w:szCs w:val="18"/>
    </w:rPr>
  </w:style>
  <w:style w:type="character" w:customStyle="1" w:styleId="89">
    <w:name w:val="displayarti"/>
    <w:autoRedefine/>
    <w:qFormat/>
    <w:uiPriority w:val="0"/>
    <w:rPr>
      <w:color w:val="FFFFFF"/>
      <w:shd w:val="clear" w:color="auto" w:fill="A00000"/>
    </w:rPr>
  </w:style>
  <w:style w:type="paragraph" w:customStyle="1" w:styleId="90">
    <w:name w:val="样式 标题 3 + (中文) 黑体 小四 非加粗 段前: 7.8 磅 段后: 0 磅 行距: 固定值 20 磅"/>
    <w:basedOn w:val="4"/>
    <w:link w:val="91"/>
    <w:autoRedefine/>
    <w:qFormat/>
    <w:uiPriority w:val="0"/>
    <w:pPr>
      <w:widowControl w:val="0"/>
      <w:spacing w:line="400" w:lineRule="exact"/>
      <w:jc w:val="both"/>
    </w:pPr>
    <w:rPr>
      <w:rFonts w:ascii="Times New Roman" w:hAnsi="Times New Roman" w:eastAsia="黑体" w:cs="宋体"/>
      <w:b w:val="0"/>
      <w:bCs w:val="0"/>
      <w:sz w:val="24"/>
      <w:szCs w:val="20"/>
      <w:u w:val="none"/>
    </w:rPr>
  </w:style>
  <w:style w:type="character" w:customStyle="1" w:styleId="91">
    <w:name w:val="样式 标题 3 + (中文) 黑体 小四 非加粗 段前: 7.8 磅 段后: 0 磅 行距: 固定值 20 磅 Char Char"/>
    <w:link w:val="90"/>
    <w:autoRedefine/>
    <w:qFormat/>
    <w:uiPriority w:val="0"/>
    <w:rPr>
      <w:rFonts w:eastAsia="黑体" w:cs="宋体"/>
      <w:kern w:val="2"/>
      <w:sz w:val="24"/>
    </w:rPr>
  </w:style>
  <w:style w:type="paragraph" w:styleId="92">
    <w:name w:val="List Paragraph"/>
    <w:basedOn w:val="1"/>
    <w:autoRedefine/>
    <w:qFormat/>
    <w:uiPriority w:val="99"/>
    <w:pPr>
      <w:ind w:firstLine="420" w:firstLineChars="200"/>
    </w:pPr>
  </w:style>
  <w:style w:type="table" w:customStyle="1" w:styleId="93">
    <w:name w:val="TableGrid"/>
    <w:autoRedefine/>
    <w:qFormat/>
    <w:uiPriority w:val="0"/>
    <w:rPr>
      <w:rFonts w:asciiTheme="minorHAnsi" w:hAnsiTheme="minorHAnsi" w:eastAsiaTheme="minorEastAsia" w:cstheme="minorBidi"/>
      <w:kern w:val="2"/>
      <w:sz w:val="21"/>
      <w:szCs w:val="22"/>
    </w:rPr>
    <w:tblPr>
      <w:tblCellMar>
        <w:top w:w="0" w:type="dxa"/>
        <w:left w:w="0" w:type="dxa"/>
        <w:bottom w:w="0" w:type="dxa"/>
        <w:right w:w="0" w:type="dxa"/>
      </w:tblCellMar>
    </w:tblPr>
  </w:style>
  <w:style w:type="character" w:customStyle="1" w:styleId="94">
    <w:name w:val="标题 4 Char"/>
    <w:basedOn w:val="44"/>
    <w:link w:val="5"/>
    <w:autoRedefine/>
    <w:qFormat/>
    <w:uiPriority w:val="9"/>
    <w:rPr>
      <w:rFonts w:ascii="仿宋" w:hAnsi="仿宋" w:eastAsia="仿宋" w:cs="仿宋"/>
      <w:b/>
      <w:bCs/>
      <w:kern w:val="2"/>
      <w:sz w:val="28"/>
      <w:szCs w:val="28"/>
      <w:lang w:val="ja-JP" w:eastAsia="ja-JP" w:bidi="ja-JP"/>
    </w:rPr>
  </w:style>
  <w:style w:type="character" w:customStyle="1" w:styleId="95">
    <w:name w:val="正文文本 Char"/>
    <w:basedOn w:val="44"/>
    <w:link w:val="12"/>
    <w:autoRedefine/>
    <w:qFormat/>
    <w:uiPriority w:val="99"/>
    <w:rPr>
      <w:rFonts w:ascii="仿宋" w:hAnsi="仿宋" w:eastAsia="仿宋" w:cs="仿宋"/>
      <w:kern w:val="2"/>
      <w:sz w:val="28"/>
      <w:szCs w:val="28"/>
      <w:lang w:val="ja-JP" w:eastAsia="ja-JP" w:bidi="ja-JP"/>
    </w:rPr>
  </w:style>
  <w:style w:type="character" w:customStyle="1" w:styleId="96">
    <w:name w:val="font01"/>
    <w:basedOn w:val="44"/>
    <w:autoRedefine/>
    <w:qFormat/>
    <w:uiPriority w:val="0"/>
    <w:rPr>
      <w:rFonts w:hint="eastAsia" w:ascii="宋体" w:hAnsi="宋体" w:eastAsia="宋体" w:cs="宋体"/>
      <w:color w:val="000000"/>
      <w:sz w:val="20"/>
      <w:szCs w:val="20"/>
      <w:u w:val="none"/>
    </w:rPr>
  </w:style>
  <w:style w:type="character" w:customStyle="1" w:styleId="97">
    <w:name w:val="批注文字 Char"/>
    <w:basedOn w:val="44"/>
    <w:link w:val="10"/>
    <w:autoRedefine/>
    <w:semiHidden/>
    <w:qFormat/>
    <w:uiPriority w:val="99"/>
    <w:rPr>
      <w:rFonts w:ascii="宋体" w:hAnsi="Calibri" w:cs="宋体"/>
      <w:sz w:val="34"/>
      <w:szCs w:val="34"/>
    </w:rPr>
  </w:style>
  <w:style w:type="character" w:customStyle="1" w:styleId="98">
    <w:name w:val="正文文本缩进 Char"/>
    <w:basedOn w:val="44"/>
    <w:link w:val="13"/>
    <w:autoRedefine/>
    <w:qFormat/>
    <w:uiPriority w:val="99"/>
    <w:rPr>
      <w:rFonts w:ascii="Calibri" w:hAnsi="Calibri" w:cs="Calibri"/>
      <w:kern w:val="2"/>
      <w:sz w:val="21"/>
      <w:szCs w:val="21"/>
    </w:rPr>
  </w:style>
  <w:style w:type="character" w:customStyle="1" w:styleId="99">
    <w:name w:val="正文文本缩进 2 Char"/>
    <w:basedOn w:val="44"/>
    <w:link w:val="21"/>
    <w:autoRedefine/>
    <w:qFormat/>
    <w:uiPriority w:val="99"/>
    <w:rPr>
      <w:rFonts w:ascii="Calibri" w:hAnsi="Calibri" w:cs="Calibri"/>
      <w:kern w:val="2"/>
      <w:sz w:val="21"/>
      <w:szCs w:val="21"/>
    </w:rPr>
  </w:style>
  <w:style w:type="character" w:customStyle="1" w:styleId="100">
    <w:name w:val="脚注文本 Char"/>
    <w:basedOn w:val="44"/>
    <w:link w:val="27"/>
    <w:autoRedefine/>
    <w:semiHidden/>
    <w:qFormat/>
    <w:uiPriority w:val="99"/>
    <w:rPr>
      <w:rFonts w:ascii="Calibri" w:hAnsi="Calibri" w:cs="Calibri"/>
      <w:kern w:val="2"/>
      <w:sz w:val="18"/>
      <w:szCs w:val="21"/>
    </w:rPr>
  </w:style>
  <w:style w:type="character" w:customStyle="1" w:styleId="101">
    <w:name w:val="批注主题 Char"/>
    <w:basedOn w:val="97"/>
    <w:link w:val="35"/>
    <w:autoRedefine/>
    <w:semiHidden/>
    <w:qFormat/>
    <w:uiPriority w:val="99"/>
    <w:rPr>
      <w:rFonts w:ascii="Calibri" w:hAnsi="Calibri" w:cs="Calibri"/>
      <w:b/>
      <w:bCs/>
      <w:kern w:val="2"/>
      <w:sz w:val="21"/>
      <w:szCs w:val="21"/>
    </w:rPr>
  </w:style>
  <w:style w:type="character" w:customStyle="1" w:styleId="102">
    <w:name w:val="正文文本 2 Char"/>
    <w:link w:val="31"/>
    <w:autoRedefine/>
    <w:qFormat/>
    <w:locked/>
    <w:uiPriority w:val="99"/>
    <w:rPr>
      <w:rFonts w:ascii="宋体" w:hAnsi="宋体" w:eastAsia="华文仿宋"/>
      <w:kern w:val="2"/>
      <w:sz w:val="28"/>
      <w:szCs w:val="28"/>
    </w:rPr>
  </w:style>
  <w:style w:type="paragraph" w:customStyle="1" w:styleId="103">
    <w:name w:val="Char2 Char Char Char"/>
    <w:basedOn w:val="1"/>
    <w:autoRedefine/>
    <w:qFormat/>
    <w:uiPriority w:val="99"/>
    <w:pPr>
      <w:widowControl w:val="0"/>
      <w:spacing w:line="240" w:lineRule="auto"/>
    </w:pPr>
    <w:rPr>
      <w:rFonts w:ascii="Tahoma" w:hAnsi="Tahoma" w:eastAsia="宋体" w:cs="Tahoma"/>
      <w:sz w:val="24"/>
      <w:szCs w:val="24"/>
    </w:rPr>
  </w:style>
  <w:style w:type="character" w:customStyle="1" w:styleId="104">
    <w:name w:val="10"/>
    <w:autoRedefine/>
    <w:qFormat/>
    <w:uiPriority w:val="99"/>
    <w:rPr>
      <w:rFonts w:ascii="Calibri" w:hAnsi="Calibri" w:cs="Calibri"/>
    </w:rPr>
  </w:style>
  <w:style w:type="character" w:customStyle="1" w:styleId="105">
    <w:name w:val="15"/>
    <w:autoRedefine/>
    <w:qFormat/>
    <w:uiPriority w:val="99"/>
    <w:rPr>
      <w:rFonts w:ascii="Calibri" w:hAnsi="Calibri" w:cs="Calibri"/>
      <w:i/>
      <w:iCs/>
    </w:rPr>
  </w:style>
  <w:style w:type="paragraph" w:customStyle="1" w:styleId="106">
    <w:name w:val="_Style 2"/>
    <w:basedOn w:val="1"/>
    <w:autoRedefine/>
    <w:qFormat/>
    <w:uiPriority w:val="99"/>
    <w:pPr>
      <w:widowControl w:val="0"/>
      <w:spacing w:line="240" w:lineRule="auto"/>
      <w:ind w:firstLine="420" w:firstLineChars="200"/>
    </w:pPr>
    <w:rPr>
      <w:rFonts w:ascii="Calibri" w:hAnsi="Calibri" w:eastAsia="宋体" w:cs="Calibri"/>
      <w:sz w:val="21"/>
      <w:szCs w:val="21"/>
    </w:rPr>
  </w:style>
  <w:style w:type="character" w:customStyle="1" w:styleId="107">
    <w:name w:val="apple-style-span"/>
    <w:autoRedefine/>
    <w:qFormat/>
    <w:uiPriority w:val="99"/>
  </w:style>
  <w:style w:type="character" w:customStyle="1" w:styleId="108">
    <w:name w:val="del"/>
    <w:basedOn w:val="44"/>
    <w:autoRedefine/>
    <w:qFormat/>
    <w:uiPriority w:val="99"/>
  </w:style>
  <w:style w:type="character" w:customStyle="1" w:styleId="109">
    <w:name w:val="del1"/>
    <w:autoRedefine/>
    <w:qFormat/>
    <w:uiPriority w:val="99"/>
    <w:rPr>
      <w:vanish/>
      <w:color w:val="auto"/>
      <w:sz w:val="18"/>
      <w:szCs w:val="18"/>
      <w:u w:val="single"/>
    </w:rPr>
  </w:style>
  <w:style w:type="character" w:customStyle="1" w:styleId="110">
    <w:name w:val="del2"/>
    <w:autoRedefine/>
    <w:qFormat/>
    <w:uiPriority w:val="99"/>
    <w:rPr>
      <w:vanish/>
    </w:rPr>
  </w:style>
  <w:style w:type="character" w:customStyle="1" w:styleId="111">
    <w:name w:val="del3"/>
    <w:autoRedefine/>
    <w:qFormat/>
    <w:uiPriority w:val="99"/>
    <w:rPr>
      <w:vanish/>
    </w:rPr>
  </w:style>
  <w:style w:type="paragraph" w:customStyle="1" w:styleId="112">
    <w:name w:val="_Style 4"/>
    <w:basedOn w:val="1"/>
    <w:autoRedefine/>
    <w:qFormat/>
    <w:uiPriority w:val="99"/>
    <w:pPr>
      <w:widowControl w:val="0"/>
      <w:spacing w:line="240" w:lineRule="auto"/>
      <w:ind w:firstLine="420" w:firstLineChars="200"/>
    </w:pPr>
    <w:rPr>
      <w:rFonts w:ascii="Calibri" w:hAnsi="Calibri" w:eastAsia="宋体" w:cs="Calibri"/>
      <w:sz w:val="21"/>
      <w:szCs w:val="21"/>
    </w:rPr>
  </w:style>
  <w:style w:type="paragraph" w:customStyle="1" w:styleId="113">
    <w:name w:val="pa-19"/>
    <w:basedOn w:val="1"/>
    <w:autoRedefine/>
    <w:qFormat/>
    <w:uiPriority w:val="99"/>
    <w:pPr>
      <w:spacing w:before="100" w:beforeAutospacing="1" w:after="100" w:afterAutospacing="1" w:line="240" w:lineRule="auto"/>
      <w:jc w:val="left"/>
    </w:pPr>
    <w:rPr>
      <w:rFonts w:ascii="宋体" w:hAnsi="宋体" w:eastAsia="宋体" w:cs="宋体"/>
      <w:kern w:val="0"/>
      <w:sz w:val="24"/>
      <w:szCs w:val="24"/>
    </w:rPr>
  </w:style>
  <w:style w:type="paragraph" w:customStyle="1" w:styleId="114">
    <w:name w:val="首行缩进"/>
    <w:basedOn w:val="1"/>
    <w:autoRedefine/>
    <w:qFormat/>
    <w:uiPriority w:val="99"/>
    <w:pPr>
      <w:tabs>
        <w:tab w:val="left" w:pos="735"/>
      </w:tabs>
      <w:spacing w:line="460" w:lineRule="exact"/>
      <w:ind w:firstLine="200" w:firstLineChars="200"/>
      <w:jc w:val="left"/>
    </w:pPr>
    <w:rPr>
      <w:rFonts w:ascii="Times New Roman" w:hAnsi="Times New Roman" w:eastAsia="宋体"/>
      <w:kern w:val="0"/>
      <w:sz w:val="24"/>
      <w:szCs w:val="24"/>
    </w:rPr>
  </w:style>
  <w:style w:type="character" w:customStyle="1" w:styleId="115">
    <w:name w:val="font101"/>
    <w:basedOn w:val="44"/>
    <w:autoRedefine/>
    <w:qFormat/>
    <w:uiPriority w:val="0"/>
    <w:rPr>
      <w:rFonts w:hint="eastAsia" w:ascii="宋体" w:hAnsi="宋体" w:eastAsia="宋体" w:cs="宋体"/>
      <w:color w:val="000000"/>
      <w:sz w:val="24"/>
      <w:szCs w:val="24"/>
      <w:u w:val="none"/>
    </w:rPr>
  </w:style>
  <w:style w:type="character" w:customStyle="1" w:styleId="116">
    <w:name w:val="font91"/>
    <w:basedOn w:val="44"/>
    <w:autoRedefine/>
    <w:qFormat/>
    <w:uiPriority w:val="0"/>
    <w:rPr>
      <w:rFonts w:hint="eastAsia" w:ascii="宋体" w:hAnsi="宋体" w:eastAsia="宋体" w:cs="宋体"/>
      <w:color w:val="000000"/>
      <w:sz w:val="24"/>
      <w:szCs w:val="24"/>
      <w:u w:val="none"/>
    </w:rPr>
  </w:style>
  <w:style w:type="character" w:customStyle="1" w:styleId="117">
    <w:name w:val="font41"/>
    <w:basedOn w:val="44"/>
    <w:autoRedefine/>
    <w:qFormat/>
    <w:uiPriority w:val="0"/>
    <w:rPr>
      <w:rFonts w:hint="eastAsia" w:ascii="宋体" w:hAnsi="宋体" w:eastAsia="宋体" w:cs="宋体"/>
      <w:color w:val="000000"/>
      <w:sz w:val="24"/>
      <w:szCs w:val="24"/>
      <w:u w:val="none"/>
    </w:rPr>
  </w:style>
  <w:style w:type="character" w:customStyle="1" w:styleId="118">
    <w:name w:val="font21"/>
    <w:basedOn w:val="44"/>
    <w:autoRedefine/>
    <w:qFormat/>
    <w:uiPriority w:val="0"/>
    <w:rPr>
      <w:rFonts w:hint="eastAsia" w:ascii="宋体" w:hAnsi="宋体" w:eastAsia="宋体" w:cs="宋体"/>
      <w:color w:val="000000"/>
      <w:sz w:val="24"/>
      <w:szCs w:val="24"/>
      <w:u w:val="none"/>
    </w:rPr>
  </w:style>
  <w:style w:type="character" w:customStyle="1" w:styleId="119">
    <w:name w:val="List Paragraph Char1"/>
    <w:link w:val="120"/>
    <w:autoRedefine/>
    <w:qFormat/>
    <w:locked/>
    <w:uiPriority w:val="0"/>
    <w:rPr>
      <w:sz w:val="24"/>
    </w:rPr>
  </w:style>
  <w:style w:type="paragraph" w:customStyle="1" w:styleId="120">
    <w:name w:val="列出段落2"/>
    <w:basedOn w:val="1"/>
    <w:link w:val="119"/>
    <w:autoRedefine/>
    <w:qFormat/>
    <w:uiPriority w:val="0"/>
    <w:pPr>
      <w:widowControl w:val="0"/>
      <w:spacing w:line="240" w:lineRule="auto"/>
      <w:ind w:firstLine="420" w:firstLineChars="200"/>
    </w:pPr>
    <w:rPr>
      <w:rFonts w:ascii="Times New Roman" w:hAnsi="Times New Roman" w:eastAsia="宋体"/>
      <w:kern w:val="0"/>
      <w:sz w:val="24"/>
      <w:szCs w:val="20"/>
    </w:rPr>
  </w:style>
  <w:style w:type="table" w:customStyle="1" w:styleId="121">
    <w:name w:val="TableGrid1"/>
    <w:autoRedefine/>
    <w:qFormat/>
    <w:uiPriority w:val="0"/>
    <w:rPr>
      <w:kern w:val="2"/>
      <w:sz w:val="21"/>
      <w:szCs w:val="22"/>
    </w:rPr>
    <w:tblPr>
      <w:tblCellMar>
        <w:top w:w="0" w:type="dxa"/>
        <w:left w:w="0" w:type="dxa"/>
        <w:bottom w:w="0" w:type="dxa"/>
        <w:right w:w="0" w:type="dxa"/>
      </w:tblCellMar>
    </w:tblPr>
  </w:style>
  <w:style w:type="table" w:customStyle="1" w:styleId="122">
    <w:name w:val="TableGrid2"/>
    <w:autoRedefine/>
    <w:qFormat/>
    <w:uiPriority w:val="0"/>
    <w:rPr>
      <w:kern w:val="2"/>
      <w:sz w:val="21"/>
      <w:szCs w:val="22"/>
    </w:rPr>
    <w:tblPr>
      <w:tblCellMar>
        <w:top w:w="0" w:type="dxa"/>
        <w:left w:w="0" w:type="dxa"/>
        <w:bottom w:w="0" w:type="dxa"/>
        <w:right w:w="0" w:type="dxa"/>
      </w:tblCellMar>
    </w:tblPr>
  </w:style>
  <w:style w:type="table" w:customStyle="1" w:styleId="123">
    <w:name w:val="TableGrid3"/>
    <w:autoRedefine/>
    <w:qFormat/>
    <w:uiPriority w:val="0"/>
    <w:rPr>
      <w:kern w:val="2"/>
      <w:sz w:val="21"/>
      <w:szCs w:val="22"/>
    </w:rPr>
    <w:tblPr>
      <w:tblCellMar>
        <w:top w:w="0" w:type="dxa"/>
        <w:left w:w="0" w:type="dxa"/>
        <w:bottom w:w="0" w:type="dxa"/>
        <w:right w:w="0" w:type="dxa"/>
      </w:tblCellMar>
    </w:tblPr>
  </w:style>
  <w:style w:type="table" w:customStyle="1" w:styleId="124">
    <w:name w:val="TableGrid4"/>
    <w:autoRedefine/>
    <w:qFormat/>
    <w:uiPriority w:val="0"/>
    <w:rPr>
      <w:kern w:val="2"/>
      <w:sz w:val="21"/>
      <w:szCs w:val="22"/>
    </w:rPr>
    <w:tblPr>
      <w:tblCellMar>
        <w:top w:w="0" w:type="dxa"/>
        <w:left w:w="0" w:type="dxa"/>
        <w:bottom w:w="0" w:type="dxa"/>
        <w:right w:w="0" w:type="dxa"/>
      </w:tblCellMar>
    </w:tblPr>
  </w:style>
  <w:style w:type="table" w:customStyle="1" w:styleId="125">
    <w:name w:val="TableGrid5"/>
    <w:autoRedefine/>
    <w:qFormat/>
    <w:uiPriority w:val="0"/>
    <w:rPr>
      <w:kern w:val="2"/>
      <w:sz w:val="21"/>
      <w:szCs w:val="22"/>
    </w:rPr>
    <w:tblPr>
      <w:tblCellMar>
        <w:top w:w="0" w:type="dxa"/>
        <w:left w:w="0" w:type="dxa"/>
        <w:bottom w:w="0" w:type="dxa"/>
        <w:right w:w="0" w:type="dxa"/>
      </w:tblCellMar>
    </w:tblPr>
  </w:style>
  <w:style w:type="table" w:customStyle="1" w:styleId="126">
    <w:name w:val="TableGrid6"/>
    <w:autoRedefine/>
    <w:qFormat/>
    <w:uiPriority w:val="0"/>
    <w:rPr>
      <w:kern w:val="2"/>
      <w:sz w:val="21"/>
      <w:szCs w:val="22"/>
    </w:rPr>
    <w:tblPr>
      <w:tblCellMar>
        <w:top w:w="0" w:type="dxa"/>
        <w:left w:w="0" w:type="dxa"/>
        <w:bottom w:w="0" w:type="dxa"/>
        <w:right w:w="0" w:type="dxa"/>
      </w:tblCellMar>
    </w:tblPr>
  </w:style>
  <w:style w:type="table" w:customStyle="1" w:styleId="127">
    <w:name w:val="TableGrid7"/>
    <w:autoRedefine/>
    <w:qFormat/>
    <w:uiPriority w:val="0"/>
    <w:rPr>
      <w:kern w:val="2"/>
      <w:sz w:val="21"/>
      <w:szCs w:val="22"/>
    </w:rPr>
    <w:tblPr>
      <w:tblCellMar>
        <w:top w:w="0" w:type="dxa"/>
        <w:left w:w="0" w:type="dxa"/>
        <w:bottom w:w="0" w:type="dxa"/>
        <w:right w:w="0" w:type="dxa"/>
      </w:tblCellMar>
    </w:tblPr>
  </w:style>
  <w:style w:type="paragraph" w:customStyle="1" w:styleId="128">
    <w:name w:val="列出段落3"/>
    <w:basedOn w:val="1"/>
    <w:autoRedefine/>
    <w:qFormat/>
    <w:uiPriority w:val="0"/>
    <w:pPr>
      <w:widowControl w:val="0"/>
      <w:spacing w:line="240" w:lineRule="auto"/>
      <w:ind w:firstLine="420" w:firstLineChars="200"/>
    </w:pPr>
    <w:rPr>
      <w:rFonts w:ascii="Times New Roman" w:hAnsi="Times New Roman" w:eastAsia="宋体"/>
      <w:kern w:val="0"/>
      <w:sz w:val="24"/>
      <w:szCs w:val="20"/>
    </w:rPr>
  </w:style>
  <w:style w:type="table" w:customStyle="1" w:styleId="129">
    <w:name w:val="TableGrid8"/>
    <w:autoRedefine/>
    <w:qFormat/>
    <w:uiPriority w:val="0"/>
    <w:rPr>
      <w:kern w:val="2"/>
      <w:sz w:val="21"/>
      <w:szCs w:val="22"/>
    </w:rPr>
    <w:tblPr>
      <w:tblCellMar>
        <w:top w:w="0" w:type="dxa"/>
        <w:left w:w="0" w:type="dxa"/>
        <w:bottom w:w="0" w:type="dxa"/>
        <w:right w:w="0" w:type="dxa"/>
      </w:tblCellMar>
    </w:tblPr>
  </w:style>
  <w:style w:type="table" w:customStyle="1" w:styleId="130">
    <w:name w:val="TableGrid9"/>
    <w:autoRedefine/>
    <w:qFormat/>
    <w:uiPriority w:val="0"/>
    <w:rPr>
      <w:kern w:val="2"/>
      <w:sz w:val="21"/>
      <w:szCs w:val="22"/>
    </w:rPr>
    <w:tblPr>
      <w:tblCellMar>
        <w:top w:w="0" w:type="dxa"/>
        <w:left w:w="0" w:type="dxa"/>
        <w:bottom w:w="0" w:type="dxa"/>
        <w:right w:w="0" w:type="dxa"/>
      </w:tblCellMar>
    </w:tblPr>
  </w:style>
  <w:style w:type="table" w:customStyle="1" w:styleId="131">
    <w:name w:val="TableGrid10"/>
    <w:autoRedefine/>
    <w:qFormat/>
    <w:uiPriority w:val="0"/>
    <w:rPr>
      <w:kern w:val="2"/>
      <w:sz w:val="21"/>
      <w:szCs w:val="22"/>
    </w:rPr>
    <w:tblPr>
      <w:tblCellMar>
        <w:top w:w="0" w:type="dxa"/>
        <w:left w:w="0" w:type="dxa"/>
        <w:bottom w:w="0" w:type="dxa"/>
        <w:right w:w="0" w:type="dxa"/>
      </w:tblCellMar>
    </w:tblPr>
  </w:style>
  <w:style w:type="table" w:customStyle="1" w:styleId="132">
    <w:name w:val="TableGrid11"/>
    <w:autoRedefine/>
    <w:qFormat/>
    <w:uiPriority w:val="0"/>
    <w:rPr>
      <w:kern w:val="2"/>
      <w:sz w:val="21"/>
      <w:szCs w:val="22"/>
    </w:rPr>
    <w:tblPr>
      <w:tblCellMar>
        <w:top w:w="0" w:type="dxa"/>
        <w:left w:w="0" w:type="dxa"/>
        <w:bottom w:w="0" w:type="dxa"/>
        <w:right w:w="0" w:type="dxa"/>
      </w:tblCellMar>
    </w:tblPr>
  </w:style>
  <w:style w:type="table" w:customStyle="1" w:styleId="133">
    <w:name w:val="TableGrid12"/>
    <w:autoRedefine/>
    <w:qFormat/>
    <w:uiPriority w:val="0"/>
    <w:rPr>
      <w:kern w:val="2"/>
      <w:sz w:val="21"/>
      <w:szCs w:val="22"/>
    </w:rPr>
    <w:tblPr>
      <w:tblCellMar>
        <w:top w:w="0" w:type="dxa"/>
        <w:left w:w="0" w:type="dxa"/>
        <w:bottom w:w="0" w:type="dxa"/>
        <w:right w:w="0" w:type="dxa"/>
      </w:tblCellMar>
    </w:tblPr>
  </w:style>
  <w:style w:type="table" w:customStyle="1" w:styleId="134">
    <w:name w:val="TableGrid13"/>
    <w:autoRedefine/>
    <w:qFormat/>
    <w:uiPriority w:val="0"/>
    <w:rPr>
      <w:kern w:val="2"/>
      <w:sz w:val="21"/>
      <w:szCs w:val="22"/>
    </w:rPr>
    <w:tblPr>
      <w:tblCellMar>
        <w:top w:w="0" w:type="dxa"/>
        <w:left w:w="0" w:type="dxa"/>
        <w:bottom w:w="0" w:type="dxa"/>
        <w:right w:w="0" w:type="dxa"/>
      </w:tblCellMar>
    </w:tblPr>
  </w:style>
  <w:style w:type="table" w:customStyle="1" w:styleId="135">
    <w:name w:val="TableGrid14"/>
    <w:autoRedefine/>
    <w:qFormat/>
    <w:uiPriority w:val="0"/>
    <w:rPr>
      <w:kern w:val="2"/>
      <w:sz w:val="21"/>
      <w:szCs w:val="22"/>
    </w:rPr>
    <w:tblPr>
      <w:tblCellMar>
        <w:top w:w="0" w:type="dxa"/>
        <w:left w:w="0" w:type="dxa"/>
        <w:bottom w:w="0" w:type="dxa"/>
        <w:right w:w="0" w:type="dxa"/>
      </w:tblCellMar>
    </w:tblPr>
  </w:style>
  <w:style w:type="table" w:customStyle="1" w:styleId="136">
    <w:name w:val="TableGrid15"/>
    <w:autoRedefine/>
    <w:qFormat/>
    <w:uiPriority w:val="0"/>
    <w:rPr>
      <w:kern w:val="2"/>
      <w:sz w:val="21"/>
      <w:szCs w:val="22"/>
    </w:rPr>
    <w:tblPr>
      <w:tblCellMar>
        <w:top w:w="0" w:type="dxa"/>
        <w:left w:w="0" w:type="dxa"/>
        <w:bottom w:w="0" w:type="dxa"/>
        <w:right w:w="0" w:type="dxa"/>
      </w:tblCellMar>
    </w:tblPr>
  </w:style>
  <w:style w:type="paragraph" w:customStyle="1" w:styleId="137">
    <w:name w:val="+正文"/>
    <w:basedOn w:val="1"/>
    <w:autoRedefine/>
    <w:qFormat/>
    <w:uiPriority w:val="99"/>
    <w:pPr>
      <w:spacing w:line="360" w:lineRule="auto"/>
      <w:ind w:firstLine="200" w:firstLineChars="200"/>
    </w:pPr>
  </w:style>
  <w:style w:type="paragraph" w:customStyle="1" w:styleId="138">
    <w:name w:val="样式 10 磅311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正文格式"/>
    <w:basedOn w:val="1"/>
    <w:autoRedefine/>
    <w:qFormat/>
    <w:uiPriority w:val="0"/>
    <w:pPr>
      <w:adjustRightInd w:val="0"/>
      <w:snapToGrid w:val="0"/>
      <w:spacing w:line="400" w:lineRule="atLeast"/>
      <w:ind w:firstLine="482"/>
      <w:textAlignment w:val="baseline"/>
    </w:pPr>
  </w:style>
  <w:style w:type="character" w:customStyle="1" w:styleId="140">
    <w:name w:val="font31"/>
    <w:basedOn w:val="44"/>
    <w:autoRedefine/>
    <w:qFormat/>
    <w:uiPriority w:val="0"/>
    <w:rPr>
      <w:rFonts w:hint="eastAsia" w:ascii="宋体" w:hAnsi="宋体" w:eastAsia="宋体" w:cs="宋体"/>
      <w:color w:val="000000"/>
      <w:sz w:val="21"/>
      <w:szCs w:val="21"/>
      <w:u w:val="none"/>
    </w:rPr>
  </w:style>
  <w:style w:type="character" w:customStyle="1" w:styleId="141">
    <w:name w:val="font51"/>
    <w:basedOn w:val="44"/>
    <w:autoRedefine/>
    <w:qFormat/>
    <w:uiPriority w:val="0"/>
    <w:rPr>
      <w:rFonts w:ascii="Calibri" w:hAnsi="Calibri" w:cs="Calibri"/>
      <w:color w:val="000000"/>
      <w:sz w:val="21"/>
      <w:szCs w:val="21"/>
      <w:u w:val="none"/>
    </w:rPr>
  </w:style>
  <w:style w:type="paragraph" w:customStyle="1" w:styleId="142">
    <w:name w:val="Table Text"/>
    <w:basedOn w:val="1"/>
    <w:autoRedefine/>
    <w:semiHidden/>
    <w:qFormat/>
    <w:uiPriority w:val="0"/>
    <w:rPr>
      <w:rFonts w:ascii="宋体" w:hAnsi="宋体" w:eastAsia="宋体" w:cs="宋体"/>
      <w:sz w:val="28"/>
      <w:szCs w:val="28"/>
      <w:lang w:val="en-US" w:eastAsia="en-US" w:bidi="ar-SA"/>
    </w:rPr>
  </w:style>
  <w:style w:type="table" w:customStyle="1" w:styleId="143">
    <w:name w:val="Table Normal"/>
    <w:autoRedefine/>
    <w:unhideWhenUsed/>
    <w:qFormat/>
    <w:uiPriority w:val="0"/>
    <w:tblPr>
      <w:tblCellMar>
        <w:top w:w="0" w:type="dxa"/>
        <w:left w:w="0" w:type="dxa"/>
        <w:bottom w:w="0" w:type="dxa"/>
        <w:right w:w="0" w:type="dxa"/>
      </w:tblCellMar>
    </w:tblPr>
  </w:style>
  <w:style w:type="paragraph" w:customStyle="1" w:styleId="144">
    <w:name w:val="1正文"/>
    <w:basedOn w:val="33"/>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6">
    <w:name w:val="表格文字"/>
    <w:basedOn w:val="1"/>
    <w:autoRedefine/>
    <w:qFormat/>
    <w:uiPriority w:val="0"/>
    <w:pPr>
      <w:spacing w:before="120" w:after="120"/>
    </w:pPr>
    <w:rPr>
      <w:rFonts w:ascii="新宋体" w:hAnsi="宋体" w:eastAsia="新宋体" w:cstheme="minorBidi"/>
      <w:bCs/>
      <w:color w:val="000000"/>
      <w:sz w:val="18"/>
      <w:szCs w:val="18"/>
    </w:rPr>
  </w:style>
  <w:style w:type="character" w:customStyle="1" w:styleId="147">
    <w:name w:val="font61"/>
    <w:basedOn w:val="44"/>
    <w:qFormat/>
    <w:uiPriority w:val="0"/>
    <w:rPr>
      <w:rFonts w:hint="default" w:ascii="Times New Roman" w:hAnsi="Times New Roman" w:cs="Times New Roman"/>
      <w:color w:val="000000"/>
      <w:sz w:val="28"/>
      <w:szCs w:val="28"/>
      <w:u w:val="none"/>
    </w:rPr>
  </w:style>
  <w:style w:type="character" w:customStyle="1" w:styleId="148">
    <w:name w:val="font71"/>
    <w:basedOn w:val="44"/>
    <w:qFormat/>
    <w:uiPriority w:val="0"/>
    <w:rPr>
      <w:rFonts w:hint="eastAsia" w:ascii="微软雅黑" w:hAnsi="微软雅黑" w:eastAsia="微软雅黑" w:cs="微软雅黑"/>
      <w:color w:val="000000"/>
      <w:sz w:val="28"/>
      <w:szCs w:val="28"/>
      <w:u w:val="none"/>
    </w:rPr>
  </w:style>
  <w:style w:type="character" w:customStyle="1" w:styleId="149">
    <w:name w:val="font81"/>
    <w:basedOn w:val="44"/>
    <w:qFormat/>
    <w:uiPriority w:val="0"/>
    <w:rPr>
      <w:rFonts w:hint="default" w:ascii="Times New Roman" w:hAnsi="Times New Roman" w:cs="Times New Roman"/>
      <w:color w:val="0000FF"/>
      <w:sz w:val="28"/>
      <w:szCs w:val="28"/>
      <w:u w:val="none"/>
    </w:rPr>
  </w:style>
  <w:style w:type="character" w:customStyle="1" w:styleId="150">
    <w:name w:val="font11"/>
    <w:basedOn w:val="44"/>
    <w:autoRedefine/>
    <w:qFormat/>
    <w:uiPriority w:val="0"/>
    <w:rPr>
      <w:rFonts w:hint="eastAsia" w:ascii="宋体" w:hAnsi="宋体" w:eastAsia="宋体" w:cs="宋体"/>
      <w:color w:val="000000"/>
      <w:sz w:val="20"/>
      <w:szCs w:val="20"/>
      <w:u w:val="none"/>
    </w:rPr>
  </w:style>
  <w:style w:type="paragraph" w:customStyle="1" w:styleId="15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1.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6.xml"/><Relationship Id="rId16" Type="http://schemas.openxmlformats.org/officeDocument/2006/relationships/footer" Target="footer5.xml"/><Relationship Id="rId15" Type="http://schemas.openxmlformats.org/officeDocument/2006/relationships/footer" Target="footer4.xml"/><Relationship Id="rId14" Type="http://schemas.openxmlformats.org/officeDocument/2006/relationships/footer" Target="footer3.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F:\2016\&#26032;&#29256;&#30923;&#21830;&#25991;&#20214;&#65288;2016.3.24&#652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2985AB-2C7C-444C-9B84-2A65A7701D3E}">
  <ds:schemaRefs/>
</ds:datastoreItem>
</file>

<file path=docProps/app.xml><?xml version="1.0" encoding="utf-8"?>
<Properties xmlns="http://schemas.openxmlformats.org/officeDocument/2006/extended-properties" xmlns:vt="http://schemas.openxmlformats.org/officeDocument/2006/docPropsVTypes">
  <Template>新版磋商文件（2016.3.24）.dotx</Template>
  <Company>xczx</Company>
  <Pages>58</Pages>
  <Words>29219</Words>
  <Characters>31061</Characters>
  <Lines>695</Lines>
  <Paragraphs>770</Paragraphs>
  <TotalTime>12</TotalTime>
  <ScaleCrop>false</ScaleCrop>
  <LinksUpToDate>false</LinksUpToDate>
  <CharactersWithSpaces>32719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2020-03-18T02:31:00Z</dcterms:created>
  <dc:creator>刘建春</dc:creator>
  <cp:keywords>安康市政府采购管理中心</cp:keywords>
  <cp:lastModifiedBy>WPS_1528011989</cp:lastModifiedBy>
  <cp:lastPrinted>2026-07-06T09:34:00Z</cp:lastPrinted>
  <dcterms:modified xsi:type="dcterms:W3CDTF">2026-08-27T06:59:39Z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A70480C7EA3343D0B3BE02A3CAAF31E7_13</vt:lpwstr>
  </property>
  <property fmtid="{D5CDD505-2E9C-101B-9397-08002B2CF9AE}" pid="4" name="KSOTemplateDocerSaveRecord">
    <vt:lpwstr>eyJoZGlkIjoiMDg1OGE3YTllNWRkNjgwY2M5ZDEwMmY0ODQzZDFhY2IiLCJ1c2VySWQiOiIzNzU3MTM1MjkifQ==</vt:lpwstr>
  </property>
</Properties>
</file>