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0AC0F7">
      <w:pPr>
        <w:jc w:val="center"/>
        <w:rPr>
          <w:rFonts w:hint="eastAsia" w:ascii="方正公文小标宋" w:hAnsi="方正公文小标宋" w:eastAsia="方正公文小标宋" w:cs="方正公文小标宋"/>
          <w:color w:val="auto"/>
          <w:sz w:val="32"/>
          <w:szCs w:val="32"/>
          <w:highlight w:val="none"/>
          <w:lang w:eastAsia="zh-CN"/>
        </w:rPr>
      </w:pPr>
      <w:r>
        <w:rPr>
          <w:rFonts w:hint="eastAsia" w:ascii="方正公文小标宋" w:hAnsi="方正公文小标宋" w:eastAsia="方正公文小标宋" w:cs="方正公文小标宋"/>
          <w:color w:val="auto"/>
          <w:sz w:val="32"/>
          <w:szCs w:val="32"/>
          <w:highlight w:val="none"/>
          <w:lang w:eastAsia="zh-CN"/>
        </w:rPr>
        <w:t>购</w:t>
      </w:r>
      <w:r>
        <w:rPr>
          <w:rFonts w:hint="eastAsia" w:ascii="方正公文小标宋" w:hAnsi="方正公文小标宋" w:eastAsia="方正公文小标宋" w:cs="方正公文小标宋"/>
          <w:color w:val="auto"/>
          <w:sz w:val="32"/>
          <w:szCs w:val="32"/>
          <w:highlight w:val="none"/>
          <w:lang w:val="en-US" w:eastAsia="zh-CN"/>
        </w:rPr>
        <w:t xml:space="preserve"> </w:t>
      </w:r>
      <w:r>
        <w:rPr>
          <w:rFonts w:hint="eastAsia" w:ascii="方正公文小标宋" w:hAnsi="方正公文小标宋" w:eastAsia="方正公文小标宋" w:cs="方正公文小标宋"/>
          <w:color w:val="auto"/>
          <w:sz w:val="32"/>
          <w:szCs w:val="32"/>
          <w:highlight w:val="none"/>
          <w:lang w:eastAsia="zh-CN"/>
        </w:rPr>
        <w:t>置</w:t>
      </w:r>
      <w:r>
        <w:rPr>
          <w:rFonts w:hint="eastAsia" w:ascii="方正公文小标宋" w:hAnsi="方正公文小标宋" w:eastAsia="方正公文小标宋" w:cs="方正公文小标宋"/>
          <w:color w:val="auto"/>
          <w:sz w:val="32"/>
          <w:szCs w:val="32"/>
          <w:highlight w:val="none"/>
          <w:lang w:val="en-US" w:eastAsia="zh-CN"/>
        </w:rPr>
        <w:t xml:space="preserve"> </w:t>
      </w:r>
      <w:r>
        <w:rPr>
          <w:rFonts w:hint="eastAsia" w:ascii="方正公文小标宋" w:hAnsi="方正公文小标宋" w:eastAsia="方正公文小标宋" w:cs="方正公文小标宋"/>
          <w:color w:val="auto"/>
          <w:sz w:val="32"/>
          <w:szCs w:val="32"/>
          <w:highlight w:val="none"/>
          <w:lang w:eastAsia="zh-CN"/>
        </w:rPr>
        <w:t>合</w:t>
      </w:r>
      <w:r>
        <w:rPr>
          <w:rFonts w:hint="eastAsia" w:ascii="方正公文小标宋" w:hAnsi="方正公文小标宋" w:eastAsia="方正公文小标宋" w:cs="方正公文小标宋"/>
          <w:color w:val="auto"/>
          <w:sz w:val="32"/>
          <w:szCs w:val="32"/>
          <w:highlight w:val="none"/>
          <w:lang w:val="en-US" w:eastAsia="zh-CN"/>
        </w:rPr>
        <w:t xml:space="preserve"> </w:t>
      </w:r>
      <w:r>
        <w:rPr>
          <w:rFonts w:hint="eastAsia" w:ascii="方正公文小标宋" w:hAnsi="方正公文小标宋" w:eastAsia="方正公文小标宋" w:cs="方正公文小标宋"/>
          <w:color w:val="auto"/>
          <w:sz w:val="32"/>
          <w:szCs w:val="32"/>
          <w:highlight w:val="none"/>
          <w:lang w:eastAsia="zh-CN"/>
        </w:rPr>
        <w:t>同（</w:t>
      </w:r>
      <w:r>
        <w:rPr>
          <w:rFonts w:hint="eastAsia" w:ascii="方正公文小标宋" w:hAnsi="方正公文小标宋" w:eastAsia="方正公文小标宋" w:cs="方正公文小标宋"/>
          <w:color w:val="auto"/>
          <w:sz w:val="32"/>
          <w:szCs w:val="32"/>
          <w:highlight w:val="none"/>
          <w:lang w:val="en-US" w:eastAsia="zh-CN"/>
        </w:rPr>
        <w:t>参考</w:t>
      </w:r>
      <w:bookmarkStart w:id="8" w:name="_GoBack"/>
      <w:bookmarkEnd w:id="8"/>
      <w:r>
        <w:rPr>
          <w:rFonts w:hint="eastAsia" w:ascii="方正公文小标宋" w:hAnsi="方正公文小标宋" w:eastAsia="方正公文小标宋" w:cs="方正公文小标宋"/>
          <w:color w:val="auto"/>
          <w:sz w:val="32"/>
          <w:szCs w:val="32"/>
          <w:highlight w:val="none"/>
          <w:lang w:val="en-US" w:eastAsia="zh-CN"/>
        </w:rPr>
        <w:t>格式</w:t>
      </w:r>
      <w:r>
        <w:rPr>
          <w:rFonts w:hint="eastAsia" w:ascii="方正公文小标宋" w:hAnsi="方正公文小标宋" w:eastAsia="方正公文小标宋" w:cs="方正公文小标宋"/>
          <w:color w:val="auto"/>
          <w:sz w:val="32"/>
          <w:szCs w:val="32"/>
          <w:highlight w:val="none"/>
          <w:lang w:eastAsia="zh-CN"/>
        </w:rPr>
        <w:t>）</w:t>
      </w:r>
    </w:p>
    <w:p w14:paraId="2693362F">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陕西</w:t>
      </w:r>
      <w:r>
        <w:rPr>
          <w:rFonts w:hint="eastAsia" w:asciiTheme="minorEastAsia" w:hAnsiTheme="minorEastAsia" w:eastAsiaTheme="minorEastAsia" w:cstheme="minorEastAsia"/>
          <w:color w:val="auto"/>
          <w:sz w:val="24"/>
          <w:szCs w:val="24"/>
          <w:highlight w:val="none"/>
          <w:lang w:val="en-US" w:eastAsia="zh-CN"/>
        </w:rPr>
        <w:t>能源</w:t>
      </w:r>
      <w:r>
        <w:rPr>
          <w:rFonts w:hint="eastAsia" w:asciiTheme="minorEastAsia" w:hAnsiTheme="minorEastAsia" w:eastAsiaTheme="minorEastAsia" w:cstheme="minorEastAsia"/>
          <w:color w:val="auto"/>
          <w:sz w:val="24"/>
          <w:szCs w:val="24"/>
          <w:highlight w:val="none"/>
          <w:lang w:eastAsia="zh-CN"/>
        </w:rPr>
        <w:t xml:space="preserve">职业技术学院（甲方）与 </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乙方）就甲方购置的</w:t>
      </w:r>
      <w:r>
        <w:rPr>
          <w:rFonts w:hint="eastAsia" w:asciiTheme="minorEastAsia" w:hAnsiTheme="minorEastAsia" w:eastAsiaTheme="minorEastAsia" w:cstheme="minorEastAsia"/>
          <w:color w:val="auto"/>
          <w:sz w:val="24"/>
          <w:szCs w:val="24"/>
          <w:highlight w:val="none"/>
          <w:u w:val="single"/>
          <w:lang w:eastAsia="zh-CN"/>
        </w:rPr>
        <w:t xml:space="preserve"> C2B生产物流教学实训</w:t>
      </w:r>
      <w:r>
        <w:rPr>
          <w:rFonts w:hint="eastAsia" w:asciiTheme="minorEastAsia" w:hAnsiTheme="minorEastAsia" w:eastAsiaTheme="minorEastAsia" w:cstheme="minorEastAsia"/>
          <w:color w:val="auto"/>
          <w:sz w:val="24"/>
          <w:szCs w:val="24"/>
          <w:highlight w:val="none"/>
          <w:lang w:eastAsia="zh-CN"/>
        </w:rPr>
        <w:t>设备，经双方协商达成如下合同条款：</w:t>
      </w:r>
    </w:p>
    <w:p w14:paraId="200C5050">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1.合同内容</w:t>
      </w:r>
    </w:p>
    <w:p w14:paraId="4263F04E">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在甲方组织的关于</w:t>
      </w:r>
      <w:r>
        <w:rPr>
          <w:rFonts w:hint="eastAsia" w:asciiTheme="minorEastAsia" w:hAnsiTheme="minorEastAsia" w:eastAsiaTheme="minorEastAsia" w:cstheme="minorEastAsia"/>
          <w:color w:val="auto"/>
          <w:sz w:val="24"/>
          <w:szCs w:val="24"/>
          <w:highlight w:val="none"/>
          <w:u w:val="single"/>
          <w:lang w:eastAsia="zh-CN"/>
        </w:rPr>
        <w:t xml:space="preserve"> C2B生产物流教学实训设备 </w:t>
      </w:r>
      <w:r>
        <w:rPr>
          <w:rFonts w:hint="eastAsia" w:asciiTheme="minorEastAsia" w:hAnsiTheme="minorEastAsia" w:eastAsiaTheme="minorEastAsia" w:cstheme="minorEastAsia"/>
          <w:color w:val="auto"/>
          <w:sz w:val="24"/>
          <w:szCs w:val="24"/>
          <w:highlight w:val="none"/>
          <w:lang w:eastAsia="zh-CN"/>
        </w:rPr>
        <w:t>采购招投标活动中，经评标确定乙方为供货单位。乙方按本合同中确定的设备名称、型号与规格、产地、数量及配套内容进行供货，详细配置见《设备购置清单》；乙方按时将货物运送到甲方指定的地点，负责到货设备的安装与调试，达到正常使用状态；乙方负责为甲方培训操作、维护人员，质保期内负责指导设备的操作使用和保养维修，做好售后服务工作。甲方在乙方完成合同明确规定的责任和义务后，按合同要求支付给乙方相应的设备货款。</w:t>
      </w:r>
    </w:p>
    <w:p w14:paraId="02F71DCB">
      <w:pPr>
        <w:spacing w:line="36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1.1 设备购置清单（币种：人民币）</w:t>
      </w:r>
    </w:p>
    <w:tbl>
      <w:tblPr>
        <w:tblStyle w:val="10"/>
        <w:tblW w:w="8937" w:type="dxa"/>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1"/>
        <w:gridCol w:w="1458"/>
        <w:gridCol w:w="1776"/>
        <w:gridCol w:w="925"/>
        <w:gridCol w:w="1130"/>
        <w:gridCol w:w="1090"/>
        <w:gridCol w:w="1420"/>
        <w:gridCol w:w="617"/>
      </w:tblGrid>
      <w:tr w14:paraId="1F85C8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521" w:type="dxa"/>
            <w:vAlign w:val="center"/>
          </w:tcPr>
          <w:p w14:paraId="633B3F4D">
            <w:pPr>
              <w:jc w:val="center"/>
              <w:rPr>
                <w:rFonts w:asciiTheme="minorEastAsia" w:hAnsiTheme="minorEastAsia" w:eastAsiaTheme="minorEastAsia" w:cstheme="minorEastAsia"/>
                <w:b/>
                <w:bCs/>
                <w:color w:val="auto"/>
                <w:sz w:val="22"/>
                <w:szCs w:val="22"/>
                <w:highlight w:val="none"/>
              </w:rPr>
            </w:pPr>
            <w:r>
              <w:rPr>
                <w:rFonts w:hint="eastAsia" w:asciiTheme="minorEastAsia" w:hAnsiTheme="minorEastAsia" w:eastAsiaTheme="minorEastAsia" w:cstheme="minorEastAsia"/>
                <w:b/>
                <w:bCs/>
                <w:color w:val="auto"/>
                <w:sz w:val="22"/>
                <w:szCs w:val="22"/>
                <w:highlight w:val="none"/>
              </w:rPr>
              <w:t>序号</w:t>
            </w:r>
          </w:p>
        </w:tc>
        <w:tc>
          <w:tcPr>
            <w:tcW w:w="1458" w:type="dxa"/>
            <w:vAlign w:val="center"/>
          </w:tcPr>
          <w:p w14:paraId="49B036E0">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设备名称</w:t>
            </w:r>
          </w:p>
        </w:tc>
        <w:tc>
          <w:tcPr>
            <w:tcW w:w="1776" w:type="dxa"/>
            <w:vAlign w:val="center"/>
          </w:tcPr>
          <w:p w14:paraId="265D5CFC">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品牌、规格、型号</w:t>
            </w:r>
          </w:p>
        </w:tc>
        <w:tc>
          <w:tcPr>
            <w:tcW w:w="925" w:type="dxa"/>
            <w:vAlign w:val="center"/>
          </w:tcPr>
          <w:p w14:paraId="5308B591">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数量</w:t>
            </w:r>
          </w:p>
          <w:p w14:paraId="0752FDA2">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(台、套)</w:t>
            </w:r>
          </w:p>
        </w:tc>
        <w:tc>
          <w:tcPr>
            <w:tcW w:w="1130" w:type="dxa"/>
            <w:vAlign w:val="center"/>
          </w:tcPr>
          <w:p w14:paraId="5AE179CB">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单价</w:t>
            </w:r>
          </w:p>
          <w:p w14:paraId="313385B6">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(万元)</w:t>
            </w:r>
          </w:p>
        </w:tc>
        <w:tc>
          <w:tcPr>
            <w:tcW w:w="1090" w:type="dxa"/>
            <w:vAlign w:val="center"/>
          </w:tcPr>
          <w:p w14:paraId="2488134C">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合计</w:t>
            </w:r>
          </w:p>
          <w:p w14:paraId="446C6D23">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(万元)</w:t>
            </w:r>
          </w:p>
        </w:tc>
        <w:tc>
          <w:tcPr>
            <w:tcW w:w="1420" w:type="dxa"/>
            <w:vAlign w:val="center"/>
          </w:tcPr>
          <w:p w14:paraId="52F467D5">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生产商</w:t>
            </w:r>
          </w:p>
        </w:tc>
        <w:tc>
          <w:tcPr>
            <w:tcW w:w="617" w:type="dxa"/>
            <w:vAlign w:val="center"/>
          </w:tcPr>
          <w:p w14:paraId="5A3A7B84">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备注</w:t>
            </w:r>
          </w:p>
        </w:tc>
      </w:tr>
      <w:tr w14:paraId="732E0D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521" w:type="dxa"/>
            <w:vAlign w:val="center"/>
          </w:tcPr>
          <w:p w14:paraId="612FE02C">
            <w:pPr>
              <w:jc w:val="center"/>
              <w:rPr>
                <w:rFonts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1</w:t>
            </w:r>
          </w:p>
        </w:tc>
        <w:tc>
          <w:tcPr>
            <w:tcW w:w="1458" w:type="dxa"/>
            <w:vAlign w:val="center"/>
          </w:tcPr>
          <w:p w14:paraId="6C6A5745">
            <w:pPr>
              <w:jc w:val="center"/>
              <w:rPr>
                <w:rFonts w:asciiTheme="minorEastAsia" w:hAnsiTheme="minorEastAsia" w:eastAsiaTheme="minorEastAsia" w:cstheme="minorEastAsia"/>
                <w:color w:val="auto"/>
                <w:sz w:val="22"/>
                <w:szCs w:val="22"/>
                <w:highlight w:val="none"/>
              </w:rPr>
            </w:pPr>
          </w:p>
        </w:tc>
        <w:tc>
          <w:tcPr>
            <w:tcW w:w="1776" w:type="dxa"/>
            <w:vAlign w:val="center"/>
          </w:tcPr>
          <w:p w14:paraId="31FF3235">
            <w:pPr>
              <w:jc w:val="center"/>
              <w:rPr>
                <w:rFonts w:asciiTheme="minorEastAsia" w:hAnsiTheme="minorEastAsia" w:eastAsiaTheme="minorEastAsia" w:cstheme="minorEastAsia"/>
                <w:color w:val="auto"/>
                <w:sz w:val="22"/>
                <w:szCs w:val="22"/>
                <w:highlight w:val="none"/>
              </w:rPr>
            </w:pPr>
          </w:p>
        </w:tc>
        <w:tc>
          <w:tcPr>
            <w:tcW w:w="925" w:type="dxa"/>
            <w:vAlign w:val="center"/>
          </w:tcPr>
          <w:p w14:paraId="69BF5A6D">
            <w:pPr>
              <w:jc w:val="center"/>
              <w:rPr>
                <w:rFonts w:asciiTheme="minorEastAsia" w:hAnsiTheme="minorEastAsia" w:eastAsiaTheme="minorEastAsia" w:cstheme="minorEastAsia"/>
                <w:color w:val="auto"/>
                <w:sz w:val="22"/>
                <w:szCs w:val="22"/>
                <w:highlight w:val="none"/>
              </w:rPr>
            </w:pPr>
          </w:p>
        </w:tc>
        <w:tc>
          <w:tcPr>
            <w:tcW w:w="1130" w:type="dxa"/>
            <w:vAlign w:val="center"/>
          </w:tcPr>
          <w:p w14:paraId="64572D3D">
            <w:pPr>
              <w:jc w:val="center"/>
              <w:rPr>
                <w:rFonts w:asciiTheme="minorEastAsia" w:hAnsiTheme="minorEastAsia" w:eastAsiaTheme="minorEastAsia" w:cstheme="minorEastAsia"/>
                <w:color w:val="auto"/>
                <w:sz w:val="22"/>
                <w:szCs w:val="22"/>
                <w:highlight w:val="none"/>
              </w:rPr>
            </w:pPr>
          </w:p>
        </w:tc>
        <w:tc>
          <w:tcPr>
            <w:tcW w:w="1090" w:type="dxa"/>
            <w:vAlign w:val="center"/>
          </w:tcPr>
          <w:p w14:paraId="616F4F5C">
            <w:pPr>
              <w:jc w:val="center"/>
              <w:rPr>
                <w:rFonts w:asciiTheme="minorEastAsia" w:hAnsiTheme="minorEastAsia" w:eastAsiaTheme="minorEastAsia" w:cstheme="minorEastAsia"/>
                <w:color w:val="auto"/>
                <w:sz w:val="22"/>
                <w:szCs w:val="22"/>
                <w:highlight w:val="none"/>
              </w:rPr>
            </w:pPr>
          </w:p>
        </w:tc>
        <w:tc>
          <w:tcPr>
            <w:tcW w:w="1420" w:type="dxa"/>
            <w:vAlign w:val="center"/>
          </w:tcPr>
          <w:p w14:paraId="29461040">
            <w:pPr>
              <w:jc w:val="center"/>
              <w:rPr>
                <w:rFonts w:asciiTheme="minorEastAsia" w:hAnsiTheme="minorEastAsia" w:eastAsiaTheme="minorEastAsia" w:cstheme="minorEastAsia"/>
                <w:color w:val="auto"/>
                <w:sz w:val="22"/>
                <w:szCs w:val="22"/>
                <w:highlight w:val="none"/>
              </w:rPr>
            </w:pPr>
          </w:p>
        </w:tc>
        <w:tc>
          <w:tcPr>
            <w:tcW w:w="617" w:type="dxa"/>
            <w:vAlign w:val="center"/>
          </w:tcPr>
          <w:p w14:paraId="7000CE8A">
            <w:pPr>
              <w:jc w:val="center"/>
              <w:rPr>
                <w:rFonts w:asciiTheme="minorEastAsia" w:hAnsiTheme="minorEastAsia" w:eastAsiaTheme="minorEastAsia" w:cstheme="minorEastAsia"/>
                <w:color w:val="auto"/>
                <w:sz w:val="22"/>
                <w:szCs w:val="22"/>
                <w:highlight w:val="none"/>
              </w:rPr>
            </w:pPr>
          </w:p>
        </w:tc>
      </w:tr>
      <w:tr w14:paraId="406E11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521" w:type="dxa"/>
            <w:vAlign w:val="center"/>
          </w:tcPr>
          <w:p w14:paraId="1A580535">
            <w:pPr>
              <w:jc w:val="center"/>
              <w:rPr>
                <w:rFonts w:asciiTheme="minorEastAsia" w:hAnsiTheme="minorEastAsia" w:eastAsiaTheme="minorEastAsia" w:cstheme="minorEastAsia"/>
                <w:color w:val="auto"/>
                <w:sz w:val="22"/>
                <w:szCs w:val="22"/>
                <w:highlight w:val="none"/>
                <w:lang w:eastAsia="zh-CN"/>
              </w:rPr>
            </w:pPr>
            <w:r>
              <w:rPr>
                <w:rFonts w:hint="eastAsia" w:asciiTheme="minorEastAsia" w:hAnsiTheme="minorEastAsia" w:eastAsiaTheme="minorEastAsia" w:cstheme="minorEastAsia"/>
                <w:color w:val="auto"/>
                <w:sz w:val="22"/>
                <w:szCs w:val="22"/>
                <w:highlight w:val="none"/>
                <w:lang w:eastAsia="zh-CN"/>
              </w:rPr>
              <w:t>2</w:t>
            </w:r>
          </w:p>
        </w:tc>
        <w:tc>
          <w:tcPr>
            <w:tcW w:w="1458" w:type="dxa"/>
            <w:vAlign w:val="center"/>
          </w:tcPr>
          <w:p w14:paraId="15C2E6C3">
            <w:pPr>
              <w:jc w:val="center"/>
              <w:rPr>
                <w:rFonts w:asciiTheme="minorEastAsia" w:hAnsiTheme="minorEastAsia" w:eastAsiaTheme="minorEastAsia" w:cstheme="minorEastAsia"/>
                <w:color w:val="auto"/>
                <w:sz w:val="22"/>
                <w:szCs w:val="22"/>
                <w:highlight w:val="none"/>
              </w:rPr>
            </w:pPr>
          </w:p>
        </w:tc>
        <w:tc>
          <w:tcPr>
            <w:tcW w:w="1776" w:type="dxa"/>
            <w:vAlign w:val="center"/>
          </w:tcPr>
          <w:p w14:paraId="6F2C4196">
            <w:pPr>
              <w:jc w:val="center"/>
              <w:rPr>
                <w:rFonts w:asciiTheme="minorEastAsia" w:hAnsiTheme="minorEastAsia" w:eastAsiaTheme="minorEastAsia" w:cstheme="minorEastAsia"/>
                <w:color w:val="auto"/>
                <w:sz w:val="22"/>
                <w:szCs w:val="22"/>
                <w:highlight w:val="none"/>
              </w:rPr>
            </w:pPr>
          </w:p>
        </w:tc>
        <w:tc>
          <w:tcPr>
            <w:tcW w:w="925" w:type="dxa"/>
            <w:vAlign w:val="center"/>
          </w:tcPr>
          <w:p w14:paraId="5A0BCB89">
            <w:pPr>
              <w:jc w:val="center"/>
              <w:rPr>
                <w:rFonts w:asciiTheme="minorEastAsia" w:hAnsiTheme="minorEastAsia" w:eastAsiaTheme="minorEastAsia" w:cstheme="minorEastAsia"/>
                <w:color w:val="auto"/>
                <w:sz w:val="22"/>
                <w:szCs w:val="22"/>
                <w:highlight w:val="none"/>
              </w:rPr>
            </w:pPr>
          </w:p>
        </w:tc>
        <w:tc>
          <w:tcPr>
            <w:tcW w:w="1130" w:type="dxa"/>
            <w:vAlign w:val="center"/>
          </w:tcPr>
          <w:p w14:paraId="2BB72B99">
            <w:pPr>
              <w:jc w:val="center"/>
              <w:rPr>
                <w:rFonts w:asciiTheme="minorEastAsia" w:hAnsiTheme="minorEastAsia" w:eastAsiaTheme="minorEastAsia" w:cstheme="minorEastAsia"/>
                <w:color w:val="auto"/>
                <w:sz w:val="22"/>
                <w:szCs w:val="22"/>
                <w:highlight w:val="none"/>
              </w:rPr>
            </w:pPr>
          </w:p>
        </w:tc>
        <w:tc>
          <w:tcPr>
            <w:tcW w:w="1090" w:type="dxa"/>
            <w:vAlign w:val="center"/>
          </w:tcPr>
          <w:p w14:paraId="73FF240B">
            <w:pPr>
              <w:jc w:val="center"/>
              <w:rPr>
                <w:rFonts w:asciiTheme="minorEastAsia" w:hAnsiTheme="minorEastAsia" w:eastAsiaTheme="minorEastAsia" w:cstheme="minorEastAsia"/>
                <w:color w:val="auto"/>
                <w:sz w:val="22"/>
                <w:szCs w:val="22"/>
                <w:highlight w:val="none"/>
              </w:rPr>
            </w:pPr>
          </w:p>
        </w:tc>
        <w:tc>
          <w:tcPr>
            <w:tcW w:w="1420" w:type="dxa"/>
            <w:vAlign w:val="center"/>
          </w:tcPr>
          <w:p w14:paraId="73F8E07B">
            <w:pPr>
              <w:jc w:val="center"/>
              <w:rPr>
                <w:rFonts w:asciiTheme="minorEastAsia" w:hAnsiTheme="minorEastAsia" w:eastAsiaTheme="minorEastAsia" w:cstheme="minorEastAsia"/>
                <w:color w:val="auto"/>
                <w:sz w:val="22"/>
                <w:szCs w:val="22"/>
                <w:highlight w:val="none"/>
              </w:rPr>
            </w:pPr>
          </w:p>
        </w:tc>
        <w:tc>
          <w:tcPr>
            <w:tcW w:w="617" w:type="dxa"/>
            <w:vAlign w:val="center"/>
          </w:tcPr>
          <w:p w14:paraId="5A6E64D7">
            <w:pPr>
              <w:jc w:val="center"/>
              <w:rPr>
                <w:rFonts w:asciiTheme="minorEastAsia" w:hAnsiTheme="minorEastAsia" w:eastAsiaTheme="minorEastAsia" w:cstheme="minorEastAsia"/>
                <w:color w:val="auto"/>
                <w:sz w:val="22"/>
                <w:szCs w:val="22"/>
                <w:highlight w:val="none"/>
              </w:rPr>
            </w:pPr>
          </w:p>
        </w:tc>
      </w:tr>
      <w:tr w14:paraId="7A8E01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7" w:hRule="atLeast"/>
        </w:trPr>
        <w:tc>
          <w:tcPr>
            <w:tcW w:w="521" w:type="dxa"/>
            <w:vAlign w:val="center"/>
          </w:tcPr>
          <w:p w14:paraId="31562960">
            <w:pPr>
              <w:jc w:val="center"/>
              <w:rPr>
                <w:rFonts w:asciiTheme="minorEastAsia" w:hAnsiTheme="minorEastAsia" w:eastAsiaTheme="minorEastAsia" w:cstheme="minorEastAsia"/>
                <w:color w:val="auto"/>
                <w:sz w:val="22"/>
                <w:szCs w:val="22"/>
                <w:highlight w:val="none"/>
                <w:lang w:eastAsia="zh-CN"/>
              </w:rPr>
            </w:pPr>
            <w:r>
              <w:rPr>
                <w:rFonts w:hint="eastAsia" w:asciiTheme="minorEastAsia" w:hAnsiTheme="minorEastAsia" w:eastAsiaTheme="minorEastAsia" w:cstheme="minorEastAsia"/>
                <w:color w:val="auto"/>
                <w:sz w:val="22"/>
                <w:szCs w:val="22"/>
                <w:highlight w:val="none"/>
                <w:lang w:eastAsia="zh-CN"/>
              </w:rPr>
              <w:t>...</w:t>
            </w:r>
          </w:p>
        </w:tc>
        <w:tc>
          <w:tcPr>
            <w:tcW w:w="1458" w:type="dxa"/>
            <w:vAlign w:val="center"/>
          </w:tcPr>
          <w:p w14:paraId="3F905766">
            <w:pPr>
              <w:jc w:val="center"/>
              <w:rPr>
                <w:rFonts w:asciiTheme="minorEastAsia" w:hAnsiTheme="minorEastAsia" w:eastAsiaTheme="minorEastAsia" w:cstheme="minorEastAsia"/>
                <w:color w:val="auto"/>
                <w:sz w:val="22"/>
                <w:szCs w:val="22"/>
                <w:highlight w:val="none"/>
              </w:rPr>
            </w:pPr>
          </w:p>
        </w:tc>
        <w:tc>
          <w:tcPr>
            <w:tcW w:w="1776" w:type="dxa"/>
            <w:vAlign w:val="center"/>
          </w:tcPr>
          <w:p w14:paraId="447E9961">
            <w:pPr>
              <w:jc w:val="center"/>
              <w:rPr>
                <w:rFonts w:asciiTheme="minorEastAsia" w:hAnsiTheme="minorEastAsia" w:eastAsiaTheme="minorEastAsia" w:cstheme="minorEastAsia"/>
                <w:color w:val="auto"/>
                <w:sz w:val="22"/>
                <w:szCs w:val="22"/>
                <w:highlight w:val="none"/>
              </w:rPr>
            </w:pPr>
          </w:p>
        </w:tc>
        <w:tc>
          <w:tcPr>
            <w:tcW w:w="925" w:type="dxa"/>
            <w:vAlign w:val="center"/>
          </w:tcPr>
          <w:p w14:paraId="596A99E3">
            <w:pPr>
              <w:jc w:val="center"/>
              <w:rPr>
                <w:rFonts w:asciiTheme="minorEastAsia" w:hAnsiTheme="minorEastAsia" w:eastAsiaTheme="minorEastAsia" w:cstheme="minorEastAsia"/>
                <w:color w:val="auto"/>
                <w:sz w:val="22"/>
                <w:szCs w:val="22"/>
                <w:highlight w:val="none"/>
              </w:rPr>
            </w:pPr>
          </w:p>
        </w:tc>
        <w:tc>
          <w:tcPr>
            <w:tcW w:w="1130" w:type="dxa"/>
            <w:vAlign w:val="center"/>
          </w:tcPr>
          <w:p w14:paraId="0A89900E">
            <w:pPr>
              <w:jc w:val="center"/>
              <w:rPr>
                <w:rFonts w:asciiTheme="minorEastAsia" w:hAnsiTheme="minorEastAsia" w:eastAsiaTheme="minorEastAsia" w:cstheme="minorEastAsia"/>
                <w:color w:val="auto"/>
                <w:sz w:val="22"/>
                <w:szCs w:val="22"/>
                <w:highlight w:val="none"/>
              </w:rPr>
            </w:pPr>
          </w:p>
        </w:tc>
        <w:tc>
          <w:tcPr>
            <w:tcW w:w="1090" w:type="dxa"/>
            <w:vAlign w:val="center"/>
          </w:tcPr>
          <w:p w14:paraId="7CE88457">
            <w:pPr>
              <w:jc w:val="center"/>
              <w:rPr>
                <w:rFonts w:asciiTheme="minorEastAsia" w:hAnsiTheme="minorEastAsia" w:eastAsiaTheme="minorEastAsia" w:cstheme="minorEastAsia"/>
                <w:color w:val="auto"/>
                <w:sz w:val="22"/>
                <w:szCs w:val="22"/>
                <w:highlight w:val="none"/>
              </w:rPr>
            </w:pPr>
          </w:p>
        </w:tc>
        <w:tc>
          <w:tcPr>
            <w:tcW w:w="1420" w:type="dxa"/>
            <w:vAlign w:val="center"/>
          </w:tcPr>
          <w:p w14:paraId="073E6C96">
            <w:pPr>
              <w:jc w:val="center"/>
              <w:rPr>
                <w:rFonts w:asciiTheme="minorEastAsia" w:hAnsiTheme="minorEastAsia" w:eastAsiaTheme="minorEastAsia" w:cstheme="minorEastAsia"/>
                <w:color w:val="auto"/>
                <w:sz w:val="22"/>
                <w:szCs w:val="22"/>
                <w:highlight w:val="none"/>
              </w:rPr>
            </w:pPr>
          </w:p>
        </w:tc>
        <w:tc>
          <w:tcPr>
            <w:tcW w:w="617" w:type="dxa"/>
            <w:vAlign w:val="center"/>
          </w:tcPr>
          <w:p w14:paraId="3C5FB26D">
            <w:pPr>
              <w:jc w:val="center"/>
              <w:rPr>
                <w:rFonts w:asciiTheme="minorEastAsia" w:hAnsiTheme="minorEastAsia" w:eastAsiaTheme="minorEastAsia" w:cstheme="minorEastAsia"/>
                <w:color w:val="auto"/>
                <w:sz w:val="22"/>
                <w:szCs w:val="22"/>
                <w:highlight w:val="none"/>
              </w:rPr>
            </w:pPr>
          </w:p>
        </w:tc>
      </w:tr>
      <w:tr w14:paraId="3F4D13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trPr>
        <w:tc>
          <w:tcPr>
            <w:tcW w:w="3755" w:type="dxa"/>
            <w:gridSpan w:val="3"/>
            <w:vMerge w:val="restart"/>
            <w:tcBorders>
              <w:bottom w:val="nil"/>
            </w:tcBorders>
          </w:tcPr>
          <w:p w14:paraId="78921052">
            <w:pPr>
              <w:rPr>
                <w:rFonts w:asciiTheme="minorEastAsia" w:hAnsiTheme="minorEastAsia" w:eastAsiaTheme="minorEastAsia" w:cstheme="minorEastAsia"/>
                <w:color w:val="auto"/>
                <w:sz w:val="22"/>
                <w:szCs w:val="22"/>
                <w:highlight w:val="none"/>
              </w:rPr>
            </w:pPr>
          </w:p>
          <w:p w14:paraId="03776583">
            <w:pPr>
              <w:rPr>
                <w:rFonts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合计(元)</w:t>
            </w:r>
          </w:p>
        </w:tc>
        <w:tc>
          <w:tcPr>
            <w:tcW w:w="5182" w:type="dxa"/>
            <w:gridSpan w:val="5"/>
            <w:vAlign w:val="center"/>
          </w:tcPr>
          <w:p w14:paraId="70476E38">
            <w:pPr>
              <w:jc w:val="both"/>
              <w:rPr>
                <w:rFonts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大写：</w:t>
            </w:r>
          </w:p>
        </w:tc>
      </w:tr>
      <w:tr w14:paraId="4D882E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3755" w:type="dxa"/>
            <w:gridSpan w:val="3"/>
            <w:vMerge w:val="continue"/>
            <w:tcBorders>
              <w:top w:val="nil"/>
            </w:tcBorders>
          </w:tcPr>
          <w:p w14:paraId="6C171A18">
            <w:pPr>
              <w:rPr>
                <w:rFonts w:asciiTheme="minorEastAsia" w:hAnsiTheme="minorEastAsia" w:eastAsiaTheme="minorEastAsia" w:cstheme="minorEastAsia"/>
                <w:color w:val="auto"/>
                <w:sz w:val="22"/>
                <w:szCs w:val="22"/>
                <w:highlight w:val="none"/>
              </w:rPr>
            </w:pPr>
          </w:p>
        </w:tc>
        <w:tc>
          <w:tcPr>
            <w:tcW w:w="5182" w:type="dxa"/>
            <w:gridSpan w:val="5"/>
            <w:vAlign w:val="center"/>
          </w:tcPr>
          <w:p w14:paraId="577C060A">
            <w:pPr>
              <w:jc w:val="both"/>
              <w:rPr>
                <w:rFonts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小写：</w:t>
            </w:r>
            <w:r>
              <w:rPr>
                <w:rFonts w:hint="eastAsia" w:asciiTheme="minorEastAsia" w:hAnsiTheme="minorEastAsia" w:eastAsiaTheme="minorEastAsia" w:cstheme="minorEastAsia"/>
                <w:color w:val="auto"/>
                <w:sz w:val="22"/>
                <w:szCs w:val="22"/>
                <w:highlight w:val="none"/>
                <w:u w:val="single"/>
                <w:lang w:eastAsia="zh-CN"/>
              </w:rPr>
              <w:t xml:space="preserve">           </w:t>
            </w:r>
            <w:r>
              <w:rPr>
                <w:rFonts w:hint="eastAsia" w:asciiTheme="minorEastAsia" w:hAnsiTheme="minorEastAsia" w:eastAsiaTheme="minorEastAsia" w:cstheme="minorEastAsia"/>
                <w:color w:val="auto"/>
                <w:sz w:val="22"/>
                <w:szCs w:val="22"/>
                <w:highlight w:val="none"/>
              </w:rPr>
              <w:t>元</w:t>
            </w:r>
          </w:p>
        </w:tc>
      </w:tr>
    </w:tbl>
    <w:p w14:paraId="76A364BC">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1.2 合同总额是指设备到达陕西能源职业技术学院指定地点、完成验收后的价格，其中已包含货物费(含备品备件费)、包装费、运杂费(含搬运、装卸、保险费等)、工程费、材料费、全部税费、安装调试费、售后服务及培训费等相关费用。</w:t>
      </w:r>
    </w:p>
    <w:p w14:paraId="2AF3E88F">
      <w:pPr>
        <w:spacing w:line="380" w:lineRule="exact"/>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eastAsia="zh-CN"/>
        </w:rPr>
        <w:t>其中，</w:t>
      </w:r>
      <w:r>
        <w:rPr>
          <w:rFonts w:hint="eastAsia" w:asciiTheme="minorEastAsia" w:hAnsiTheme="minorEastAsia" w:eastAsiaTheme="minorEastAsia" w:cstheme="minorEastAsia"/>
          <w:color w:val="auto"/>
          <w:sz w:val="24"/>
          <w:szCs w:val="24"/>
          <w:highlight w:val="none"/>
          <w:lang w:val="en-US" w:eastAsia="zh-CN"/>
        </w:rPr>
        <w:t>不含税金额____元，增值税税额____元，适用税率____%。</w:t>
      </w:r>
    </w:p>
    <w:p w14:paraId="19B98EC7">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1.3 合同总额为一次性包死价格，不受市场价格的变化和影响，在合同不发生变更时作为付款结算的依据。</w:t>
      </w:r>
    </w:p>
    <w:p w14:paraId="2F14C2B8">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 设备的技术参数要求</w:t>
      </w:r>
    </w:p>
    <w:p w14:paraId="3358190A">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1.4.1 本合同条款下提交货物的技术规格要求应等于或优于招投标文件技术规格要求(设备的技术参数和指标详见附件)。若技术规格要求中无相应规定，则应符合相应的国家有关部门最新颁布的相应正式标准。</w:t>
      </w:r>
    </w:p>
    <w:p w14:paraId="2570CD1F">
      <w:pPr>
        <w:spacing w:line="380" w:lineRule="exact"/>
        <w:ind w:firstLine="480" w:firstLineChars="200"/>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val="0"/>
          <w:bCs w:val="0"/>
          <w:color w:val="auto"/>
          <w:sz w:val="24"/>
          <w:szCs w:val="24"/>
          <w:highlight w:val="none"/>
          <w:lang w:eastAsia="zh-CN"/>
        </w:rPr>
        <w:t xml:space="preserve">1.4.2 </w:t>
      </w:r>
      <w:r>
        <w:rPr>
          <w:rFonts w:hint="eastAsia" w:asciiTheme="minorEastAsia" w:hAnsiTheme="minorEastAsia" w:eastAsiaTheme="minorEastAsia" w:cstheme="minorEastAsia"/>
          <w:b w:val="0"/>
          <w:bCs w:val="0"/>
          <w:color w:val="auto"/>
          <w:sz w:val="24"/>
          <w:szCs w:val="24"/>
          <w:highlight w:val="none"/>
          <w:lang w:val="en-US" w:eastAsia="zh-CN"/>
        </w:rPr>
        <w:t>所有设备和参数要与招标文件、投标文件保持一致，若关键参数不一致，以其中最优最高标准为执行标准。</w:t>
      </w:r>
    </w:p>
    <w:p w14:paraId="4BF38A8A">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lang w:eastAsia="zh-CN"/>
        </w:rPr>
        <w:t xml:space="preserve"> 乙方应向甲方提供有关标准的中文文本。</w:t>
      </w:r>
    </w:p>
    <w:p w14:paraId="34A83B43">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w:t>
      </w: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lang w:eastAsia="zh-CN"/>
        </w:rPr>
        <w:t xml:space="preserve"> 除非技术规范中另有规定，计量单位均采用中华人民共和国法定计量单位。</w:t>
      </w:r>
    </w:p>
    <w:p w14:paraId="436C6113">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2.包装运输要求</w:t>
      </w:r>
    </w:p>
    <w:p w14:paraId="716116B9">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设备的运输方式由乙方自行选择，在生产、运输、装卸过程中的任何安全问题与甲方无关。设备运输、装卸费用由乙方承担。乙方应做好设备的安全防护工作，保证甲方收到的是无任何损伤的货物。设备包装必须符合国家标准或行业标准，满足航空、铁路或公路运输以及货物装卸要求，乙方若因自身原因出现任何安全事故，责任均由乙方承担。同时，对于在此过程中由于乙方未尽义务，造成与甲方有关人或物的损伤，乙方应承担全部责任。</w:t>
      </w:r>
    </w:p>
    <w:p w14:paraId="3B7D627B">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3.交货时间及交货地点</w:t>
      </w:r>
    </w:p>
    <w:p w14:paraId="382761DF">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3.1 本项目为交钥匙工程，乙方须提供整套合格产品，严格按照安全规范完成设备用电、照明及网络综合布线施工，确保各类设备供电稳定、网络畅通，满足正常运行使用条件，切实做好安全防护相关工作。产品交货、安装地点均为甲方指定地点。</w:t>
      </w:r>
    </w:p>
    <w:p w14:paraId="59681C86">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3.2 合同签订后</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个工作日内，乙方负责将产品运输到指定地点，并按照验收标准和验收程序完成设备的安装、调试和验收工作。乙方保证运输过程中产品包装完好，在安装调试及验收时设备外观无划痕，设备质量完好。</w:t>
      </w:r>
    </w:p>
    <w:p w14:paraId="12511DE1">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4.产品质量保证</w:t>
      </w:r>
    </w:p>
    <w:p w14:paraId="34BE4FF8">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4.1 乙方提供的设备及配套产品，必须是合同规定厂家制造的合格、全新、未曾使用的产品，产品内部无损坏，外表无磨损，内部包装无破损。</w:t>
      </w:r>
    </w:p>
    <w:p w14:paraId="2818270C">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4.2 乙方提供的设备及配套产品必须等同于或优于合同技术指标要求，并能按国家标准供应、检测、调试，确保产品技术指标满足合同约定及使用要求。</w:t>
      </w:r>
    </w:p>
    <w:p w14:paraId="15657F34">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4.3 乙方须保证所提供的货物经正确安装、正常运转和保养，在其使用寿命期内须具有符合质量要求和产品说明书要求的性能。在产品质量保证期之内，乙方须对由于设计、工艺或材料的缺陷而发生的任何不足或故障负责，并免费予以改进或更换。</w:t>
      </w:r>
    </w:p>
    <w:p w14:paraId="04F9DD69">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4.4 根据甲方按检验标准自行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缺陷货物。乙方在甲方发出质量异议通知后未作答复，甲方在通知书中所提出的要求应视为已被乙方接受。</w:t>
      </w:r>
    </w:p>
    <w:p w14:paraId="79CD0900">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4.5 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利不受影响。</w:t>
      </w:r>
    </w:p>
    <w:p w14:paraId="37132609">
      <w:pPr>
        <w:spacing w:line="380" w:lineRule="exact"/>
        <w:ind w:firstLine="480" w:firstLineChars="200"/>
        <w:rPr>
          <w:rFonts w:hint="default"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4.6</w:t>
      </w:r>
      <w:r>
        <w:rPr>
          <w:rFonts w:hint="eastAsia" w:asciiTheme="minorEastAsia" w:hAnsiTheme="minorEastAsia" w:eastAsiaTheme="minorEastAsia" w:cstheme="minorEastAsia"/>
          <w:color w:val="auto"/>
          <w:sz w:val="24"/>
          <w:szCs w:val="24"/>
          <w:highlight w:val="none"/>
          <w:lang w:val="en-US" w:eastAsia="zh-CN"/>
        </w:rPr>
        <w:t xml:space="preserve"> </w:t>
      </w:r>
      <w:r>
        <w:rPr>
          <w:rFonts w:hint="default" w:asciiTheme="minorEastAsia" w:hAnsiTheme="minorEastAsia" w:eastAsiaTheme="minorEastAsia" w:cstheme="minorEastAsia"/>
          <w:color w:val="auto"/>
          <w:sz w:val="24"/>
          <w:szCs w:val="24"/>
          <w:highlight w:val="none"/>
          <w:lang w:eastAsia="zh-CN"/>
        </w:rPr>
        <w:t>产品质量保证期自最终验收合格之日起计算，其中：硬件设备质保期</w:t>
      </w:r>
      <w:r>
        <w:rPr>
          <w:rFonts w:hint="eastAsia" w:asciiTheme="minorEastAsia" w:hAnsiTheme="minorEastAsia" w:eastAsiaTheme="minorEastAsia" w:cstheme="minorEastAsia"/>
          <w:color w:val="auto"/>
          <w:sz w:val="24"/>
          <w:szCs w:val="24"/>
          <w:highlight w:val="none"/>
          <w:lang w:val="en-US" w:eastAsia="zh-CN"/>
        </w:rPr>
        <w:t>为</w:t>
      </w:r>
      <w:r>
        <w:rPr>
          <w:rFonts w:hint="default" w:asciiTheme="minorEastAsia" w:hAnsiTheme="minorEastAsia" w:eastAsiaTheme="minorEastAsia" w:cstheme="minorEastAsia"/>
          <w:color w:val="auto"/>
          <w:sz w:val="24"/>
          <w:szCs w:val="24"/>
          <w:highlight w:val="none"/>
          <w:lang w:eastAsia="zh-CN"/>
        </w:rPr>
        <w:t>____年；软件系统质保期为____年。</w:t>
      </w:r>
    </w:p>
    <w:p w14:paraId="4CDB85EE">
      <w:pPr>
        <w:spacing w:line="380" w:lineRule="exact"/>
        <w:ind w:firstLine="480" w:firstLineChars="200"/>
        <w:rPr>
          <w:rFonts w:hint="default" w:asciiTheme="minorEastAsia" w:hAnsiTheme="minorEastAsia" w:eastAsiaTheme="minorEastAsia" w:cstheme="minorEastAsia"/>
          <w:color w:val="auto"/>
          <w:sz w:val="24"/>
          <w:szCs w:val="24"/>
          <w:highlight w:val="none"/>
          <w:lang w:eastAsia="zh-CN"/>
        </w:rPr>
      </w:pPr>
      <w:r>
        <w:rPr>
          <w:rFonts w:hint="default" w:asciiTheme="minorEastAsia" w:hAnsiTheme="minorEastAsia" w:eastAsiaTheme="minorEastAsia" w:cstheme="minorEastAsia"/>
          <w:color w:val="auto"/>
          <w:sz w:val="24"/>
          <w:szCs w:val="24"/>
          <w:highlight w:val="none"/>
          <w:lang w:eastAsia="zh-CN"/>
        </w:rPr>
        <w:t>质保期内，乙方应</w:t>
      </w:r>
      <w:r>
        <w:rPr>
          <w:rFonts w:hint="default" w:asciiTheme="minorEastAsia" w:hAnsiTheme="minorEastAsia" w:eastAsiaTheme="minorEastAsia" w:cstheme="minorEastAsia"/>
          <w:color w:val="auto"/>
          <w:sz w:val="24"/>
          <w:szCs w:val="24"/>
          <w:highlight w:val="none"/>
          <w:lang w:val="en-US" w:eastAsia="zh-CN"/>
        </w:rPr>
        <w:t>对所有硬件设备提供免费维修、免费更换故障零部件，含人工费、上门费、备件费及运输费；</w:t>
      </w:r>
      <w:r>
        <w:rPr>
          <w:rFonts w:hint="eastAsia" w:asciiTheme="minorEastAsia" w:hAnsiTheme="minorEastAsia" w:eastAsiaTheme="minorEastAsia" w:cstheme="minorEastAsia"/>
          <w:color w:val="auto"/>
          <w:sz w:val="24"/>
          <w:szCs w:val="24"/>
          <w:highlight w:val="none"/>
          <w:lang w:val="en-US" w:eastAsia="zh-CN"/>
        </w:rPr>
        <w:t>对所有</w:t>
      </w:r>
      <w:r>
        <w:rPr>
          <w:rFonts w:hint="default" w:asciiTheme="minorEastAsia" w:hAnsiTheme="minorEastAsia" w:eastAsiaTheme="minorEastAsia" w:cstheme="minorEastAsia"/>
          <w:color w:val="auto"/>
          <w:sz w:val="24"/>
          <w:szCs w:val="24"/>
          <w:highlight w:val="none"/>
          <w:lang w:val="en-US" w:eastAsia="zh-CN"/>
        </w:rPr>
        <w:t>软件系统提供免费维护、漏洞修复、版本升级及其他常规技术支持服务；</w:t>
      </w:r>
      <w:r>
        <w:rPr>
          <w:rFonts w:hint="default" w:asciiTheme="minorEastAsia" w:hAnsiTheme="minorEastAsia" w:eastAsiaTheme="minorEastAsia" w:cstheme="minorEastAsia"/>
          <w:color w:val="auto"/>
          <w:sz w:val="24"/>
          <w:szCs w:val="24"/>
          <w:highlight w:val="none"/>
          <w:lang w:eastAsia="zh-CN"/>
        </w:rPr>
        <w:t>因产品质量或乙方安装施工原因导致的任何故障，全部维修、更换及由此产生的运输、人工等费用均由乙方承担，甲方不就此支付任何费用。</w:t>
      </w:r>
    </w:p>
    <w:p w14:paraId="6BFA2D5A">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default" w:asciiTheme="minorEastAsia" w:hAnsiTheme="minorEastAsia" w:eastAsiaTheme="minorEastAsia" w:cstheme="minorEastAsia"/>
          <w:color w:val="auto"/>
          <w:sz w:val="24"/>
          <w:szCs w:val="24"/>
          <w:highlight w:val="none"/>
          <w:lang w:eastAsia="zh-CN"/>
        </w:rPr>
        <w:t>质保期满后，乙方仍应继续提供软件系统终身免费维护，包括但不限于故障排除、数据修复、运行保障等；乙方负责硬件设备的终身维修</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维护</w:t>
      </w:r>
      <w:r>
        <w:rPr>
          <w:rFonts w:hint="default" w:asciiTheme="minorEastAsia" w:hAnsiTheme="minorEastAsia" w:eastAsiaTheme="minorEastAsia" w:cstheme="minorEastAsia"/>
          <w:color w:val="auto"/>
          <w:sz w:val="24"/>
          <w:szCs w:val="24"/>
          <w:highlight w:val="none"/>
          <w:lang w:eastAsia="zh-CN"/>
        </w:rPr>
        <w:t>维修人工费及上门费，收费标准不得高于乙方同期向市场其他同类客户收取价格</w:t>
      </w:r>
      <w:r>
        <w:rPr>
          <w:rFonts w:hint="eastAsia" w:asciiTheme="minorEastAsia" w:hAnsiTheme="minorEastAsia" w:eastAsiaTheme="minorEastAsia" w:cstheme="minorEastAsia"/>
          <w:color w:val="auto"/>
          <w:sz w:val="24"/>
          <w:szCs w:val="24"/>
          <w:highlight w:val="none"/>
          <w:lang w:eastAsia="zh-CN"/>
        </w:rPr>
        <w:t>。</w:t>
      </w:r>
      <w:r>
        <w:rPr>
          <w:rFonts w:hint="default" w:asciiTheme="minorEastAsia" w:hAnsiTheme="minorEastAsia" w:eastAsiaTheme="minorEastAsia" w:cstheme="minorEastAsia"/>
          <w:color w:val="auto"/>
          <w:sz w:val="24"/>
          <w:szCs w:val="24"/>
          <w:highlight w:val="none"/>
          <w:lang w:eastAsia="zh-CN"/>
        </w:rPr>
        <w:t>确需更换零配件的，乙方应保证更换的零配件为原厂原装新品，仅按配件成本费收取，成本费以乙方向原厂采购的采购凭证价格为准，不另加管理费或服务费，并由乙方负责更换安装并调试至正常运行。</w:t>
      </w:r>
    </w:p>
    <w:p w14:paraId="2944DD9F">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5.技术服务承诺</w:t>
      </w:r>
    </w:p>
    <w:p w14:paraId="5F664BD1">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5.1 乙方应严格按照供货时间，及时给甲方供货。</w:t>
      </w:r>
    </w:p>
    <w:p w14:paraId="0F10B6E9">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5.2 乙方负责提供设备相应的技术资料，包括产品合格证、产品保修单、安装使用及维护说明书以及运输装箱清单等，并对所有技术材料的真实性、准确性、先进性、完整性负责。</w:t>
      </w:r>
    </w:p>
    <w:p w14:paraId="21A20837">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5.3 人员培训：乙方免费为甲方培训设备使用人员，培训内容包括设备操作、维护、简单维修等（培训内容与标准、培训安排等要求详见附件）。</w:t>
      </w:r>
    </w:p>
    <w:p w14:paraId="66E9CA6E">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5.4 售后服务：质保期内，乙方对甲方提出的服务响应不得超过</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lang w:eastAsia="zh-CN"/>
        </w:rPr>
        <w:t>小时，并在</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none"/>
          <w:lang w:val="en-US" w:eastAsia="zh-CN"/>
        </w:rPr>
        <w:t>小时内</w:t>
      </w:r>
      <w:r>
        <w:rPr>
          <w:rFonts w:hint="eastAsia" w:asciiTheme="minorEastAsia" w:hAnsiTheme="minorEastAsia" w:eastAsiaTheme="minorEastAsia" w:cstheme="minorEastAsia"/>
          <w:color w:val="auto"/>
          <w:sz w:val="24"/>
          <w:szCs w:val="24"/>
          <w:highlight w:val="none"/>
          <w:lang w:eastAsia="zh-CN"/>
        </w:rPr>
        <w:t>派人到现场排除故障或制定解决方案。若设备或软件故障在约定时间内无法修复，乙方应提供性能完好的备用设备或软件供甲方使用，备用设备或软件的规格配置及性能不得低于原设备或软件要求。乙方应配有专业维修工程师，并指派专人负责与甲方联系售后服务事宜，乙方售后服务及维修专线：</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。质保期内乙方应每季度上门巡检不少于</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lang w:eastAsia="zh-CN"/>
        </w:rPr>
        <w:t>次，并出具设备运行报告。若乙方未在规定时间内响应或维修，甲方有权自行委托第三方维修，所产生的一切费用（包括但不限于维修费、运输费、替代设备租赁费等）均由乙方承担，甲方可直接从应付的任意一笔款项中抵扣，不足部分有权向乙方追偿。</w:t>
      </w:r>
    </w:p>
    <w:p w14:paraId="64938446">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5.5 具体服务详见乙方投标文件中乙方的承诺书。</w:t>
      </w:r>
    </w:p>
    <w:p w14:paraId="3E9C126D">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6.验收方法及标准</w:t>
      </w:r>
    </w:p>
    <w:p w14:paraId="19560E67">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6.1 开箱验收</w:t>
      </w:r>
    </w:p>
    <w:p w14:paraId="008622B0">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6.1.1 产品运抵现场后，双方应及时开箱验收，并制作验收记录，以确认与本合同约定的数量、型号等是否一致。</w:t>
      </w:r>
    </w:p>
    <w:p w14:paraId="63DF2FEB">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6.1.2 乙方应在交货前对产品的质量、规格、数量等进行详细而全面的检验，并出具证明产品符合合同规定的文件。该文件将作为申请付款单据的一部分，但有关质量、规格、数量的检验不应视为最终检验。</w:t>
      </w:r>
    </w:p>
    <w:p w14:paraId="473D2EB1">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6.1.3 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05A491FB">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6.1.4 开箱验收中如发现产品的数量、规格与合同约定不符，甲方有权拒收产品，乙方应及时按甲方要求免费对拒收产品采取更换或其他必要的补救措施，直至开箱验收合格，方视为乙方完成交货。</w:t>
      </w:r>
    </w:p>
    <w:p w14:paraId="01AA1363">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6.2 检验验收</w:t>
      </w:r>
    </w:p>
    <w:p w14:paraId="1D2A2256">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6.2.1 交货完成后，乙方应及时组装、调试、试运行，按照合同条款规定的试运行完成后，双方及时组织对产品进行检验验收。合同双方均须派人参加合同要求双方参加的试验、检验。</w:t>
      </w:r>
    </w:p>
    <w:p w14:paraId="5EE83A20">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6.2.2 在具体实施合同规定的检验验收之前，乙方需提前提交相应的测试计划(包括测试程序、测试内容和检验标准、试验时间安排等)供甲方确认。注：本条甲乙双方协商。</w:t>
      </w:r>
    </w:p>
    <w:p w14:paraId="37A0ECBF">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6.2.3 除需甲方确认的试验验收外，乙方还应对所有检验验收测试的结果、步骤、原始数据等做妥善记录。如甲方要求，乙方应提供这些记录给甲方。</w:t>
      </w:r>
    </w:p>
    <w:p w14:paraId="2A226C4F">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6.2.4 检验测试出现全部或部分未达到本合同所约定的技术指标，甲方有权选择下列任一处理方式：</w:t>
      </w:r>
    </w:p>
    <w:p w14:paraId="304370C8">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a.重新测试直至合格为止；</w:t>
      </w:r>
    </w:p>
    <w:p w14:paraId="5FB3893E">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b.要求乙方对货物进行免费更换，然后重新测试直至合格为止；无论选择何种方式，甲方因此而发生的、因乙方原因引起的所有费用均由乙方负担，并承担造成延迟交付的违约责任。</w:t>
      </w:r>
    </w:p>
    <w:p w14:paraId="5638F0A1">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6.3 使用过程检验</w:t>
      </w:r>
    </w:p>
    <w:p w14:paraId="5DCBD6E7">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6.3.1 在合同规定的质量保证期内，发现设备的质量或规格与合同规定不符，或证明设备有缺陷，包括潜在的缺陷或使用不合适的原材料等，由甲方组织质检(相关检测费用由乙方承担),根据质检报告及质量保证条款向乙方提出索赔，此索赔并不免除乙方应承担的合同义务。</w:t>
      </w:r>
    </w:p>
    <w:p w14:paraId="55A571E7">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6.3.2 如果合同双方对乙方提供的上述试验结果报告的解释有分歧，双方须于出现分歧后</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天内给对方声明，以陈述己方的观点。声明须附有关证据。分歧应通过协商解决。</w:t>
      </w:r>
    </w:p>
    <w:p w14:paraId="20C8E911">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6.4 所有验收合格，但不能免除乙方应该承担的质保责任。</w:t>
      </w:r>
    </w:p>
    <w:p w14:paraId="4917AEA2">
      <w:pPr>
        <w:spacing w:beforeLines="50" w:afterLines="50" w:line="360" w:lineRule="exact"/>
        <w:ind w:firstLine="482" w:firstLineChars="200"/>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7.合同款项支付方式</w:t>
      </w:r>
    </w:p>
    <w:p w14:paraId="3647C63C">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7.1 履约保证金</w:t>
      </w:r>
    </w:p>
    <w:p w14:paraId="54EB77F3">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7.1.1 乙方应在收到中标(成交)通知书后、合同签订前</w:t>
      </w:r>
      <w:r>
        <w:rPr>
          <w:rFonts w:hint="eastAsia" w:asciiTheme="minorEastAsia" w:hAnsiTheme="minorEastAsia" w:eastAsiaTheme="minorEastAsia" w:cstheme="minorEastAsia"/>
          <w:color w:val="auto"/>
          <w:sz w:val="24"/>
          <w:szCs w:val="24"/>
          <w:highlight w:val="none"/>
          <w:u w:val="single"/>
          <w:lang w:eastAsia="zh-CN"/>
        </w:rPr>
        <w:t xml:space="preserve"> 5 </w:t>
      </w:r>
      <w:r>
        <w:rPr>
          <w:rFonts w:hint="eastAsia" w:asciiTheme="minorEastAsia" w:hAnsiTheme="minorEastAsia" w:eastAsiaTheme="minorEastAsia" w:cstheme="minorEastAsia"/>
          <w:color w:val="auto"/>
          <w:sz w:val="24"/>
          <w:szCs w:val="24"/>
          <w:highlight w:val="none"/>
          <w:lang w:eastAsia="zh-CN"/>
        </w:rPr>
        <w:t>个工作日内，向甲方提交合同总价</w:t>
      </w:r>
      <w:r>
        <w:rPr>
          <w:rFonts w:hint="eastAsia" w:asciiTheme="minorEastAsia" w:hAnsiTheme="minorEastAsia" w:eastAsiaTheme="minorEastAsia" w:cstheme="minorEastAsia"/>
          <w:color w:val="auto"/>
          <w:sz w:val="24"/>
          <w:szCs w:val="24"/>
          <w:highlight w:val="none"/>
          <w:u w:val="single"/>
          <w:lang w:eastAsia="zh-CN"/>
        </w:rPr>
        <w:t xml:space="preserve"> 5  </w:t>
      </w:r>
      <w:r>
        <w:rPr>
          <w:rFonts w:hint="eastAsia" w:asciiTheme="minorEastAsia" w:hAnsiTheme="minorEastAsia" w:eastAsiaTheme="minorEastAsia" w:cstheme="minorEastAsia"/>
          <w:color w:val="auto"/>
          <w:sz w:val="24"/>
          <w:szCs w:val="24"/>
          <w:highlight w:val="none"/>
          <w:lang w:eastAsia="zh-CN"/>
        </w:rPr>
        <w:t>%的履约保证金（投标人可自主选择以银行转账、支票、汇票、本票或银行保函等非现金形式缴纳履约保证金，乙方应于提交前就所选缴纳方式的具体要求与甲方财务部门确认）。</w:t>
      </w:r>
    </w:p>
    <w:p w14:paraId="18FD09EE">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7.1.2 设备到货并由甲方验收合格后，采购人在收到供应商书面申请，经采购人确认供应商履行了合同约定的义务，无违约情形一次性予以无息退还。</w:t>
      </w:r>
    </w:p>
    <w:p w14:paraId="0004FCF5">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7.2 合同款支付</w:t>
      </w:r>
    </w:p>
    <w:p w14:paraId="7E7D8208">
      <w:pPr>
        <w:spacing w:line="380" w:lineRule="exact"/>
        <w:ind w:firstLine="480" w:firstLineChars="200"/>
        <w:rPr>
          <w:rFonts w:hint="eastAsia" w:ascii="仿宋_GB2312" w:hAnsi="仿宋_GB2312" w:eastAsia="仿宋_GB2312" w:cs="仿宋_GB2312"/>
          <w:color w:val="auto"/>
          <w:sz w:val="24"/>
          <w:szCs w:val="24"/>
          <w:highlight w:val="none"/>
          <w:u w:val="single"/>
        </w:rPr>
      </w:pPr>
      <w:r>
        <w:rPr>
          <w:rFonts w:hint="eastAsia" w:asciiTheme="minorEastAsia" w:hAnsiTheme="minorEastAsia" w:eastAsiaTheme="minorEastAsia" w:cstheme="minorEastAsia"/>
          <w:color w:val="auto"/>
          <w:sz w:val="24"/>
          <w:szCs w:val="24"/>
          <w:highlight w:val="none"/>
          <w:lang w:eastAsia="zh-CN"/>
        </w:rPr>
        <w:t>签订合同后，设备到达指定地点、安装调试完成并验收合格后，</w:t>
      </w:r>
      <w:r>
        <w:rPr>
          <w:rFonts w:hint="eastAsia" w:ascii="仿宋_GB2312" w:hAnsi="仿宋_GB2312" w:eastAsia="仿宋_GB2312" w:cs="仿宋_GB2312"/>
          <w:color w:val="auto"/>
          <w:sz w:val="24"/>
          <w:szCs w:val="24"/>
          <w:highlight w:val="none"/>
          <w:u w:val="single"/>
        </w:rPr>
        <w:t>并完成甲方所有内部付款审批程序，满足付款条件起</w:t>
      </w:r>
      <w:r>
        <w:rPr>
          <w:rFonts w:hint="eastAsia" w:ascii="仿宋_GB2312" w:hAnsi="仿宋_GB2312" w:eastAsia="仿宋_GB2312" w:cs="仿宋_GB2312"/>
          <w:color w:val="auto"/>
          <w:sz w:val="24"/>
          <w:szCs w:val="24"/>
          <w:highlight w:val="none"/>
          <w:u w:val="single"/>
          <w:lang w:val="en-US" w:eastAsia="zh-CN"/>
        </w:rPr>
        <w:t>3</w:t>
      </w:r>
      <w:r>
        <w:rPr>
          <w:rFonts w:hint="eastAsia" w:ascii="仿宋_GB2312" w:hAnsi="仿宋_GB2312" w:eastAsia="仿宋_GB2312" w:cs="仿宋_GB2312"/>
          <w:color w:val="auto"/>
          <w:sz w:val="24"/>
          <w:szCs w:val="24"/>
          <w:highlight w:val="none"/>
          <w:u w:val="single"/>
        </w:rPr>
        <w:t>0个工作日内支付合同总价的100%。</w:t>
      </w:r>
    </w:p>
    <w:p w14:paraId="553C6BB5">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7.3 甲方向乙方付款前，乙方必须先提供等额的增值税专用发票，在乙方提供后，方可办理付款手续（税票及其相关资料办理具体问题与学校财务部门咨询或协商，乙方开具发票时，须在发票中逐项列明所供设备的名称、规格型号、数量及单价，不得合并开具）。若乙方不能按照学校财务部门的要求出具发票，甲方有权不予付款，由此所造成的一切损失由乙方自行承担，如因发票问题使得甲方蒙受损失（包含但不限于罚款、处理费用、声誉影响等）的，乙方应当承担全部责任，并赔偿损失。</w:t>
      </w:r>
    </w:p>
    <w:p w14:paraId="0FBC28A8">
      <w:pPr>
        <w:spacing w:beforeLines="50" w:afterLines="50" w:line="360" w:lineRule="exact"/>
        <w:ind w:firstLine="482" w:firstLineChars="200"/>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8.安全生产和文明施工</w:t>
      </w:r>
    </w:p>
    <w:p w14:paraId="4AF450B5">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8.1 现场安全文明施工由乙方编制专项详细方案并严格执行。</w:t>
      </w:r>
    </w:p>
    <w:p w14:paraId="0068F2AD">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8.2 乙方必须认真执行省市有关施工安全生产条例和规定以及甲方管理要求，并做好安全管理工作，避免并杜绝安全事故的发生。如发生安全事故，一切责任与后果均由乙方承担，同时，给甲方造成损失，由乙方承担甲方相应经济赔偿责任。</w:t>
      </w:r>
    </w:p>
    <w:p w14:paraId="6350FA70">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8.3 在设备安装施工全过程中，乙方应服从甲方的各项管理，并对乙方施工人员进行安全管理。</w:t>
      </w:r>
    </w:p>
    <w:p w14:paraId="792470F9">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8.4 确保现场建筑物及相关设施设备完好无损，如施工过程中出现损坏，乙方负责修复赔偿。</w:t>
      </w:r>
    </w:p>
    <w:p w14:paraId="45E6485B">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8.5 乙方应对安装施工人员相关岗位上岗资格进行审查，并对相关后果负责。</w:t>
      </w:r>
    </w:p>
    <w:p w14:paraId="3E276B08">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9.索赔</w:t>
      </w:r>
    </w:p>
    <w:p w14:paraId="3216E5CF">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9.1 产品的质量、规格、型号、数量、性能、产地及零配件等与合同约定不符，或在质量保证期内证实货物存有缺陷，包括潜在的缺陷或使用不符合要求的材料等，甲方有权根据有资质的权威质检机构的检验结果向乙方提出索赔。</w:t>
      </w:r>
    </w:p>
    <w:p w14:paraId="3B3693E7">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9.2 在验收合格前，乙方对甲方提出的索赔负有责任，乙方应按照甲方同意的下列一种或多种方式解决索赔事宜：</w:t>
      </w:r>
    </w:p>
    <w:p w14:paraId="187434D9">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9.2.1 在法定的退货期内，乙方应按合同规定将货款全额退还给甲方，并承担由此发生的一切损失和费用，包括利息、银行手续费、运费、保险费、检验费、仓储费、装卸费以及为保护退回货物所需的其他必要费用。如已超过退货期，但乙方同意退货，可比照上述办法办理，或由双方协商处理。</w:t>
      </w:r>
    </w:p>
    <w:p w14:paraId="12E5D954">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9.2.2 根据货物低劣程度、损坏程度以及甲方所遭受损失的数额，经甲乙双方商定降低货物的价格，或由有资质的中介机构评估，以降低后的价格或评估价格为准。</w:t>
      </w:r>
    </w:p>
    <w:p w14:paraId="42343272">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9.2.3 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39896D8D">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9.3 乙方收到甲方发出的索赔通知之日起</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5</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个工作日内未作答复的，甲方可从合同款或履约保证金中扣回索赔金额，如金额不足以补偿索赔金额，乙方应补足差额部分。</w:t>
      </w:r>
    </w:p>
    <w:p w14:paraId="1B97683B">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10.违约责任</w:t>
      </w:r>
    </w:p>
    <w:p w14:paraId="39E0D81B">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10.1 合同生效后，甲乙双方应按合同规定认真全面履约。合同履约责任只涉及合同甲乙双方，不考虑第三方因素。</w:t>
      </w:r>
    </w:p>
    <w:p w14:paraId="45D68520">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10.2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39D51CFD">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10.3 如乙方产品质量不符合国家标准、行业内控标准或本合同技术附件要求的，甲方有权退货，乙方应退还全部货款，并承担合同总价款</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10</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%的违约金及其他损失。</w:t>
      </w:r>
    </w:p>
    <w:p w14:paraId="7175D321">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10.4 在合同规定的供货期内乙方未全部交货，除应如数补齐外，还应承担合同总款的</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10</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%违约金。</w:t>
      </w:r>
    </w:p>
    <w:p w14:paraId="6E88CEF2">
      <w:pPr>
        <w:spacing w:line="380" w:lineRule="exact"/>
        <w:ind w:firstLine="480" w:firstLineChars="200"/>
        <w:jc w:val="both"/>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10.5 乙方对货物不按招标文件要求，擅自更换，除恢复原招标产品外，应承担更换部分价款</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10</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%的违约金；乙方如对产品材质、随机配品以次充好，除全部按要求恢复外，应承担此部分价款</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10</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%的违约金。</w:t>
      </w:r>
    </w:p>
    <w:p w14:paraId="0D7A375B">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10.6 除不可抗力因素外，乙方没有按照合同规定的时间交货，甲方可要求乙方支付违约金，违约金每日按合同总价款的</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5</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‰计收。</w:t>
      </w:r>
    </w:p>
    <w:p w14:paraId="17EA37EF">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10.7 乙方</w:t>
      </w:r>
      <w:r>
        <w:rPr>
          <w:rFonts w:hint="eastAsia" w:asciiTheme="minorEastAsia" w:hAnsiTheme="minorEastAsia" w:eastAsiaTheme="minorEastAsia" w:cstheme="minorEastAsia"/>
          <w:color w:val="auto"/>
          <w:sz w:val="24"/>
          <w:szCs w:val="24"/>
          <w:highlight w:val="none"/>
          <w:lang w:eastAsia="zh-CN"/>
        </w:rPr>
        <w:t>对所供产品出现的问题推诿、拖延，</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24</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小时未作出服务响应和提供服务，甲方可要求乙方支付违约金，违约金每日按合同总价款的</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0.5</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‰计收。否则，甲方有权拒绝乙方以后参加学校竞标。</w:t>
      </w:r>
    </w:p>
    <w:p w14:paraId="36748A00">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11.合同争议的解决</w:t>
      </w:r>
    </w:p>
    <w:p w14:paraId="272EB465">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11.1 甲乙双方由于本合同的履行而发生任何争议时，双方可先通过协商解决。</w:t>
      </w:r>
    </w:p>
    <w:p w14:paraId="2051361C">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11.2 任何一方不愿通过协商或通过协商仍不能解决争议，则双方中任何一方均应向甲方所在地人民法院起诉。</w:t>
      </w:r>
    </w:p>
    <w:p w14:paraId="13332A80">
      <w:pPr>
        <w:spacing w:line="380" w:lineRule="exact"/>
        <w:ind w:firstLine="482" w:firstLineChars="200"/>
        <w:rPr>
          <w:rFonts w:asciiTheme="minorEastAsia" w:hAnsiTheme="minorEastAsia" w:eastAsiaTheme="minorEastAsia" w:cstheme="minorEastAsia"/>
          <w:b/>
          <w:color w:val="auto"/>
          <w:sz w:val="24"/>
          <w:szCs w:val="24"/>
          <w:highlight w:val="none"/>
          <w:lang w:eastAsia="zh-CN"/>
        </w:rPr>
      </w:pPr>
      <w:r>
        <w:rPr>
          <w:rFonts w:hint="eastAsia" w:asciiTheme="minorEastAsia" w:hAnsiTheme="minorEastAsia" w:eastAsiaTheme="minorEastAsia" w:cstheme="minorEastAsia"/>
          <w:b/>
          <w:color w:val="auto"/>
          <w:sz w:val="24"/>
          <w:szCs w:val="24"/>
          <w:highlight w:val="none"/>
          <w:lang w:eastAsia="zh-CN"/>
        </w:rPr>
        <w:t>12.违约解除合同</w:t>
      </w:r>
    </w:p>
    <w:p w14:paraId="2EC60D7D">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12.1 出现下列情形之一的，视为乙方违约。甲方可向乙方发出书面通知，部分或全部终止合同，同时保留向乙方索赔及追究其违约责任的权利。</w:t>
      </w:r>
    </w:p>
    <w:p w14:paraId="329B24F0">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12.1.1 乙方未能在合同规定的限期或甲方同意延长的限期内，提供全部或部分货物的；</w:t>
      </w:r>
    </w:p>
    <w:p w14:paraId="11F0B104">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12.1.2 乙方未能履行合同规定的其他主要义务的；</w:t>
      </w:r>
    </w:p>
    <w:p w14:paraId="2ED23E04">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12.1.3 乙方在本合同履行过程中有欺诈行为的。</w:t>
      </w:r>
    </w:p>
    <w:p w14:paraId="437D2971">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12.2 甲方全部或部分解除合同之后，乙方应承担甲方再次购买类似货物或服务而产生的支出。部分解除合同的，乙方应继续履行合同中未解除的部分。</w:t>
      </w:r>
    </w:p>
    <w:p w14:paraId="4715CA6C">
      <w:pPr>
        <w:shd w:val="clear" w:color="auto" w:fill="auto"/>
        <w:spacing w:line="380" w:lineRule="exact"/>
        <w:ind w:firstLine="480" w:firstLineChars="200"/>
        <w:outlineLvl w:val="9"/>
        <w:rPr>
          <w:rFonts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13.</w:t>
      </w:r>
      <w:bookmarkStart w:id="0" w:name="_Toc14186"/>
      <w:bookmarkStart w:id="1" w:name="_Toc23280"/>
      <w:bookmarkStart w:id="2" w:name="_Toc26328"/>
      <w:bookmarkStart w:id="3" w:name="_Toc495505745"/>
      <w:r>
        <w:rPr>
          <w:rFonts w:hint="eastAsia" w:asciiTheme="minorEastAsia" w:hAnsiTheme="minorEastAsia" w:eastAsiaTheme="minorEastAsia" w:cstheme="minorEastAsia"/>
          <w:b w:val="0"/>
          <w:bCs w:val="0"/>
          <w:color w:val="auto"/>
          <w:sz w:val="24"/>
          <w:szCs w:val="24"/>
          <w:highlight w:val="none"/>
          <w:lang w:eastAsia="zh-CN"/>
        </w:rPr>
        <w:t>不可抗力</w:t>
      </w:r>
      <w:bookmarkEnd w:id="0"/>
      <w:bookmarkEnd w:id="1"/>
      <w:bookmarkEnd w:id="2"/>
      <w:bookmarkEnd w:id="3"/>
    </w:p>
    <w:p w14:paraId="0955931E">
      <w:pPr>
        <w:shd w:val="clear" w:color="auto" w:fill="auto"/>
        <w:spacing w:line="380" w:lineRule="exact"/>
        <w:ind w:firstLine="480" w:firstLineChars="200"/>
        <w:rPr>
          <w:rFonts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lang w:eastAsia="zh-CN"/>
        </w:rPr>
        <w:t>13.1</w:t>
      </w: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kern w:val="0"/>
          <w:sz w:val="24"/>
          <w:szCs w:val="24"/>
          <w:highlight w:val="none"/>
          <w:lang w:eastAsia="zh-CN"/>
        </w:rPr>
        <w:t>本合同项下的“不可抗力”是指不能预见，不能避免且不能克服的客观情况，使得本合同一方当事人无法履行合同义务，如战争、严重火灾、水灾、风灾和地震属于不可抗力的事故。</w:t>
      </w:r>
    </w:p>
    <w:p w14:paraId="502DAB16">
      <w:pPr>
        <w:shd w:val="clear" w:color="auto" w:fill="auto"/>
        <w:spacing w:line="380" w:lineRule="exact"/>
        <w:ind w:firstLine="480" w:firstLineChars="200"/>
        <w:rPr>
          <w:rFonts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lang w:eastAsia="zh-CN"/>
        </w:rPr>
        <w:t>13.2</w:t>
      </w: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kern w:val="0"/>
          <w:sz w:val="24"/>
          <w:szCs w:val="24"/>
          <w:highlight w:val="none"/>
          <w:lang w:eastAsia="zh-CN"/>
        </w:rPr>
        <w:t>一方因不可抗力不能履行合同或不能完全履行合同的，根据不可抗力的影响，可以部分或全部地免除责任。由于不可抗力原因致使项目开发中断时，项目交付日期及付款日期相应顺延，各方不承担违约责任。</w:t>
      </w:r>
    </w:p>
    <w:p w14:paraId="25125348">
      <w:pPr>
        <w:shd w:val="clear" w:color="auto" w:fill="auto"/>
        <w:spacing w:line="380" w:lineRule="exact"/>
        <w:ind w:firstLine="480" w:firstLineChars="200"/>
        <w:rPr>
          <w:rFonts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lang w:eastAsia="zh-CN"/>
        </w:rPr>
        <w:t>13.3</w:t>
      </w: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kern w:val="0"/>
          <w:sz w:val="24"/>
          <w:szCs w:val="24"/>
          <w:highlight w:val="none"/>
          <w:lang w:eastAsia="zh-CN"/>
        </w:rPr>
        <w:t>如不可抗力事件延续120天以上的，各方通过协商达成在合理的时间内继续履行合同，或部分履行合同，或终止合同的履行。</w:t>
      </w:r>
    </w:p>
    <w:p w14:paraId="16FBAEAD">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13.</w:t>
      </w:r>
      <w:r>
        <w:rPr>
          <w:rFonts w:hint="eastAsia" w:asciiTheme="minorEastAsia" w:hAnsiTheme="minorEastAsia" w:eastAsiaTheme="minorEastAsia" w:cstheme="minorEastAsia"/>
          <w:color w:val="auto"/>
          <w:kern w:val="0"/>
          <w:sz w:val="24"/>
          <w:szCs w:val="24"/>
          <w:highlight w:val="none"/>
          <w:lang w:eastAsia="zh-CN"/>
        </w:rPr>
        <w:t>4</w:t>
      </w: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kern w:val="0"/>
          <w:sz w:val="24"/>
          <w:szCs w:val="24"/>
          <w:highlight w:val="none"/>
          <w:lang w:eastAsia="zh-CN"/>
        </w:rPr>
        <w:t>一方迟延履行后发生不可抗力的，不能免除责任。</w:t>
      </w:r>
    </w:p>
    <w:p w14:paraId="7544AB68">
      <w:pPr>
        <w:spacing w:beforeLines="-2147483648" w:afterLines="-2147483648" w:line="380" w:lineRule="exact"/>
        <w:ind w:firstLine="480" w:firstLineChars="200"/>
        <w:rPr>
          <w:rFonts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eastAsiaTheme="minorEastAsia" w:cstheme="minorEastAsia"/>
          <w:b w:val="0"/>
          <w:bCs w:val="0"/>
          <w:color w:val="auto"/>
          <w:sz w:val="24"/>
          <w:szCs w:val="24"/>
          <w:highlight w:val="none"/>
          <w:lang w:eastAsia="zh-CN"/>
        </w:rPr>
        <w:t>14.其他事项</w:t>
      </w:r>
    </w:p>
    <w:p w14:paraId="2F63D521">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14.1 合同经双方签字盖章后生效。本合同一式六份，甲方执五份，乙方执一份，执行完毕后自行失效。</w:t>
      </w:r>
    </w:p>
    <w:p w14:paraId="077FAA55">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14.2 下述文件为本合同一部分，并与本合同一起阅读和理解，且具有同等法律效力；本合同的附件、投标文件均作为本合同不可分割的内容，且具有同等法律效力。合同的附件由甲方使用单位负责审核并签章。</w:t>
      </w:r>
    </w:p>
    <w:p w14:paraId="4F210231">
      <w:pPr>
        <w:spacing w:line="380" w:lineRule="exact"/>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a.合同附件（设备和软件的具体配置及技术参数，</w:t>
      </w:r>
      <w:r>
        <w:rPr>
          <w:rFonts w:hint="eastAsia" w:asciiTheme="minorEastAsia" w:hAnsiTheme="minorEastAsia" w:eastAsiaTheme="minorEastAsia" w:cstheme="minorEastAsia"/>
          <w:color w:val="auto"/>
          <w:sz w:val="24"/>
          <w:szCs w:val="24"/>
          <w:highlight w:val="none"/>
          <w:lang w:eastAsia="zh-CN"/>
        </w:rPr>
        <w:t>培训内容、标准和安排</w:t>
      </w:r>
      <w:r>
        <w:rPr>
          <w:rFonts w:hint="eastAsia" w:asciiTheme="minorEastAsia" w:hAnsiTheme="minorEastAsia" w:eastAsiaTheme="minorEastAsia" w:cstheme="minorEastAsia"/>
          <w:color w:val="auto"/>
          <w:sz w:val="24"/>
          <w:szCs w:val="24"/>
          <w:highlight w:val="none"/>
          <w:lang w:val="en-US" w:eastAsia="zh-CN"/>
        </w:rPr>
        <w:t>）；</w:t>
      </w:r>
    </w:p>
    <w:p w14:paraId="1258281C">
      <w:pPr>
        <w:spacing w:line="380" w:lineRule="exact"/>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b.招标文件；</w:t>
      </w:r>
    </w:p>
    <w:p w14:paraId="7B8967EE">
      <w:pPr>
        <w:spacing w:line="380" w:lineRule="exact"/>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c.投标文件；</w:t>
      </w:r>
    </w:p>
    <w:p w14:paraId="3C02867E">
      <w:pPr>
        <w:spacing w:line="380" w:lineRule="exact"/>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d.进出口代理协议；</w:t>
      </w:r>
    </w:p>
    <w:p w14:paraId="4376EB17">
      <w:pPr>
        <w:spacing w:line="380" w:lineRule="exact"/>
        <w:ind w:firstLine="480" w:firstLineChars="200"/>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d.中标通知书。</w:t>
      </w:r>
    </w:p>
    <w:p w14:paraId="1E9B2B3A">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14.3 通知和合同修改；在本合同执行过程中，一方给另一方的通知，都应以书面形式（信函、传真）发送至对方，对本合同条款进行任何改动或补充，均须由甲乙双方签署书面合同修改签证，方为有效。</w:t>
      </w:r>
    </w:p>
    <w:p w14:paraId="456A2227">
      <w:pPr>
        <w:shd w:val="clear" w:color="auto" w:fill="auto"/>
        <w:spacing w:line="380" w:lineRule="exact"/>
        <w:ind w:firstLine="480" w:firstLineChars="200"/>
        <w:rPr>
          <w:rFonts w:asciiTheme="minorEastAsia" w:hAnsiTheme="minorEastAsia" w:eastAsiaTheme="minorEastAsia" w:cstheme="minorEastAsia"/>
          <w:color w:val="auto"/>
          <w:kern w:val="0"/>
          <w:sz w:val="24"/>
          <w:szCs w:val="24"/>
          <w:highlight w:val="none"/>
          <w:lang w:eastAsia="zh-CN"/>
        </w:rPr>
      </w:pPr>
      <w:bookmarkStart w:id="4" w:name="_Toc18101"/>
      <w:bookmarkStart w:id="5" w:name="_Toc11939"/>
      <w:bookmarkStart w:id="6" w:name="_Toc495505746"/>
      <w:bookmarkStart w:id="7" w:name="_Toc1081"/>
      <w:r>
        <w:rPr>
          <w:rFonts w:hint="eastAsia" w:asciiTheme="minorEastAsia" w:hAnsiTheme="minorEastAsia" w:eastAsiaTheme="minorEastAsia" w:cstheme="minorEastAsia"/>
          <w:b w:val="0"/>
          <w:bCs w:val="0"/>
          <w:color w:val="auto"/>
          <w:sz w:val="24"/>
          <w:szCs w:val="24"/>
          <w:highlight w:val="none"/>
          <w:lang w:eastAsia="zh-CN"/>
        </w:rPr>
        <w:t>1</w:t>
      </w:r>
      <w:r>
        <w:rPr>
          <w:rFonts w:hint="eastAsia" w:asciiTheme="minorEastAsia" w:hAnsiTheme="minorEastAsia" w:eastAsiaTheme="minorEastAsia" w:cstheme="minorEastAsia"/>
          <w:color w:val="auto"/>
          <w:sz w:val="24"/>
          <w:szCs w:val="24"/>
          <w:highlight w:val="none"/>
          <w:lang w:eastAsia="zh-CN"/>
        </w:rPr>
        <w:t>4</w:t>
      </w:r>
      <w:r>
        <w:rPr>
          <w:rFonts w:hint="eastAsia" w:asciiTheme="minorEastAsia" w:hAnsiTheme="minorEastAsia" w:eastAsiaTheme="minorEastAsia" w:cstheme="minorEastAsia"/>
          <w:b w:val="0"/>
          <w:bCs w:val="0"/>
          <w:color w:val="auto"/>
          <w:sz w:val="24"/>
          <w:szCs w:val="24"/>
          <w:highlight w:val="none"/>
          <w:lang w:eastAsia="zh-CN"/>
        </w:rPr>
        <w:t>.4</w:t>
      </w:r>
      <w:bookmarkEnd w:id="4"/>
      <w:bookmarkEnd w:id="5"/>
      <w:bookmarkEnd w:id="6"/>
      <w:bookmarkEnd w:id="7"/>
      <w:r>
        <w:rPr>
          <w:rFonts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kern w:val="0"/>
          <w:sz w:val="24"/>
          <w:szCs w:val="24"/>
          <w:highlight w:val="none"/>
          <w:lang w:eastAsia="zh-CN"/>
        </w:rPr>
        <w:t>本合同未尽事宜由双方协商，另行订立补充协议，补充协议与本协议具有同样的法律效力。如果本合同之附件与本合同规定不符, 以本合同规定为准。</w:t>
      </w:r>
    </w:p>
    <w:p w14:paraId="40E016EE">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14.5 本合同履行过程中，双方就本合同项下事宜所发出的任何通知、函件、文件、资料等（以下合称“通知”），均应按本合同双方确认的地址、联系人、联系电话及邮箱送达。各方确认合同所填写地址为有效送达地址，并保证该地址准确、有效。收件方签收当日视为送达。特快专递或挂号信寄出后第</w:t>
      </w:r>
      <w:r>
        <w:rPr>
          <w:rFonts w:asciiTheme="minorEastAsia" w:hAnsiTheme="minorEastAsia" w:eastAsiaTheme="minorEastAsia" w:cstheme="minorEastAsia"/>
          <w:color w:val="auto"/>
          <w:sz w:val="24"/>
          <w:szCs w:val="24"/>
          <w:highlight w:val="none"/>
          <w:lang w:eastAsia="zh-CN"/>
        </w:rPr>
        <w:t>3</w:t>
      </w:r>
      <w:r>
        <w:rPr>
          <w:rFonts w:hint="eastAsia" w:asciiTheme="minorEastAsia" w:hAnsiTheme="minorEastAsia" w:eastAsiaTheme="minorEastAsia" w:cstheme="minorEastAsia"/>
          <w:color w:val="auto"/>
          <w:sz w:val="24"/>
          <w:szCs w:val="24"/>
          <w:highlight w:val="none"/>
          <w:lang w:eastAsia="zh-CN"/>
        </w:rPr>
        <w:t>日（以邮戳为准）视为送达，即使发生拒收、退回等情形。电子邮件自进入收件方指定电子邮箱系统时视为送达（发送成功即视为进入，无论是否阅读）。若采用多种方式，以最早到达时间为准。任何一方变更地址，应提前</w:t>
      </w:r>
      <w:r>
        <w:rPr>
          <w:rFonts w:asciiTheme="minorEastAsia" w:hAnsiTheme="minorEastAsia" w:eastAsiaTheme="minorEastAsia" w:cstheme="minorEastAsia"/>
          <w:color w:val="auto"/>
          <w:sz w:val="24"/>
          <w:szCs w:val="24"/>
          <w:highlight w:val="none"/>
          <w:lang w:eastAsia="zh-CN"/>
        </w:rPr>
        <w:t>3</w:t>
      </w:r>
      <w:r>
        <w:rPr>
          <w:rFonts w:hint="eastAsia" w:asciiTheme="minorEastAsia" w:hAnsiTheme="minorEastAsia" w:eastAsiaTheme="minorEastAsia" w:cstheme="minorEastAsia"/>
          <w:color w:val="auto"/>
          <w:sz w:val="24"/>
          <w:szCs w:val="24"/>
          <w:highlight w:val="none"/>
          <w:lang w:eastAsia="zh-CN"/>
        </w:rPr>
        <w:t>个工作日书面通知对方；否则，原地址仍有效，依此发出的通知一经发出即视为送达，由此产生的后果由未通知方自行承担。</w:t>
      </w:r>
    </w:p>
    <w:p w14:paraId="63D15153">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p>
    <w:p w14:paraId="23B64909">
      <w:pPr>
        <w:spacing w:beforeLines="50" w:afterLines="5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合同签订地点：陕西能源职业技术学院</w:t>
      </w:r>
    </w:p>
    <w:p w14:paraId="29BBFC5F">
      <w:pPr>
        <w:spacing w:beforeLines="50" w:afterLines="5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合同签订时间：</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rPr>
        <w:t>日</w:t>
      </w:r>
    </w:p>
    <w:tbl>
      <w:tblPr>
        <w:tblStyle w:val="10"/>
        <w:tblW w:w="887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464"/>
        <w:gridCol w:w="4415"/>
      </w:tblGrid>
      <w:tr w14:paraId="427E97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1" w:hRule="atLeast"/>
        </w:trPr>
        <w:tc>
          <w:tcPr>
            <w:tcW w:w="4464" w:type="dxa"/>
            <w:vAlign w:val="center"/>
          </w:tcPr>
          <w:p w14:paraId="65687C73">
            <w:pPr>
              <w:jc w:val="both"/>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甲方(盖章):陕西能源职业技术学院</w:t>
            </w:r>
          </w:p>
        </w:tc>
        <w:tc>
          <w:tcPr>
            <w:tcW w:w="4415" w:type="dxa"/>
            <w:vAlign w:val="center"/>
          </w:tcPr>
          <w:p w14:paraId="28012D89">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乙方(盖章):</w:t>
            </w:r>
          </w:p>
        </w:tc>
      </w:tr>
      <w:tr w14:paraId="167FD0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4464" w:type="dxa"/>
            <w:vAlign w:val="center"/>
          </w:tcPr>
          <w:p w14:paraId="456BFEF4">
            <w:pPr>
              <w:jc w:val="both"/>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eastAsia="zh-CN"/>
              </w:rPr>
              <w:t>地址：</w:t>
            </w:r>
            <w:r>
              <w:rPr>
                <w:rFonts w:hint="eastAsia" w:asciiTheme="minorEastAsia" w:hAnsiTheme="minorEastAsia" w:eastAsiaTheme="minorEastAsia" w:cstheme="minorEastAsia"/>
                <w:color w:val="auto"/>
                <w:sz w:val="24"/>
                <w:szCs w:val="24"/>
                <w:highlight w:val="none"/>
                <w:lang w:val="en-US" w:eastAsia="zh-CN"/>
              </w:rPr>
              <w:t>咸阳市文林路</w:t>
            </w:r>
          </w:p>
        </w:tc>
        <w:tc>
          <w:tcPr>
            <w:tcW w:w="4415" w:type="dxa"/>
            <w:vAlign w:val="center"/>
          </w:tcPr>
          <w:p w14:paraId="303BBBFF">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地址：</w:t>
            </w:r>
          </w:p>
        </w:tc>
      </w:tr>
      <w:tr w14:paraId="35B637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6" w:hRule="atLeast"/>
        </w:trPr>
        <w:tc>
          <w:tcPr>
            <w:tcW w:w="4464" w:type="dxa"/>
            <w:vAlign w:val="center"/>
          </w:tcPr>
          <w:p w14:paraId="674C58E7">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法定代表人(签字):</w:t>
            </w:r>
          </w:p>
        </w:tc>
        <w:tc>
          <w:tcPr>
            <w:tcW w:w="4415" w:type="dxa"/>
            <w:vAlign w:val="center"/>
          </w:tcPr>
          <w:p w14:paraId="62C678F8">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法定代表人(签字):</w:t>
            </w:r>
          </w:p>
        </w:tc>
      </w:tr>
      <w:tr w14:paraId="70D742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4464" w:type="dxa"/>
            <w:vAlign w:val="center"/>
          </w:tcPr>
          <w:p w14:paraId="1D8C8CB0">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委托代理人(签字):</w:t>
            </w:r>
          </w:p>
        </w:tc>
        <w:tc>
          <w:tcPr>
            <w:tcW w:w="4415" w:type="dxa"/>
            <w:vAlign w:val="center"/>
          </w:tcPr>
          <w:p w14:paraId="0DDD38C5">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委托代理人(签字)</w:t>
            </w:r>
          </w:p>
        </w:tc>
      </w:tr>
      <w:tr w14:paraId="6D3FA5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4464" w:type="dxa"/>
            <w:vAlign w:val="center"/>
          </w:tcPr>
          <w:p w14:paraId="41BF14DE">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联系人：</w:t>
            </w:r>
          </w:p>
        </w:tc>
        <w:tc>
          <w:tcPr>
            <w:tcW w:w="4415" w:type="dxa"/>
            <w:vAlign w:val="center"/>
          </w:tcPr>
          <w:p w14:paraId="52866862">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联系人：</w:t>
            </w:r>
          </w:p>
        </w:tc>
      </w:tr>
      <w:tr w14:paraId="10E761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8" w:hRule="atLeast"/>
        </w:trPr>
        <w:tc>
          <w:tcPr>
            <w:tcW w:w="4464" w:type="dxa"/>
            <w:vAlign w:val="center"/>
          </w:tcPr>
          <w:p w14:paraId="0608D30B">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联系电话：</w:t>
            </w:r>
          </w:p>
        </w:tc>
        <w:tc>
          <w:tcPr>
            <w:tcW w:w="4415" w:type="dxa"/>
            <w:vAlign w:val="center"/>
          </w:tcPr>
          <w:p w14:paraId="7C0BF572">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联系电话：</w:t>
            </w:r>
          </w:p>
        </w:tc>
      </w:tr>
      <w:tr w14:paraId="25AC02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1" w:hRule="atLeast"/>
        </w:trPr>
        <w:tc>
          <w:tcPr>
            <w:tcW w:w="4464" w:type="dxa"/>
            <w:vAlign w:val="center"/>
          </w:tcPr>
          <w:p w14:paraId="475C412C">
            <w:pPr>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电子邮箱：</w:t>
            </w:r>
          </w:p>
        </w:tc>
        <w:tc>
          <w:tcPr>
            <w:tcW w:w="4415" w:type="dxa"/>
            <w:vAlign w:val="center"/>
          </w:tcPr>
          <w:p w14:paraId="4525FD96">
            <w:pPr>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电子邮箱：</w:t>
            </w:r>
          </w:p>
        </w:tc>
      </w:tr>
    </w:tbl>
    <w:p w14:paraId="0F5CC6AF">
      <w:pPr>
        <w:rPr>
          <w:rFonts w:hint="eastAsia" w:asciiTheme="minorEastAsia" w:hAnsiTheme="minorEastAsia" w:eastAsiaTheme="minorEastAsia" w:cstheme="minorEastAsia"/>
          <w:color w:val="auto"/>
          <w:highlight w:val="none"/>
          <w:lang w:eastAsia="zh-CN"/>
        </w:rPr>
      </w:pPr>
    </w:p>
    <w:sectPr>
      <w:footerReference r:id="rId3" w:type="default"/>
      <w:pgSz w:w="11900" w:h="16830"/>
      <w:pgMar w:top="1377" w:right="1253" w:bottom="1304" w:left="1524" w:header="0" w:footer="1169" w:gutter="0"/>
      <w:pgNumType w:fmt="numberInDash"/>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公文小标宋">
    <w:panose1 w:val="02000500000000000000"/>
    <w:charset w:val="86"/>
    <w:family w:val="auto"/>
    <w:pitch w:val="default"/>
    <w:sig w:usb0="A00002BF" w:usb1="38CF7CFA" w:usb2="00000016" w:usb3="00000000" w:csb0="00040001" w:csb1="00000000"/>
    <w:embedRegular r:id="rId1" w:fontKey="{DAB0F5D8-B593-4916-8369-157CAE148D0B}"/>
  </w:font>
  <w:font w:name="仿宋_GB2312">
    <w:panose1 w:val="02010609030101010101"/>
    <w:charset w:val="86"/>
    <w:family w:val="auto"/>
    <w:pitch w:val="default"/>
    <w:sig w:usb0="00000001" w:usb1="080E0000" w:usb2="00000000" w:usb3="00000000" w:csb0="00040000" w:csb1="00000000"/>
    <w:embedRegular r:id="rId2" w:fontKey="{F43E542E-8ADA-43FF-B305-33654A4F09D4}"/>
  </w:font>
  <w:font w:name="WPSEMBED1">
    <w:panose1 w:val="02000500000000000000"/>
    <w:charset w:val="86"/>
    <w:family w:val="auto"/>
    <w:pitch w:val="default"/>
    <w:sig w:usb0="A00002BF" w:usb1="38CF7CFA" w:usb2="00000016" w:usb3="00000000" w:csb0="00040001" w:csb1="00000000"/>
  </w:font>
  <w:font w:name="WPSEMBED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BF8CA">
    <w:pPr>
      <w:spacing w:line="174" w:lineRule="auto"/>
      <w:ind w:left="4435"/>
      <w:rPr>
        <w:rFonts w:ascii="Times New Roman" w:hAnsi="Times New Roman" w:eastAsia="Times New Roman" w:cs="Times New Roman"/>
        <w:sz w:val="15"/>
        <w:szCs w:val="15"/>
      </w:rPr>
    </w:pPr>
    <w:r>
      <w:rPr>
        <w:sz w:val="15"/>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3A5388">
                          <w:pPr>
                            <w:pStyle w:val="3"/>
                          </w:pPr>
                          <w:r>
                            <w:rPr>
                              <w:sz w:val="20"/>
                              <w:szCs w:val="22"/>
                            </w:rPr>
                            <w:fldChar w:fldCharType="begin"/>
                          </w:r>
                          <w:r>
                            <w:rPr>
                              <w:sz w:val="20"/>
                              <w:szCs w:val="22"/>
                            </w:rPr>
                            <w:instrText xml:space="preserve"> PAGE  \* MERGEFORMAT </w:instrText>
                          </w:r>
                          <w:r>
                            <w:rPr>
                              <w:sz w:val="20"/>
                              <w:szCs w:val="22"/>
                            </w:rPr>
                            <w:fldChar w:fldCharType="separate"/>
                          </w:r>
                          <w:r>
                            <w:rPr>
                              <w:sz w:val="20"/>
                              <w:szCs w:val="22"/>
                            </w:rPr>
                            <w:t>1</w:t>
                          </w:r>
                          <w:r>
                            <w:rPr>
                              <w:sz w:val="20"/>
                              <w:szCs w:val="2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53A5388">
                    <w:pPr>
                      <w:pStyle w:val="3"/>
                    </w:pPr>
                    <w:r>
                      <w:rPr>
                        <w:sz w:val="20"/>
                        <w:szCs w:val="22"/>
                      </w:rPr>
                      <w:fldChar w:fldCharType="begin"/>
                    </w:r>
                    <w:r>
                      <w:rPr>
                        <w:sz w:val="20"/>
                        <w:szCs w:val="22"/>
                      </w:rPr>
                      <w:instrText xml:space="preserve"> PAGE  \* MERGEFORMAT </w:instrText>
                    </w:r>
                    <w:r>
                      <w:rPr>
                        <w:sz w:val="20"/>
                        <w:szCs w:val="22"/>
                      </w:rPr>
                      <w:fldChar w:fldCharType="separate"/>
                    </w:r>
                    <w:r>
                      <w:rPr>
                        <w:sz w:val="20"/>
                        <w:szCs w:val="22"/>
                      </w:rPr>
                      <w:t>1</w:t>
                    </w:r>
                    <w:r>
                      <w:rPr>
                        <w:sz w:val="20"/>
                        <w:szCs w:val="22"/>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1M2YyYmJjZDZmMjY5NDg2OTUyNGVjNTQ0NDY2MjIifQ=="/>
  </w:docVars>
  <w:rsids>
    <w:rsidRoot w:val="006C4ADD"/>
    <w:rsid w:val="00091AE6"/>
    <w:rsid w:val="000C37A4"/>
    <w:rsid w:val="000C3C24"/>
    <w:rsid w:val="000F380C"/>
    <w:rsid w:val="0013590D"/>
    <w:rsid w:val="0016095A"/>
    <w:rsid w:val="001A5E78"/>
    <w:rsid w:val="003511F5"/>
    <w:rsid w:val="004174E0"/>
    <w:rsid w:val="0044229A"/>
    <w:rsid w:val="005A1F4B"/>
    <w:rsid w:val="0062118E"/>
    <w:rsid w:val="006C4ADD"/>
    <w:rsid w:val="00777EB7"/>
    <w:rsid w:val="007C6DE7"/>
    <w:rsid w:val="008B3847"/>
    <w:rsid w:val="008E5CC1"/>
    <w:rsid w:val="00917EE0"/>
    <w:rsid w:val="00A16822"/>
    <w:rsid w:val="00AB13E3"/>
    <w:rsid w:val="00B33C55"/>
    <w:rsid w:val="00B50900"/>
    <w:rsid w:val="00B53789"/>
    <w:rsid w:val="00BD4DE1"/>
    <w:rsid w:val="00CB1EB5"/>
    <w:rsid w:val="00CD7143"/>
    <w:rsid w:val="00CE3A36"/>
    <w:rsid w:val="00DF6577"/>
    <w:rsid w:val="00FA43DF"/>
    <w:rsid w:val="0AA7621A"/>
    <w:rsid w:val="0B3348DE"/>
    <w:rsid w:val="0E0E1BEC"/>
    <w:rsid w:val="12266F4A"/>
    <w:rsid w:val="168077F8"/>
    <w:rsid w:val="18B2778A"/>
    <w:rsid w:val="1C2B5C7B"/>
    <w:rsid w:val="1C6E45B6"/>
    <w:rsid w:val="1D4F1A4B"/>
    <w:rsid w:val="1DB10E44"/>
    <w:rsid w:val="1E1B62F5"/>
    <w:rsid w:val="1F5844BB"/>
    <w:rsid w:val="22AD1941"/>
    <w:rsid w:val="230010F2"/>
    <w:rsid w:val="242A1B68"/>
    <w:rsid w:val="258129BE"/>
    <w:rsid w:val="25E72643"/>
    <w:rsid w:val="25FA62CC"/>
    <w:rsid w:val="2F974B8C"/>
    <w:rsid w:val="30B73737"/>
    <w:rsid w:val="30C46236"/>
    <w:rsid w:val="37A94BA8"/>
    <w:rsid w:val="37AA2989"/>
    <w:rsid w:val="384004B6"/>
    <w:rsid w:val="3CB46D7D"/>
    <w:rsid w:val="3F9904AC"/>
    <w:rsid w:val="408E30B3"/>
    <w:rsid w:val="439B4FE7"/>
    <w:rsid w:val="47EF5D35"/>
    <w:rsid w:val="4DDA685F"/>
    <w:rsid w:val="528B3483"/>
    <w:rsid w:val="54637566"/>
    <w:rsid w:val="58CB4F3F"/>
    <w:rsid w:val="5BEA0612"/>
    <w:rsid w:val="61D5316E"/>
    <w:rsid w:val="6283046C"/>
    <w:rsid w:val="62DB47B4"/>
    <w:rsid w:val="62E263C2"/>
    <w:rsid w:val="64F8789F"/>
    <w:rsid w:val="65784102"/>
    <w:rsid w:val="677B47B7"/>
    <w:rsid w:val="68751207"/>
    <w:rsid w:val="6A535578"/>
    <w:rsid w:val="6AE73408"/>
    <w:rsid w:val="6C185516"/>
    <w:rsid w:val="6DBF657D"/>
    <w:rsid w:val="6F685621"/>
    <w:rsid w:val="729D685E"/>
    <w:rsid w:val="735C36EB"/>
    <w:rsid w:val="741F2C12"/>
    <w:rsid w:val="757F5473"/>
    <w:rsid w:val="7A5213A8"/>
    <w:rsid w:val="7B2553AE"/>
    <w:rsid w:val="7B2F3497"/>
    <w:rsid w:val="7DEF74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footer"/>
    <w:basedOn w:val="1"/>
    <w:semiHidden/>
    <w:unhideWhenUsed/>
    <w:qFormat/>
    <w:uiPriority w:val="99"/>
    <w:pPr>
      <w:tabs>
        <w:tab w:val="center" w:pos="4153"/>
        <w:tab w:val="right" w:pos="8306"/>
      </w:tabs>
      <w:snapToGrid w:val="0"/>
      <w:jc w:val="left"/>
    </w:pPr>
    <w:rPr>
      <w:sz w:val="18"/>
    </w:rPr>
  </w:style>
  <w:style w:type="paragraph" w:styleId="4">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FollowedHyperlink"/>
    <w:basedOn w:val="7"/>
    <w:semiHidden/>
    <w:unhideWhenUsed/>
    <w:qFormat/>
    <w:uiPriority w:val="99"/>
    <w:rPr>
      <w:color w:val="666666"/>
      <w:u w:val="none"/>
    </w:rPr>
  </w:style>
  <w:style w:type="character" w:styleId="9">
    <w:name w:val="Hyperlink"/>
    <w:basedOn w:val="7"/>
    <w:semiHidden/>
    <w:unhideWhenUsed/>
    <w:qFormat/>
    <w:uiPriority w:val="99"/>
    <w:rPr>
      <w:color w:val="666666"/>
      <w:u w:val="none"/>
    </w:rPr>
  </w:style>
  <w:style w:type="table" w:customStyle="1" w:styleId="10">
    <w:name w:val="Table Normal"/>
    <w:semiHidden/>
    <w:unhideWhenUsed/>
    <w:qFormat/>
    <w:uiPriority w:val="0"/>
    <w:rPr>
      <w:rFonts w:ascii="Arial" w:hAnsi="Arial" w:cs="Arial"/>
      <w:kern w:val="0"/>
      <w:sz w:val="20"/>
      <w:szCs w:val="20"/>
    </w:rPr>
    <w:tblPr>
      <w:tblCellMar>
        <w:top w:w="0" w:type="dxa"/>
        <w:left w:w="0" w:type="dxa"/>
        <w:bottom w:w="0" w:type="dxa"/>
        <w:right w:w="0" w:type="dxa"/>
      </w:tblCellMar>
    </w:tblPr>
  </w:style>
  <w:style w:type="paragraph" w:customStyle="1" w:styleId="11">
    <w:name w:val="_Style 10"/>
    <w:basedOn w:val="1"/>
    <w:next w:val="1"/>
    <w:qFormat/>
    <w:uiPriority w:val="0"/>
    <w:pPr>
      <w:pBdr>
        <w:bottom w:val="single" w:color="auto" w:sz="6" w:space="1"/>
      </w:pBdr>
      <w:jc w:val="center"/>
    </w:pPr>
    <w:rPr>
      <w:rFonts w:ascii="Arial" w:eastAsia="宋体"/>
      <w:vanish/>
      <w:sz w:val="16"/>
    </w:rPr>
  </w:style>
  <w:style w:type="paragraph" w:customStyle="1" w:styleId="12">
    <w:name w:val="_Style 11"/>
    <w:basedOn w:val="1"/>
    <w:next w:val="1"/>
    <w:qFormat/>
    <w:uiPriority w:val="0"/>
    <w:pPr>
      <w:pBdr>
        <w:top w:val="single" w:color="auto" w:sz="6" w:space="1"/>
      </w:pBdr>
      <w:jc w:val="center"/>
    </w:pPr>
    <w:rPr>
      <w:rFonts w:ascii="Arial" w:eastAsia="宋体"/>
      <w:vanish/>
      <w:sz w:val="16"/>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2f88fcda-9225-42ea-9bf9-f401252f55f6</errorID>
      <errorWord>(</errorWord>
      <group>L1_Format</group>
      <groupName>格式问题</groupName>
      <ability>L2_HalfPunc</ability>
      <abilityName>全半角检查</abilityName>
      <candidateList>
        <item>（</item>
      </candidateList>
      <explain>文本全半角错误。</explain>
      <paraID> 752FDA2</paraID>
      <start>0</start>
      <end>1</end>
      <status>ignored</status>
      <modifiedWord/>
      <trackRevisions>false</trackRevisions>
    </reviewItem>
    <reviewItem>
      <errorID>f63196ed-384a-404e-84fa-e533491344e5</errorID>
      <errorWord>)</errorWord>
      <group>L1_Format</group>
      <groupName>格式问题</groupName>
      <ability>L2_HalfPunc</ability>
      <abilityName>全半角检查</abilityName>
      <candidateList>
        <item>）</item>
      </candidateList>
      <explain>文本全半角错误。</explain>
      <paraID> 752FDA2</paraID>
      <start>4</start>
      <end>5</end>
      <status>unmodified</status>
      <modifiedWord/>
      <trackRevisions>false</trackRevisions>
    </reviewItem>
    <reviewItem>
      <errorID>546bd793-d7fa-4310-b8f7-333b3b81a74c</errorID>
      <errorWord>(</errorWord>
      <group>L1_Format</group>
      <groupName>格式问题</groupName>
      <ability>L2_HalfPunc</ability>
      <abilityName>全半角检查</abilityName>
      <candidateList>
        <item>（</item>
      </candidateList>
      <explain>文本全半角错误。</explain>
      <paraID>313385B6</paraID>
      <start>0</start>
      <end>1</end>
      <status>unmodified</status>
      <modifiedWord/>
      <trackRevisions>false</trackRevisions>
    </reviewItem>
    <reviewItem>
      <errorID>8874b2c4-6557-4f6e-88c6-49b1a7f29c47</errorID>
      <errorWord>)</errorWord>
      <group>L1_Format</group>
      <groupName>格式问题</groupName>
      <ability>L2_HalfPunc</ability>
      <abilityName>全半角检查</abilityName>
      <candidateList>
        <item>）</item>
      </candidateList>
      <explain>文本全半角错误。</explain>
      <paraID>313385B6</paraID>
      <start>3</start>
      <end>4</end>
      <status>unmodified</status>
      <modifiedWord/>
      <trackRevisions>false</trackRevisions>
    </reviewItem>
    <reviewItem>
      <errorID>666bb524-5d3f-40de-8a06-07d19de263fb</errorID>
      <errorWord>(</errorWord>
      <group>L1_Format</group>
      <groupName>格式问题</groupName>
      <ability>L2_HalfPunc</ability>
      <abilityName>全半角检查</abilityName>
      <candidateList>
        <item>（</item>
      </candidateList>
      <explain>文本全半角错误。</explain>
      <paraID>446C6D23</paraID>
      <start>0</start>
      <end>1</end>
      <status>unmodified</status>
      <modifiedWord/>
      <trackRevisions>false</trackRevisions>
    </reviewItem>
    <reviewItem>
      <errorID>425c427c-8a4c-4a02-a2f4-0c1f2a944af4</errorID>
      <errorWord>)</errorWord>
      <group>L1_Format</group>
      <groupName>格式问题</groupName>
      <ability>L2_HalfPunc</ability>
      <abilityName>全半角检查</abilityName>
      <candidateList>
        <item>）</item>
      </candidateList>
      <explain>文本全半角错误。</explain>
      <paraID>446C6D23</paraID>
      <start>3</start>
      <end>4</end>
      <status>unmodified</status>
      <modifiedWord/>
      <trackRevisions>false</trackRevisions>
    </reviewItem>
    <reviewItem>
      <errorID>691fa7f0-dd76-4036-8eb7-5b9c9d926170</errorID>
      <errorWord>(</errorWord>
      <group>L1_Format</group>
      <groupName>格式问题</groupName>
      <ability>L2_HalfPunc</ability>
      <abilityName>全半角检查</abilityName>
      <candidateList>
        <item>（</item>
      </candidateList>
      <explain>文本全半角错误。</explain>
      <paraID> 3776583</paraID>
      <start>2</start>
      <end>3</end>
      <status>unmodified</status>
      <modifiedWord/>
      <trackRevisions>false</trackRevisions>
    </reviewItem>
    <reviewItem>
      <errorID>f7975d9c-c35e-4cdd-ba01-b9fb7119475d</errorID>
      <errorWord>)</errorWord>
      <group>L1_Format</group>
      <groupName>格式问题</groupName>
      <ability>L2_HalfPunc</ability>
      <abilityName>全半角检查</abilityName>
      <candidateList>
        <item>）</item>
      </candidateList>
      <explain>文本全半角错误。</explain>
      <paraID> 3776583</paraID>
      <start>4</start>
      <end>5</end>
      <status>unmodified</status>
      <modifiedWord/>
      <trackRevisions>false</trackRevisions>
    </reviewItem>
    <reviewItem>
      <errorID>92011310-882b-4df3-a0c0-8c2f73f3e77c</errorID>
      <errorWord>(含备品备件费)</errorWord>
      <group>L1_AI</group>
      <groupName>深度校对</groupName>
      <ability>L2_AI_Punc</ability>
      <abilityName>标点纠错</abilityName>
      <candidateList>
        <item>（含备品备件费）</item>
      </candidateList>
      <explain/>
      <paraID>76A364BC</paraID>
      <start>44</start>
      <end>52</end>
      <status>unmodified</status>
      <modifiedWord/>
      <trackRevisions>false</trackRevisions>
    </reviewItem>
    <reviewItem>
      <errorID>26036ef4-30dc-4792-a4a4-eb1cf4d72de7</errorID>
      <errorWord>(含搬运、装卸、保险费等)</errorWord>
      <group>L1_AI</group>
      <groupName>深度校对</groupName>
      <ability>L2_AI_Punc</ability>
      <abilityName>标点纠错</abilityName>
      <candidateList>
        <item>（含搬运、装卸、保险费等）</item>
      </candidateList>
      <explain/>
      <paraID>76A364BC</paraID>
      <start>60</start>
      <end>73</end>
      <status>unmodified</status>
      <modifiedWord/>
      <trackRevisions>false</trackRevisions>
    </reviewItem>
    <reviewItem>
      <errorID>6e59c73f-7b1a-447a-8d0e-e21d16b25f7d</errorID>
      <errorWord>)</errorWord>
      <group>L1_Format</group>
      <groupName>格式问题</groupName>
      <ability>L2_HalfPunc</ability>
      <abilityName>全半角检查</abilityName>
      <candidateList>
        <item>）</item>
      </candidateList>
      <explain>文本全半角错误。</explain>
      <paraID>76A364BC</paraID>
      <start>72</start>
      <end>73</end>
      <status>unmodified</status>
      <modifiedWord/>
      <trackRevisions>false</trackRevisions>
    </reviewItem>
    <reviewItem>
      <errorID>cb79ad83-2a70-45d0-8891-03560989e630</errorID>
      <errorWord>(</errorWord>
      <group>L1_Format</group>
      <groupName>格式问题</groupName>
      <ability>L2_HalfPunc</ability>
      <abilityName>全半角检查</abilityName>
      <candidateList>
        <item>（</item>
      </candidateList>
      <explain>文本全半角错误。</explain>
      <paraID>3358190A</paraID>
      <start>40</start>
      <end>41</end>
      <status>unmodified</status>
      <modifiedWord/>
      <trackRevisions>false</trackRevisions>
    </reviewItem>
    <reviewItem>
      <errorID>c0319a5c-9942-4b94-8b9d-87b5dcd65b36</errorID>
      <errorWord>)</errorWord>
      <group>L1_Format</group>
      <groupName>格式问题</groupName>
      <ability>L2_HalfPunc</ability>
      <abilityName>全半角检查</abilityName>
      <candidateList>
        <item>）</item>
      </candidateList>
      <explain>文本全半角错误。</explain>
      <paraID>3358190A</paraID>
      <start>55</start>
      <end>56</end>
      <status>unmodified</status>
      <modifiedWord/>
      <trackRevisions>false</trackRevisions>
    </reviewItem>
    <reviewItem>
      <errorID>3cbd2369-5f21-4944-bf0a-70be7c8e0d0e</errorID>
      <errorWord>符合相应的</errorWord>
      <group>L1_AI</group>
      <groupName>深度校对</groupName>
      <ability>L2_AI_Grammar</ability>
      <abilityName>语法纠错</abilityName>
      <candidateList>
        <item>符合</item>
      </candidateList>
      <explain/>
      <paraID>3358190A</paraID>
      <start>73</start>
      <end>78</end>
      <status>unmodified</status>
      <modifiedWord/>
      <trackRevisions>false</trackRevisions>
    </reviewItem>
    <reviewItem>
      <errorID>12fbaf1d-391d-4735-a01b-448e951edbf1</errorID>
      <errorWord>最优最高</errorWord>
      <group>L1_AI</group>
      <groupName>深度校对</groupName>
      <ability>L2_AI_Grammar</ability>
      <abilityName>语法纠错</abilityName>
      <candidateList>
        <item>最优</item>
      </candidateList>
      <explain/>
      <paraID>2570CD1F</paraID>
      <start>41</start>
      <end>45</end>
      <status>unmodified</status>
      <modifiedWord/>
      <trackRevisions>false</trackRevisions>
    </reviewItem>
    <reviewItem>
      <errorID>52cfaa1c-e96a-4bbb-9716-e2c0d9c2fdcc</errorID>
      <errorWord>，</errorWord>
      <group>L1_AI</group>
      <groupName>深度校对</groupName>
      <ability>L2_AI_Punc</ability>
      <abilityName>标点纠错</abilityName>
      <candidateList>
        <item/>
      </candidateList>
      <explain/>
      <paraID>716116B9</paraID>
      <start>170</start>
      <end>171</end>
      <status>unmodified</status>
      <modifiedWord/>
      <trackRevisions>false</trackRevisions>
    </reviewItem>
    <reviewItem>
      <errorID>fcd4d5f1-43a6-4608-b303-aedbd5e222f4</errorID>
      <errorWord>、</errorWord>
      <group>L1_AI</group>
      <groupName>深度校对</groupName>
      <ability>L2_AI_Word</ability>
      <abilityName>字词纠错</abilityName>
      <candidateList>
        <item>，在</item>
      </candidateList>
      <explain/>
      <paraID>59681C86</paraID>
      <start>77</start>
      <end>79</end>
      <status>modified</status>
      <modifiedWord>，在</modifiedWord>
      <trackRevisions>false</trackRevisions>
    </reviewItem>
    <reviewItem>
      <errorID>30ad4848-d15b-4f12-b2d1-d629c615e619</errorID>
      <errorWord>、</errorWord>
      <group>L1_AI</group>
      <groupName>深度校对</groupName>
      <ability>L2_AI_Punc</ability>
      <abilityName>标点纠错</abilityName>
      <candidateList>
        <item/>
      </candidateList>
      <explain/>
      <paraID>34BE4FF8</paraID>
      <start>29</start>
      <end>29</end>
      <status>modified</status>
      <modifiedWord/>
      <trackRevisions>false</trackRevisions>
    </reviewItem>
    <reviewItem>
      <errorID>02056b4d-f163-4ddd-968b-4b7d6b0a3849</errorID>
      <errorWord>的</errorWord>
      <group>L1_AI</group>
      <groupName>深度校对</groupName>
      <ability>L2_AI_Grammar</ability>
      <abilityName>语法纠错</abilityName>
      <candidateList>
        <item>要求的</item>
      </candidateList>
      <explain/>
      <paraID>15657F34</paraID>
      <start>52</start>
      <end>55</end>
      <status>modified</status>
      <modifiedWord>要求的</modifiedWord>
      <trackRevisions>false</trackRevisions>
    </reviewItem>
    <reviewItem>
      <errorID>d6d25ba1-f75d-43e6-8820-e30b04ed47a6</errorID>
      <errorWord>，</errorWord>
      <group>L1_AI</group>
      <groupName>深度校对</groupName>
      <ability>L2_AI_Punc</ability>
      <abilityName>标点纠错</abilityName>
      <candidateList>
        <item/>
      </candidateList>
      <explain/>
      <paraID> 4F9DD69</paraID>
      <start>145</start>
      <end>145</end>
      <status>modified</status>
      <modifiedWord/>
      <trackRevisions>false</trackRevisions>
    </reviewItem>
    <reviewItem>
      <errorID>2a2853ce-9a97-43ba-8533-1d81f4d0fa2f</errorID>
      <errorWord>权力</errorWord>
      <group>L1_AI</group>
      <groupName>深度校对</groupName>
      <ability>L2_AI_Word</ability>
      <abilityName>字词纠错</abilityName>
      <candidateList>
        <item>权利</item>
      </candidateList>
      <explain/>
      <paraID>79CD0900</paraID>
      <start>109</start>
      <end>111</end>
      <status>modified</status>
      <modifiedWord>权利</modifiedWord>
      <trackRevisions>false</trackRevisions>
    </reviewItem>
    <reviewItem>
      <errorID>9baa115c-153c-48b0-a637-630780f5ad36</errorID>
      <errorWord>：</errorWord>
      <group>L1_AI</group>
      <groupName>深度校对</groupName>
      <ability>L2_AI_Punc</ability>
      <abilityName>标点纠错</abilityName>
      <candidateList>
        <item/>
      </candidateList>
      <explain/>
      <paraID>21A20837</paraID>
      <start>31</start>
      <end>31</end>
      <status>modified</status>
      <modifiedWord/>
      <trackRevisions>false</trackRevisions>
    </reviewItem>
    <reviewItem>
      <errorID>7e59f400-42ab-4a64-86c0-7b263cdeac61</errorID>
      <errorWord>内容(</errorWord>
      <group>L1_AI</group>
      <groupName>深度校对</groupName>
      <ability>L2_AI_Grammar</ability>
      <abilityName>语法纠错</abilityName>
      <candidateList>
        <item>（</item>
      </candidateList>
      <explain/>
      <paraID>21A20837</paraID>
      <start>44</start>
      <end>45</end>
      <status>modified</status>
      <modifiedWord>（</modifiedWord>
      <trackRevisions>false</trackRevisions>
    </reviewItem>
    <reviewItem>
      <errorID>c122f157-2be7-4286-8fd7-893fcd9935e6</errorID>
      <errorWord>，</errorWord>
      <group>L1_AI</group>
      <groupName>深度校对</groupName>
      <ability>L2_AI_Punc</ability>
      <abilityName>标点纠错</abilityName>
      <candidateList>
        <item>、</item>
      </candidateList>
      <explain/>
      <paraID>21A20837</paraID>
      <start>52</start>
      <end>53</end>
      <status>modified</status>
      <modifiedWord>、</modifiedWord>
      <trackRevisions>false</trackRevisions>
    </reviewItem>
    <reviewItem>
      <errorID>811eea14-d265-4ebd-b133-c15b1288ba81</errorID>
      <errorWord>)</errorWord>
      <group>L1_Format</group>
      <groupName>格式问题</groupName>
      <ability>L2_HalfPunc</ability>
      <abilityName>全半角检查</abilityName>
      <candidateList>
        <item>）</item>
      </candidateList>
      <explain>文本全半角错误。</explain>
      <paraID>21A20837</paraID>
      <start>64</start>
      <end>65</end>
      <status>modified</status>
      <modifiedWord>）</modifiedWord>
      <trackRevisions>false</trackRevisions>
    </reviewItem>
    <reviewItem>
      <errorID>eb215eb5-77ef-440f-8265-34cf0594e9e7</errorID>
      <errorWord>(</errorWord>
      <group>L1_Format</group>
      <groupName>格式问题</groupName>
      <ability>L2_HalfPunc</ability>
      <abilityName>全半角检查</abilityName>
      <candidateList>
        <item>（</item>
      </candidateList>
      <explain>文本全半角错误。</explain>
      <paraID>473D2EB1</paraID>
      <start>43</start>
      <end>44</end>
      <status>ignored</status>
      <modifiedWord/>
      <trackRevisions>false</trackRevisions>
    </reviewItem>
    <reviewItem>
      <errorID>ae044b19-9c34-4d47-a002-50203d8c22e8</errorID>
      <errorWord>)</errorWord>
      <group>L1_Format</group>
      <groupName>格式问题</groupName>
      <ability>L2_HalfPunc</ability>
      <abilityName>全半角检查</abilityName>
      <candidateList>
        <item>）</item>
      </candidateList>
      <explain>文本全半角错误。</explain>
      <paraID>473D2EB1</paraID>
      <start>51</start>
      <end>52</end>
      <status>unmodified</status>
      <modifiedWord/>
      <trackRevisions>false</trackRevisions>
    </reviewItem>
    <reviewItem>
      <errorID>490e1bc8-57aa-4488-9ff0-5cb011fb03ea</errorID>
      <errorWord>按照合同条款</errorWord>
      <group>L1_AI</group>
      <groupName>深度校对</groupName>
      <ability>L2_AI_Grammar</ability>
      <abilityName>语法纠错</abilityName>
      <candidateList>
        <item>合同条款</item>
      </candidateList>
      <explain/>
      <paraID>1D2A2256</paraID>
      <start>27</start>
      <end>33</end>
      <status>ignored</status>
      <modifiedWord/>
      <trackRevisions>false</trackRevisions>
    </reviewItem>
    <reviewItem>
      <errorID>4a0f04fa-7caf-4302-b94a-61a128d629ff</errorID>
      <errorWord>(</errorWord>
      <group>L1_Format</group>
      <groupName>格式问题</groupName>
      <ability>L2_HalfPunc</ability>
      <abilityName>全半角检查</abilityName>
      <candidateList>
        <item>（</item>
      </candidateList>
      <explain>文本全半角错误。</explain>
      <paraID>5EE83A20</paraID>
      <start>37</start>
      <end>38</end>
      <status>ignored</status>
      <modifiedWord/>
      <trackRevisions>false</trackRevisions>
    </reviewItem>
    <reviewItem>
      <errorID>57554dba-f602-4f7b-87e0-d474606d791a</errorID>
      <errorWord>)</errorWord>
      <group>L1_Format</group>
      <groupName>格式问题</groupName>
      <ability>L2_HalfPunc</ability>
      <abilityName>全半角检查</abilityName>
      <candidateList>
        <item>）</item>
      </candidateList>
      <explain>文本全半角错误。</explain>
      <paraID>5EE83A20</paraID>
      <start>62</start>
      <end>63</end>
      <status>unmodified</status>
      <modifiedWord/>
      <trackRevisions>false</trackRevisions>
    </reviewItem>
    <reviewItem>
      <errorID>626e9a35-bd09-42a1-95e6-42c5b821c4fc</errorID>
      <errorWord>；</errorWord>
      <group>L1_AI</group>
      <groupName>深度校对</groupName>
      <ability>L2_AI_Punc</ability>
      <abilityName>标点纠错</abilityName>
      <candidateList>
        <item>。</item>
      </candidateList>
      <explain/>
      <paraID>5FB3893E</paraID>
      <start>28</start>
      <end>29</end>
      <status>unmodified</status>
      <modifiedWord/>
      <trackRevisions>false</trackRevisions>
    </reviewItem>
    <reviewItem>
      <errorID>761ca5e8-b2d2-4445-9199-83eec0e3c0b7</errorID>
      <errorWord>因</errorWord>
      <group>L1_AI</group>
      <groupName>深度校对</groupName>
      <ability>L2_AI_Punc</ability>
      <abilityName>标点纠错</abilityName>
      <candidateList>
        <item>、因</item>
      </candidateList>
      <explain/>
      <paraID>5FB3893E</paraID>
      <start>46</start>
      <end>48</end>
      <status>modified</status>
      <modifiedWord>、因</modifiedWord>
      <trackRevisions>false</trackRevisions>
    </reviewItem>
    <reviewItem>
      <errorID>7d17b9b3-f851-4e9b-a73e-b75a285824d5</errorID>
      <errorWord>。</errorWord>
      <group>L1_AI</group>
      <groupName>深度校对</groupName>
      <ability>L2_AI_Punc</ability>
      <abilityName>标点纠错</abilityName>
      <candidateList>
        <item>，</item>
      </candidateList>
      <explain/>
      <paraID>5FB3893E</paraID>
      <start>65</start>
      <end>66</end>
      <status>modified</status>
      <modifiedWord>，</modifiedWord>
      <trackRevisions>false</trackRevisions>
    </reviewItem>
    <reviewItem>
      <errorID>7e07333b-2342-4334-b388-ba95679f8847</errorID>
      <errorWord>违约责任</errorWord>
      <group>L1_AI</group>
      <groupName>深度校对</groupName>
      <ability>L2_AI_Punc</ability>
      <abilityName>标点纠错</abilityName>
      <candidateList>
        <item>违约责任。</item>
      </candidateList>
      <explain/>
      <paraID>5FB3893E</paraID>
      <start>76</start>
      <end>81</end>
      <status>modified</status>
      <modifiedWord>违约责任。</modifiedWord>
      <trackRevisions>false</trackRevisions>
    </reviewItem>
    <reviewItem>
      <errorID>5f583736-eae2-42e7-a4c5-c57136577ec3</errorID>
      <errorWord>(</errorWord>
      <group>L1_Format</group>
      <groupName>格式问题</groupName>
      <ability>L2_HalfPunc</ability>
      <abilityName>全半角检查</abilityName>
      <candidateList>
        <item>（</item>
      </candidateList>
      <explain>文本全半角错误。</explain>
      <paraID>5DCBD6E7</paraID>
      <start>72</start>
      <end>73</end>
      <status>ignored</status>
      <modifiedWord/>
      <trackRevisions>false</trackRevisions>
    </reviewItem>
    <reviewItem>
      <errorID>d88af12c-86f2-41bc-882a-18e55557a91b</errorID>
      <errorWord>,</errorWord>
      <group>L1_Word</group>
      <groupName>字词问题</groupName>
      <ability>L2_Typo</ability>
      <abilityName>字词错误</abilityName>
      <candidateList>
        <item>,根</item>
      </candidateList>
      <explain/>
      <paraID>5DCBD6E7</paraID>
      <start>85</start>
      <end>87</end>
      <status>modified</status>
      <modifiedWord>,根</modifiedWord>
      <trackRevisions>false</trackRevisions>
    </reviewItem>
    <reviewItem>
      <errorID>78871f35-fe28-4465-bd00-7a0679324d52</errorID>
      <errorWord>应该</errorWord>
      <group>L1_AI</group>
      <groupName>深度校对</groupName>
      <ability>L2_AI_Word</ability>
      <abilityName>字词纠错</abilityName>
      <candidateList>
        <item>应</item>
      </candidateList>
      <explain/>
      <paraID>20C8E911</paraID>
      <start>18</start>
      <end>20</end>
      <status>ignored</status>
      <modifiedWord/>
      <trackRevisions>false</trackRevisions>
    </reviewItem>
    <reviewItem>
      <errorID>74b508a4-7857-4830-be36-91d2c25acbd3</errorID>
      <errorWord>(</errorWord>
      <group>L1_Format</group>
      <groupName>格式问题</groupName>
      <ability>L2_HalfPunc</ability>
      <abilityName>全半角检查</abilityName>
      <candidateList>
        <item>（</item>
      </candidateList>
      <explain>文本全半角错误。</explain>
      <paraID>54EB77F3</paraID>
      <start>14</start>
      <end>15</end>
      <status>ignored</status>
      <modifiedWord/>
      <trackRevisions>false</trackRevisions>
    </reviewItem>
    <reviewItem>
      <errorID>e1c0c579-bfc8-4e97-bbd9-45f383d9d0b4</errorID>
      <errorWord>)</errorWord>
      <group>L1_Format</group>
      <groupName>格式问题</groupName>
      <ability>L2_HalfPunc</ability>
      <abilityName>全半角检查</abilityName>
      <candidateList>
        <item>）</item>
      </candidateList>
      <explain>文本全半角错误。</explain>
      <paraID>54EB77F3</paraID>
      <start>17</start>
      <end>18</end>
      <status>unmodified</status>
      <modifiedWord/>
      <trackRevisions>false</trackRevisions>
    </reviewItem>
    <reviewItem>
      <errorID>c82f0091-0c9d-4d51-9620-de612c46d546</errorID>
      <errorWord>证</errorWord>
      <group>L1_Word</group>
      <groupName>字词问题</groupName>
      <ability>L2_Typo</ability>
      <abilityName>字词错误</abilityName>
      <candidateList>
        <item>证金</item>
      </candidateList>
      <explain/>
      <paraID>54EB77F3</paraID>
      <start>96</start>
      <end>98</end>
      <status>modified</status>
      <modifiedWord>证金</modifiedWord>
      <trackRevisions>false</trackRevisions>
    </reviewItem>
    <reviewItem>
      <errorID>6837e244-4f89-481a-8db4-5a1b4ae0b440</errorID>
      <errorWord>一次性</errorWord>
      <group>L1_AI</group>
      <groupName>深度校对</groupName>
      <ability>L2_AI_Grammar</ability>
      <abilityName>语法纠错</abilityName>
      <candidateList>
        <item>时，一次性</item>
      </candidateList>
      <explain/>
      <paraID>18FD09EE</paraID>
      <start>59</start>
      <end>62</end>
      <status>ignored</status>
      <modifiedWord/>
      <trackRevisions>false</trackRevisions>
    </reviewItem>
    <reviewItem>
      <errorID>bbfea48b-bb95-4fd0-b11f-f4bc3cfe3aa7</errorID>
      <errorWord> </errorWord>
      <group>L1_AI</group>
      <groupName>深度校对</groupName>
      <ability>L2_AI_Punc</ability>
      <abilityName>标点纠错</abilityName>
      <candidateList>
        <item/>
      </candidateList>
      <explain>此处空格冗余，建议删除。</explain>
      <paraID>43431D94</paraID>
      <start>35</start>
      <end>36</end>
      <status>ignored</status>
      <modifiedWord/>
      <trackRevisions>false</trackRevisions>
    </reviewItem>
    <reviewItem>
      <errorID>a0214929-8500-421f-9524-b0d4f61318fe</errorID>
      <errorWord>前时</errorWord>
      <group>L1_Word</group>
      <groupName>字词问题</groupName>
      <ability>L2_Typo</ability>
      <abilityName>字词错误</abilityName>
      <candidateList>
        <item>前</item>
      </candidateList>
      <explain>❶〈名〉方位词。在正面的（指空间，跟“后”相对）：～门｜村～村后。❷往前走：勇往直～｜畏缩不～。❸〈名〉方位词。次序靠近头里的（跟“后”相对）：～排｜他的成绩在班里总是～三名。❹〈名〉方位词。过去的；较早的（指时间，跟“后”相对）：～天｜从～｜～几年｜～功尽弃｜～所未有｜～无古人，后无来者。❺〈名〉方位词。</explain>
      <paraID>2B62932C</paraID>
      <start>11</start>
      <end>12</end>
      <status>modified</status>
      <modifiedWord>前</modifiedWord>
      <trackRevisions>false</trackRevisions>
    </reviewItem>
    <reviewItem>
      <errorID>1323dd69-590d-48d8-9a5b-be979573f24b</errorID>
      <errorWord>，</errorWord>
      <group>L1_AI</group>
      <groupName>深度校对</groupName>
      <ability>L2_AI_Punc</ability>
      <abilityName>标点纠错</abilityName>
      <candidateList>
        <item>；</item>
      </candidateList>
      <explain/>
      <paraID>2B62932C</paraID>
      <start>73</start>
      <end>74</end>
      <status>ignored</status>
      <modifiedWord/>
      <trackRevisions>false</trackRevisions>
    </reviewItem>
    <reviewItem>
      <errorID>521844d1-2d70-4873-9711-d48ce1eca9a5</errorID>
      <errorWord>其它</errorWord>
      <group>L1_Word</group>
      <groupName>字词问题</groupName>
      <ability>L2_Alias</ability>
      <abilityName>也作/曾用词</abilityName>
      <candidateList>
        <item>其他</item>
      </candidateList>
      <explain>词汇[其它]为不规范表述或旧称，其规范书面表述为[其他]。</explain>
      <paraID>187434D9</paraID>
      <start>91</start>
      <end>93</end>
      <status>modified</status>
      <modifiedWord>其他</modifiedWord>
      <trackRevisions>false</trackRevisions>
    </reviewItem>
    <reviewItem>
      <errorID>fc371b93-adba-4fe0-989a-909ae98afdd1</errorID>
      <errorWord>(</errorWord>
      <group>L1_Format</group>
      <groupName>格式问题</groupName>
      <ability>L2_HalfPunc</ability>
      <abilityName>全半角检查</abilityName>
      <candidateList>
        <item>（</item>
      </candidateList>
      <explain>文本全半角错误。</explain>
      <paraID>45D68520</paraID>
      <start>64</start>
      <end>65</end>
      <status>ignored</status>
      <modifiedWord/>
      <trackRevisions>false</trackRevisions>
    </reviewItem>
    <reviewItem>
      <errorID>8a3752c0-6012-49ec-832c-9a6b80dda891</errorID>
      <errorWord>)</errorWord>
      <group>L1_Format</group>
      <groupName>格式问题</groupName>
      <ability>L2_HalfPunc</ability>
      <abilityName>全半角检查</abilityName>
      <candidateList>
        <item>）</item>
      </candidateList>
      <explain>文本全半角错误。</explain>
      <paraID>45D68520</paraID>
      <start>66</start>
      <end>67</end>
      <status>unmodified</status>
      <modifiedWord/>
      <trackRevisions>false</trackRevisions>
    </reviewItem>
    <reviewItem>
      <errorID>975ce7c3-05a1-4055-a3cd-854f48f6c1e2</errorID>
      <errorWord>(</errorWord>
      <group>L1_Format</group>
      <groupName>格式问题</groupName>
      <ability>L2_HalfPunc</ability>
      <abilityName>全半角检查</abilityName>
      <candidateList>
        <item>（</item>
      </candidateList>
      <explain>文本全半角错误。</explain>
      <paraID>45D68520</paraID>
      <start>89</start>
      <end>90</end>
      <status>unmodified</status>
      <modifiedWord/>
      <trackRevisions>false</trackRevisions>
    </reviewItem>
    <reviewItem>
      <errorID>6b301448-71fc-47ca-ad70-a8b847da71dc</errorID>
      <errorWord>)</errorWord>
      <group>L1_Format</group>
      <groupName>格式问题</groupName>
      <ability>L2_HalfPunc</ability>
      <abilityName>全半角检查</abilityName>
      <candidateList>
        <item>）</item>
      </candidateList>
      <explain>文本全半角错误。</explain>
      <paraID>45D68520</paraID>
      <start>91</start>
      <end>92</end>
      <status>unmodified</status>
      <modifiedWord/>
      <trackRevisions>false</trackRevisions>
    </reviewItem>
    <reviewItem>
      <errorID>2c297da9-c319-4f5a-9095-2e09c08a0f21</errorID>
      <errorWord>(</errorWord>
      <group>L1_Format</group>
      <groupName>格式问题</groupName>
      <ability>L2_HalfPunc</ability>
      <abilityName>全半角检查</abilityName>
      <candidateList>
        <item>（</item>
      </candidateList>
      <explain>文本全半角错误。</explain>
      <paraID>45D68520</paraID>
      <start>106</start>
      <end>107</end>
      <status>unmodified</status>
      <modifiedWord/>
      <trackRevisions>false</trackRevisions>
    </reviewItem>
    <reviewItem>
      <errorID>f162b55a-60d6-427b-a76a-6ebf2738c3bb</errorID>
      <errorWord>)</errorWord>
      <group>L1_Format</group>
      <groupName>格式问题</groupName>
      <ability>L2_HalfPunc</ability>
      <abilityName>全半角检查</abilityName>
      <candidateList>
        <item>）</item>
      </candidateList>
      <explain>文本全半角错误。</explain>
      <paraID>45D68520</paraID>
      <start>108</start>
      <end>109</end>
      <status>unmodified</status>
      <modifiedWord/>
      <trackRevisions>false</trackRevisions>
    </reviewItem>
    <reviewItem>
      <errorID>1a1ef51f-0881-4148-9a25-ce79529dff37</errorID>
      <errorWord>(</errorWord>
      <group>L1_Format</group>
      <groupName>格式问题</groupName>
      <ability>L2_HalfPunc</ability>
      <abilityName>全半角检查</abilityName>
      <candidateList>
        <item>（</item>
      </candidateList>
      <explain>文本全半角错误。</explain>
      <paraID>45D68520</paraID>
      <start>117</start>
      <end>118</end>
      <status>unmodified</status>
      <modifiedWord/>
      <trackRevisions>false</trackRevisions>
    </reviewItem>
    <reviewItem>
      <errorID>db51b46a-9662-4e1f-89a0-c5913f5b4802</errorID>
      <errorWord>)</errorWord>
      <group>L1_Format</group>
      <groupName>格式问题</groupName>
      <ability>L2_HalfPunc</ability>
      <abilityName>全半角检查</abilityName>
      <candidateList>
        <item>）</item>
      </candidateList>
      <explain>文本全半角错误。</explain>
      <paraID>45D68520</paraID>
      <start>119</start>
      <end>120</end>
      <status>unmodified</status>
      <modifiedWord/>
      <trackRevisions>false</trackRevisions>
    </reviewItem>
    <reviewItem>
      <errorID>4586cee4-a8e4-4ad4-b655-e87599cbe691</errorID>
      <errorWord>,</errorWord>
      <group>L1_Format</group>
      <groupName>格式问题</groupName>
      <ability>L2_HalfPunc</ability>
      <abilityName>全半角检查</abilityName>
      <candidateList>
        <item>，</item>
      </candidateList>
      <explain>文本全半角错误。</explain>
      <paraID>456A2227</paraID>
      <start>62</start>
      <end>63</end>
      <status>unmodified</status>
      <modifiedWord/>
      <trackRevisions>false</trackRevisions>
    </reviewItem>
    <reviewItem>
      <errorID>6e93ed76-21a9-4f8b-9fd3-3a2a5d535244</errorID>
      <errorWord>(</errorWord>
      <group>L1_Format</group>
      <groupName>格式问题</groupName>
      <ability>L2_HalfPunc</ability>
      <abilityName>全半角检查</abilityName>
      <candidateList>
        <item>（</item>
      </candidateList>
      <explain>文本全半角错误。</explain>
      <paraID>65687C73</paraID>
      <start>2</start>
      <end>3</end>
      <status>unmodified</status>
      <modifiedWord/>
      <trackRevisions>false</trackRevisions>
    </reviewItem>
    <reviewItem>
      <errorID>ba6719cc-0cf2-4696-ae26-807c8b9ebfd5</errorID>
      <errorWord>):</errorWord>
      <group>L1_Format</group>
      <groupName>格式问题</groupName>
      <ability>L2_HalfPunc</ability>
      <abilityName>全半角检查</abilityName>
      <candidateList>
        <item>）：</item>
      </candidateList>
      <explain>文本全半角错误。</explain>
      <paraID>65687C73</paraID>
      <start>5</start>
      <end>7</end>
      <status>unmodified</status>
      <modifiedWord/>
      <trackRevisions>false</trackRevisions>
    </reviewItem>
    <reviewItem>
      <errorID>53d65899-73c9-4603-9764-05bd9a718954</errorID>
      <errorWord>(</errorWord>
      <group>L1_Format</group>
      <groupName>格式问题</groupName>
      <ability>L2_HalfPunc</ability>
      <abilityName>全半角检查</abilityName>
      <candidateList>
        <item>（</item>
      </candidateList>
      <explain>文本全半角错误。</explain>
      <paraID>28012D89</paraID>
      <start>2</start>
      <end>3</end>
      <status>unmodified</status>
      <modifiedWord/>
      <trackRevisions>false</trackRevisions>
    </reviewItem>
    <reviewItem>
      <errorID>ed99aa1b-aa0e-4398-8118-88d4030648ee</errorID>
      <errorWord>)</errorWord>
      <group>L1_Format</group>
      <groupName>格式问题</groupName>
      <ability>L2_HalfPunc</ability>
      <abilityName>全半角检查</abilityName>
      <candidateList>
        <item>）</item>
      </candidateList>
      <explain>文本全半角错误。</explain>
      <paraID>28012D89</paraID>
      <start>5</start>
      <end>6</end>
      <status>unmodified</status>
      <modifiedWord/>
      <trackRevisions>false</trackRevisions>
    </reviewItem>
    <reviewItem>
      <errorID>1751ea50-5c3a-46d8-b4f1-60605923c961</errorID>
      <errorWord>(</errorWord>
      <group>L1_Format</group>
      <groupName>格式问题</groupName>
      <ability>L2_HalfPunc</ability>
      <abilityName>全半角检查</abilityName>
      <candidateList>
        <item>（</item>
      </candidateList>
      <explain>文本全半角错误。</explain>
      <paraID>674C58E7</paraID>
      <start>5</start>
      <end>6</end>
      <status>unmodified</status>
      <modifiedWord/>
      <trackRevisions>false</trackRevisions>
    </reviewItem>
    <reviewItem>
      <errorID>e43bb2ca-d3e4-4e8c-949b-2d1e2735e1ba</errorID>
      <errorWord>)</errorWord>
      <group>L1_Format</group>
      <groupName>格式问题</groupName>
      <ability>L2_HalfPunc</ability>
      <abilityName>全半角检查</abilityName>
      <candidateList>
        <item>）</item>
      </candidateList>
      <explain>文本全半角错误。</explain>
      <paraID>674C58E7</paraID>
      <start>8</start>
      <end>9</end>
      <status>unmodified</status>
      <modifiedWord/>
      <trackRevisions>false</trackRevisions>
    </reviewItem>
    <reviewItem>
      <errorID>8a9a17d4-82ed-45d6-9095-a29a7bee58ea</errorID>
      <errorWord>(</errorWord>
      <group>L1_Format</group>
      <groupName>格式问题</groupName>
      <ability>L2_HalfPunc</ability>
      <abilityName>全半角检查</abilityName>
      <candidateList>
        <item>（</item>
      </candidateList>
      <explain>文本全半角错误。</explain>
      <paraID>62C678F8</paraID>
      <start>5</start>
      <end>6</end>
      <status>unmodified</status>
      <modifiedWord/>
      <trackRevisions>false</trackRevisions>
    </reviewItem>
    <reviewItem>
      <errorID>147ab8b0-0725-45ad-8195-b95876ade708</errorID>
      <errorWord>)</errorWord>
      <group>L1_Format</group>
      <groupName>格式问题</groupName>
      <ability>L2_HalfPunc</ability>
      <abilityName>全半角检查</abilityName>
      <candidateList>
        <item>）</item>
      </candidateList>
      <explain>文本全半角错误。</explain>
      <paraID>62C678F8</paraID>
      <start>8</start>
      <end>9</end>
      <status>unmodified</status>
      <modifiedWord/>
      <trackRevisions>false</trackRevisions>
    </reviewItem>
    <reviewItem>
      <errorID>374eccda-e03f-46b2-97fe-db83c471b84a</errorID>
      <errorWord>(</errorWord>
      <group>L1_Format</group>
      <groupName>格式问题</groupName>
      <ability>L2_HalfPunc</ability>
      <abilityName>全半角检查</abilityName>
      <candidateList>
        <item>（</item>
      </candidateList>
      <explain>文本全半角错误。</explain>
      <paraID>1D8C8CB0</paraID>
      <start>5</start>
      <end>6</end>
      <status>unmodified</status>
      <modifiedWord/>
      <trackRevisions>false</trackRevisions>
    </reviewItem>
    <reviewItem>
      <errorID>3dc5d530-c31d-4990-919f-a52bd185789a</errorID>
      <errorWord>)</errorWord>
      <group>L1_Format</group>
      <groupName>格式问题</groupName>
      <ability>L2_HalfPunc</ability>
      <abilityName>全半角检查</abilityName>
      <candidateList>
        <item>）</item>
      </candidateList>
      <explain>文本全半角错误。</explain>
      <paraID>1D8C8CB0</paraID>
      <start>8</start>
      <end>9</end>
      <status>unmodified</status>
      <modifiedWord/>
      <trackRevisions>false</trackRevisions>
    </reviewItem>
    <reviewItem>
      <errorID>ce862cc6-42f3-4843-a421-0e09b4c73786</errorID>
      <errorWord>(</errorWord>
      <group>L1_Format</group>
      <groupName>格式问题</groupName>
      <ability>L2_HalfPunc</ability>
      <abilityName>全半角检查</abilityName>
      <candidateList>
        <item>（</item>
      </candidateList>
      <explain>文本全半角错误。</explain>
      <paraID> DDD38C5</paraID>
      <start>5</start>
      <end>6</end>
      <status>unmodified</status>
      <modifiedWord/>
      <trackRevisions>false</trackRevisions>
    </reviewItem>
    <reviewItem>
      <errorID>99bac57c-64a5-44ef-ad06-162f38b20628</errorID>
      <errorWord>)</errorWord>
      <group>L1_Format</group>
      <groupName>格式问题</groupName>
      <ability>L2_HalfPunc</ability>
      <abilityName>全半角检查</abilityName>
      <candidateList>
        <item>）</item>
      </candidateList>
      <explain>文本全半角错误。</explain>
      <paraID> DDD38C5</paraID>
      <start>8</start>
      <end>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c512eb-43e8-4c87-88b3-40ffc90e98b4}">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7</Pages>
  <Words>6545</Words>
  <Characters>6835</Characters>
  <Lines>48</Lines>
  <Paragraphs>13</Paragraphs>
  <TotalTime>7</TotalTime>
  <ScaleCrop>false</ScaleCrop>
  <LinksUpToDate>false</LinksUpToDate>
  <CharactersWithSpaces>7035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2026-04-23T01:22:00Z</dcterms:created>
  <dc:creator>User</dc:creator>
  <cp:lastModifiedBy>你都如何回忆我、</cp:lastModifiedBy>
  <cp:lastPrinted>2026-07-14T02:08:00Z</cp:lastPrinted>
  <dcterms:modified xsi:type="dcterms:W3CDTF">2026-07-29T03:46:26Z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eyJoZGlkIjoiYzRhNmUyYmVlYTA3NTUwMmY3YjExODVkZTY5MjY1NDYiLCJ1c2VySWQiOiIxMjQ3Nzk4Nzc4In0=</vt:lpwstr>
  </property>
  <property fmtid="{D5CDD505-2E9C-101B-9397-08002B2CF9AE}" pid="3" name="KSOProductBuildVer">
    <vt:lpwstr>2052-12.1.0.26895</vt:lpwstr>
  </property>
  <property fmtid="{D5CDD505-2E9C-101B-9397-08002B2CF9AE}" pid="4" name="ICV">
    <vt:lpwstr>E8483CA908E84B0A9C57B52CE0FEDCF4_13</vt:lpwstr>
  </property>
</Properties>
</file>