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版本号：SXRXC-2026-00120260717001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商州区45个村通则式村庄规划编制项目技术服务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SXRXC-2026-001</w:t>
      </w:r>
      <w:r>
        <w:br/>
      </w:r>
      <w:r>
        <w:br/>
      </w:r>
      <w:r>
        <w:br/>
      </w:r>
    </w:p>
    <w:p>
      <w:pPr>
        <w:pStyle w:val="null3"/>
        <w:jc w:val="center"/>
        <w:outlineLvl w:val="2"/>
      </w:pPr>
      <w:r>
        <w:rPr>
          <w:rFonts w:ascii="仿宋_GB2312" w:hAnsi="仿宋_GB2312" w:cs="仿宋_GB2312" w:eastAsia="仿宋_GB2312"/>
          <w:sz w:val="28"/>
          <w:b/>
        </w:rPr>
        <w:t>商洛市自然资源局商州分局</w:t>
      </w:r>
    </w:p>
    <w:p>
      <w:pPr>
        <w:pStyle w:val="null3"/>
        <w:jc w:val="center"/>
        <w:outlineLvl w:val="2"/>
      </w:pPr>
      <w:r>
        <w:rPr>
          <w:rFonts w:ascii="仿宋_GB2312" w:hAnsi="仿宋_GB2312" w:cs="仿宋_GB2312" w:eastAsia="仿宋_GB2312"/>
          <w:sz w:val="28"/>
          <w:b/>
        </w:rPr>
        <w:t>陕西瑞欣项目管理有限公司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陕西瑞欣项目管理有限公司</w:t>
      </w:r>
      <w:r>
        <w:rPr>
          <w:rFonts w:ascii="仿宋_GB2312" w:hAnsi="仿宋_GB2312" w:cs="仿宋_GB2312" w:eastAsia="仿宋_GB2312"/>
        </w:rPr>
        <w:t>（以下简称“代理机构”）受</w:t>
      </w:r>
      <w:r>
        <w:rPr>
          <w:rFonts w:ascii="仿宋_GB2312" w:hAnsi="仿宋_GB2312" w:cs="仿宋_GB2312" w:eastAsia="仿宋_GB2312"/>
        </w:rPr>
        <w:t>商洛市自然资源局商州分局</w:t>
      </w:r>
      <w:r>
        <w:rPr>
          <w:rFonts w:ascii="仿宋_GB2312" w:hAnsi="仿宋_GB2312" w:cs="仿宋_GB2312" w:eastAsia="仿宋_GB2312"/>
        </w:rPr>
        <w:t>委托，拟对</w:t>
      </w:r>
      <w:r>
        <w:rPr>
          <w:rFonts w:ascii="仿宋_GB2312" w:hAnsi="仿宋_GB2312" w:cs="仿宋_GB2312" w:eastAsia="仿宋_GB2312"/>
        </w:rPr>
        <w:t>商州区45个村通则式村庄规划编制项目技术服务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SXRXC-2026-001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商州区45个村通则式村庄规划编制项目技术服务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一、项目背景 为深入落实党中央、国务院关于建立国土空间规划体系并监督实施的重大部署，推进“多规合一”落地见效，优化本乡镇国土空间布局、生产力布局、基础设施和公共服务设施布局，助力新型城镇化和乡村振兴发展，结合各村行政区划、功能定位、产业类型、地貌特征，拟启动本次“通则式”规划技术管理规定编制工作。本次“通则式”规划技术管理规定，是对本行政区域开发保护作出的具体安排，侧重实施性，为各类开发保护建设活动提供基本依据。 1、项目范围：商州区45个村行政辖区范围。 2、编制依据： 《中华人民共和国土地管理法》《中华人民共和国城乡规划法》《中华人民共和国环境保护法》等相关法律法规； 中共中央、国务院《关于建立国土空间规划体系并监督实施的若干意见》及国家、省、市、县关于国土空间规划编制的相关政策文件；陕西省乡村地区“通则式”规划技术管理规定编制要点。 县级国土空间总体规划、相关专项规划及乡镇行政区划和村级建制调整改革相关工作要求； 涉及乡镇国民经济和社会发展规划、乡村振兴规划等相关规划； 国家、省、市现行的国土空间规划编制技术标准、规范及指南； 采购单位提供的村庄地形地貌、人口、土地利用、产业发展、基础设施等相关基础资料。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采购包1（商州区45个村通则式村庄规划编制项目技术服务）：属于专门面向中小企业采购。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1、供应商应是独立承担民事责任能力的法人、其他组织：提供有效存续的营业执照或事业单位法人证书或非企业专业服务机构执业许可证或民办非企业单位登记证书或自然人的身份证明。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3、税收缴纳证明：提供2025年6月1日至今已缴存的任意一个月的纳税证明或完税证明（成立不足一个月的提供依法纳税的承诺书，格式自拟）；依法免税的供应商应提供相关文件证明。</w:t>
      </w:r>
    </w:p>
    <w:p>
      <w:pPr>
        <w:pStyle w:val="null3"/>
      </w:pPr>
      <w:r>
        <w:rPr>
          <w:rFonts w:ascii="仿宋_GB2312" w:hAnsi="仿宋_GB2312" w:cs="仿宋_GB2312" w:eastAsia="仿宋_GB2312"/>
        </w:rPr>
        <w:t>4、社会保障资金缴纳证明：提供2025年6月1日至今已缴存的任意一个月的社会保障资金缴存单据或社保机构开具的社会保险参保缴费情况证明（成立不足一个月的提供将依法缴纳社会保障资金的承诺书，格式自拟）； 注：依法不需要缴纳社会保险的供应商提供相关部门出具的证明文件。</w:t>
      </w:r>
    </w:p>
    <w:p>
      <w:pPr>
        <w:pStyle w:val="null3"/>
      </w:pPr>
      <w:r>
        <w:rPr>
          <w:rFonts w:ascii="仿宋_GB2312" w:hAnsi="仿宋_GB2312" w:cs="仿宋_GB2312" w:eastAsia="仿宋_GB2312"/>
        </w:rPr>
        <w:t>5、法定代表人身份证明/法定代表人授权委托书：供应商应授权合法的人员参加磋商全过程，其中法定代表人直接参加磋商的，须出具法人身份证，并与营业执照上信息一致。授权代表参加磋商的，须出具法定代表人授权书及授权代表身份证、授权代表本单位证明（养老保险缴纳证明或劳动合同）。</w:t>
      </w:r>
    </w:p>
    <w:p>
      <w:pPr>
        <w:pStyle w:val="null3"/>
      </w:pPr>
      <w:r>
        <w:rPr>
          <w:rFonts w:ascii="仿宋_GB2312" w:hAnsi="仿宋_GB2312" w:cs="仿宋_GB2312" w:eastAsia="仿宋_GB2312"/>
        </w:rPr>
        <w:t>6、履约承诺：提供具有履行合同所必需的设备和专业技术能力的承诺书。</w:t>
      </w:r>
    </w:p>
    <w:p>
      <w:pPr>
        <w:pStyle w:val="null3"/>
      </w:pPr>
      <w:r>
        <w:rPr>
          <w:rFonts w:ascii="仿宋_GB2312" w:hAnsi="仿宋_GB2312" w:cs="仿宋_GB2312" w:eastAsia="仿宋_GB2312"/>
        </w:rPr>
        <w:t>7、没有重大违法记录的书面声明：提供参加政府采购活动前三年内，在经营活动中没有重大违法记录的声明函。</w:t>
      </w:r>
    </w:p>
    <w:p>
      <w:pPr>
        <w:pStyle w:val="null3"/>
      </w:pPr>
      <w:r>
        <w:rPr>
          <w:rFonts w:ascii="仿宋_GB2312" w:hAnsi="仿宋_GB2312" w:cs="仿宋_GB2312" w:eastAsia="仿宋_GB2312"/>
        </w:rPr>
        <w:t>8、供应商及项目负责人：需具备土地规划乙级及以上或城乡规划（国土空间规划）乙级及以上的编制资质。项目负责人具备相关专业中级及以上职称或对应执业资格。</w:t>
      </w:r>
    </w:p>
    <w:p>
      <w:pPr>
        <w:pStyle w:val="null3"/>
      </w:pPr>
      <w:r>
        <w:rPr>
          <w:rFonts w:ascii="仿宋_GB2312" w:hAnsi="仿宋_GB2312" w:cs="仿宋_GB2312" w:eastAsia="仿宋_GB2312"/>
        </w:rPr>
        <w:t>9、信用记录：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控股、管理关系的不同单位，不得同时参加本次采购项目；为本项目提供整体设计、规范编制或者项目管理、监理、检测等服务的投标人，不得参加本次采购项目。（供应商须提供承诺书）</w:t>
      </w:r>
    </w:p>
    <w:p>
      <w:pPr>
        <w:pStyle w:val="null3"/>
      </w:pPr>
      <w:r>
        <w:rPr>
          <w:rFonts w:ascii="仿宋_GB2312" w:hAnsi="仿宋_GB2312" w:cs="仿宋_GB2312" w:eastAsia="仿宋_GB2312"/>
        </w:rPr>
        <w:t>11、本项目不接受联合体投标：本项目不接受联合体投标（提供书面声明）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商洛市自然资源局商州分局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陕西省商洛市商州区文卫路南段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商洛市自然资源局商州分局经办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18009149432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陕西省商洛市商州区民生路商洛市文化艺术中心（4楼)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任山山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13991410152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开户名称：陕西瑞欣项目管理有限公司</w:t>
            </w:r>
          </w:p>
          <w:p>
            <w:pPr>
              <w:pStyle w:val="null3"/>
            </w:pPr>
            <w:r>
              <w:rPr>
                <w:rFonts w:ascii="仿宋_GB2312" w:hAnsi="仿宋_GB2312" w:cs="仿宋_GB2312" w:eastAsia="仿宋_GB2312"/>
              </w:rPr>
              <w:t>开户银行：中国工商银行股份有限公司商洛行政广场支行</w:t>
            </w:r>
          </w:p>
          <w:p>
            <w:pPr>
              <w:pStyle w:val="null3"/>
            </w:pPr>
            <w:r>
              <w:rPr>
                <w:rFonts w:ascii="仿宋_GB2312" w:hAnsi="仿宋_GB2312" w:cs="仿宋_GB2312" w:eastAsia="仿宋_GB2312"/>
              </w:rPr>
              <w:t>银行账号：2608070409200069257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的计算方法：以成交价作为基数，参照发改价格[2011]534号文件及《国家发展改革委关于进一步放开建设项目专业服务价格的通知》（发改价格〔2015〕299号）文的规定标准收取，并下浮0.07%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商洛市自然资源局商州分局</w:t>
      </w:r>
      <w:r>
        <w:rPr>
          <w:rFonts w:ascii="仿宋_GB2312" w:hAnsi="仿宋_GB2312" w:cs="仿宋_GB2312" w:eastAsia="仿宋_GB2312"/>
        </w:rPr>
        <w:t>和</w:t>
      </w:r>
      <w:r>
        <w:rPr>
          <w:rFonts w:ascii="仿宋_GB2312" w:hAnsi="仿宋_GB2312" w:cs="仿宋_GB2312" w:eastAsia="仿宋_GB2312"/>
        </w:rPr>
        <w:t>陕西瑞欣项目管理有限公司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商洛市自然资源局商州分局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商洛市自然资源局商州分局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联系人：任山山</w:t>
      </w:r>
    </w:p>
    <w:p>
      <w:pPr>
        <w:pStyle w:val="null3"/>
      </w:pPr>
      <w:r>
        <w:rPr>
          <w:rFonts w:ascii="仿宋_GB2312" w:hAnsi="仿宋_GB2312" w:cs="仿宋_GB2312" w:eastAsia="仿宋_GB2312"/>
        </w:rPr>
        <w:t>联系电话：0914-2312273</w:t>
      </w:r>
    </w:p>
    <w:p>
      <w:pPr>
        <w:pStyle w:val="null3"/>
      </w:pPr>
      <w:r>
        <w:rPr>
          <w:rFonts w:ascii="仿宋_GB2312" w:hAnsi="仿宋_GB2312" w:cs="仿宋_GB2312" w:eastAsia="仿宋_GB2312"/>
        </w:rPr>
        <w:t>地址：陕西省商洛市商州区民生路文化艺术中心4楼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一、项目概述 总体要求： 落实有关商洛市商州区国土空间总体规划、殡葬专项规划、十四五规划、十五五规划、全域旅游规划及其他上位相关规划要求的基础上，协调各类空间、用地矛盾，以目标为导向、以问题为核心，开展“通则式”规划技术管理规定编制，形成可实施的“一张蓝图”，为未来村庄发展奠定基础。规划成果包括编制说明、图册和数据库，各类成果要实现图、数、库、文本、实地一致的要求。规划成果包括编制说明、图册和数据库，各类成果要实现图、数、库一致的要求。 二、规划目的 为响应国家乡村振兴战略及中央一号文件要求，针对乡村地区（尤其是城镇开发边界外、未编制详细规划或规划已不适用的区域）存在的规划管理空白问题，通过制定“通则式”规定，实现规划管理全覆盖，保障乡村建设有序进行，促进宜居宜业和美乡村建设。 三、核心内容 规划基础：对村庄发展现状包括现状特征进行全面分析，明确现状发展存在的问题。结合上位规划要求及村庄现状发展实际，提出村庄发展定位、类型及规划目标。 底线管控：严格落实耕地和永久基本农田保护红线、生态保护红线、村庄建设边界、历史文化保护范围线、 灾害风险控制线等国土空间底线要求。 规划管控：明确村庄建设用地规模、新增宅基地面积控制、建筑限高、后退道路线率等量化指标，引导村民合法合规建房。对农村公益设施、农村产业发展、国土综合整治和生态修复等进行布局、对乡村风貌提出具体管控要求。 地块图则编制：对新增集体建设用地，出具村庄规划图则，明确地块编号、分类代码、地块范围、用地性质、建设指标等，作为规划许可依据。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商州区45个村通则式村庄规划编制项目技术服务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标的名称：商州区45个村通则式村庄规划编制项目技术服务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jc w:val="left"/>
                  </w:pPr>
                  <w:r>
                    <w:rPr>
                      <w:rFonts w:ascii="仿宋_GB2312" w:hAnsi="仿宋_GB2312" w:cs="仿宋_GB2312" w:eastAsia="仿宋_GB2312"/>
                      <w:sz w:val="28"/>
                      <w:b/>
                      <w:color w:val="000000"/>
                    </w:rPr>
                    <w:t>一、项目背景</w:t>
                  </w:r>
                </w:p>
                <w:p>
                  <w:pPr>
                    <w:pStyle w:val="null3"/>
                    <w:ind w:firstLine="480"/>
                    <w:jc w:val="left"/>
                  </w:pPr>
                  <w:r>
                    <w:rPr>
                      <w:rFonts w:ascii="仿宋_GB2312" w:hAnsi="仿宋_GB2312" w:cs="仿宋_GB2312" w:eastAsia="仿宋_GB2312"/>
                      <w:sz w:val="24"/>
                      <w:color w:val="000000"/>
                    </w:rPr>
                    <w:t>为深入落实党中央、国务院关于建立国土空间规划体系并监督实施的重大部署，推进</w:t>
                  </w:r>
                  <w:r>
                    <w:rPr>
                      <w:rFonts w:ascii="仿宋_GB2312" w:hAnsi="仿宋_GB2312" w:cs="仿宋_GB2312" w:eastAsia="仿宋_GB2312"/>
                      <w:sz w:val="24"/>
                      <w:color w:val="000000"/>
                    </w:rPr>
                    <w:t>“多规合一”落地见效，优化本乡镇国土空间布局、生产力布局、基础设施和公共服务设施布局，助力新型城镇化和乡村振兴发展，结合各村行政区划、功能定位、产业类型、地貌特征，拟启动本次“通则式”规划技术管理规定编制工作。本次“通则式”规划技术管理规定，是对本行政区域开发保护作出的具体安排，侧重实施性，为各类开发保护建设活动提供基本依据。</w:t>
                  </w:r>
                </w:p>
                <w:p>
                  <w:pPr>
                    <w:pStyle w:val="null3"/>
                    <w:numPr>
                      <w:ilvl w:val="0"/>
                      <w:numId w:val="1"/>
                    </w:numPr>
                    <w:jc w:val="left"/>
                  </w:pPr>
                  <w:r>
                    <w:rPr>
                      <w:rFonts w:ascii="仿宋_GB2312" w:hAnsi="仿宋_GB2312" w:cs="仿宋_GB2312" w:eastAsia="仿宋_GB2312"/>
                      <w:sz w:val="24"/>
                      <w:color w:val="000000"/>
                    </w:rPr>
                    <w:t>项目范围：</w:t>
                  </w:r>
                  <w:r>
                    <w:rPr>
                      <w:rFonts w:ascii="仿宋_GB2312" w:hAnsi="仿宋_GB2312" w:cs="仿宋_GB2312" w:eastAsia="仿宋_GB2312"/>
                      <w:sz w:val="24"/>
                      <w:color w:val="000000"/>
                    </w:rPr>
                    <w:t>商州区</w:t>
                  </w:r>
                  <w:r>
                    <w:rPr>
                      <w:rFonts w:ascii="仿宋_GB2312" w:hAnsi="仿宋_GB2312" w:cs="仿宋_GB2312" w:eastAsia="仿宋_GB2312"/>
                      <w:sz w:val="24"/>
                      <w:color w:val="000000"/>
                    </w:rPr>
                    <w:t>45</w:t>
                  </w:r>
                  <w:r>
                    <w:rPr>
                      <w:rFonts w:ascii="仿宋_GB2312" w:hAnsi="仿宋_GB2312" w:cs="仿宋_GB2312" w:eastAsia="仿宋_GB2312"/>
                      <w:sz w:val="24"/>
                      <w:color w:val="000000"/>
                    </w:rPr>
                    <w:t>个村行政辖区范围。</w:t>
                  </w:r>
                </w:p>
                <w:p>
                  <w:pPr>
                    <w:pStyle w:val="null3"/>
                    <w:ind w:firstLine="480"/>
                    <w:jc w:val="left"/>
                  </w:pPr>
                  <w:r>
                    <w:rPr>
                      <w:rFonts w:ascii="仿宋_GB2312" w:hAnsi="仿宋_GB2312" w:cs="仿宋_GB2312" w:eastAsia="仿宋_GB2312"/>
                      <w:sz w:val="24"/>
                      <w:color w:val="000000"/>
                    </w:rPr>
                    <w:t>2、编制依据：</w:t>
                  </w:r>
                </w:p>
                <w:p>
                  <w:pPr>
                    <w:pStyle w:val="null3"/>
                    <w:ind w:firstLine="480"/>
                    <w:jc w:val="left"/>
                  </w:pPr>
                  <w:r>
                    <w:rPr>
                      <w:rFonts w:ascii="仿宋_GB2312" w:hAnsi="仿宋_GB2312" w:cs="仿宋_GB2312" w:eastAsia="仿宋_GB2312"/>
                      <w:sz w:val="24"/>
                      <w:color w:val="000000"/>
                    </w:rPr>
                    <w:t>《中华人民共和国土地管理法》《中华人民共和国城乡规划法》《中华人民共和国环境保护法》等相关法律法规；</w:t>
                  </w:r>
                </w:p>
                <w:p>
                  <w:pPr>
                    <w:pStyle w:val="null3"/>
                    <w:ind w:firstLine="480"/>
                    <w:jc w:val="left"/>
                  </w:pPr>
                  <w:r>
                    <w:rPr>
                      <w:rFonts w:ascii="仿宋_GB2312" w:hAnsi="仿宋_GB2312" w:cs="仿宋_GB2312" w:eastAsia="仿宋_GB2312"/>
                      <w:sz w:val="24"/>
                      <w:color w:val="000000"/>
                    </w:rPr>
                    <w:t>中共中央、国务院《关于建立国土空间规划体系并监督实施的若干意见》及国家、省、市、县关于国土空间规划编制的相关政策文件；陕西省乡村地区</w:t>
                  </w:r>
                  <w:r>
                    <w:rPr>
                      <w:rFonts w:ascii="仿宋_GB2312" w:hAnsi="仿宋_GB2312" w:cs="仿宋_GB2312" w:eastAsia="仿宋_GB2312"/>
                      <w:sz w:val="24"/>
                      <w:color w:val="000000"/>
                    </w:rPr>
                    <w:t>“通则式”规划技术管理规定编制要点。</w:t>
                  </w:r>
                </w:p>
                <w:p>
                  <w:pPr>
                    <w:pStyle w:val="null3"/>
                    <w:ind w:firstLine="480"/>
                    <w:jc w:val="left"/>
                  </w:pPr>
                  <w:r>
                    <w:rPr>
                      <w:rFonts w:ascii="仿宋_GB2312" w:hAnsi="仿宋_GB2312" w:cs="仿宋_GB2312" w:eastAsia="仿宋_GB2312"/>
                      <w:sz w:val="24"/>
                      <w:color w:val="000000"/>
                    </w:rPr>
                    <w:t>县级国土空间总体规划、相关专项规划及乡镇行政区划和村级建制调整改革相关工作要求；</w:t>
                  </w:r>
                </w:p>
                <w:p>
                  <w:pPr>
                    <w:pStyle w:val="null3"/>
                    <w:ind w:firstLine="480"/>
                    <w:jc w:val="left"/>
                  </w:pPr>
                  <w:r>
                    <w:rPr>
                      <w:rFonts w:ascii="仿宋_GB2312" w:hAnsi="仿宋_GB2312" w:cs="仿宋_GB2312" w:eastAsia="仿宋_GB2312"/>
                      <w:sz w:val="24"/>
                      <w:color w:val="000000"/>
                    </w:rPr>
                    <w:t>涉及乡镇国民经济和社会发展规划、乡村振兴规划等相关规划；</w:t>
                  </w:r>
                </w:p>
                <w:p>
                  <w:pPr>
                    <w:pStyle w:val="null3"/>
                    <w:ind w:firstLine="480"/>
                    <w:jc w:val="left"/>
                  </w:pPr>
                  <w:r>
                    <w:rPr>
                      <w:rFonts w:ascii="仿宋_GB2312" w:hAnsi="仿宋_GB2312" w:cs="仿宋_GB2312" w:eastAsia="仿宋_GB2312"/>
                      <w:sz w:val="24"/>
                      <w:color w:val="000000"/>
                    </w:rPr>
                    <w:t>国家、省、市现行的国土空间规划编制技术标准、规范及指南；</w:t>
                  </w:r>
                </w:p>
                <w:p>
                  <w:pPr>
                    <w:pStyle w:val="null3"/>
                    <w:ind w:firstLine="480"/>
                    <w:jc w:val="left"/>
                  </w:pPr>
                  <w:r>
                    <w:rPr>
                      <w:rFonts w:ascii="仿宋_GB2312" w:hAnsi="仿宋_GB2312" w:cs="仿宋_GB2312" w:eastAsia="仿宋_GB2312"/>
                      <w:sz w:val="24"/>
                      <w:color w:val="000000"/>
                    </w:rPr>
                    <w:t>采购单位提供的村庄地形地貌、人口、土地利用、产业发展、基础设施等相关基础资料。</w:t>
                  </w:r>
                </w:p>
                <w:p>
                  <w:pPr>
                    <w:pStyle w:val="null3"/>
                    <w:jc w:val="left"/>
                  </w:pPr>
                  <w:r>
                    <w:rPr>
                      <w:rFonts w:ascii="仿宋_GB2312" w:hAnsi="仿宋_GB2312" w:cs="仿宋_GB2312" w:eastAsia="仿宋_GB2312"/>
                      <w:sz w:val="28"/>
                      <w:b/>
                      <w:color w:val="000000"/>
                    </w:rPr>
                    <w:t>二、项目概述</w:t>
                  </w:r>
                </w:p>
                <w:p>
                  <w:pPr>
                    <w:pStyle w:val="null3"/>
                    <w:ind w:firstLine="480"/>
                    <w:jc w:val="left"/>
                  </w:pPr>
                  <w:r>
                    <w:rPr>
                      <w:rFonts w:ascii="仿宋_GB2312" w:hAnsi="仿宋_GB2312" w:cs="仿宋_GB2312" w:eastAsia="仿宋_GB2312"/>
                      <w:sz w:val="24"/>
                      <w:color w:val="000000"/>
                    </w:rPr>
                    <w:t>总体要求：</w:t>
                  </w:r>
                </w:p>
                <w:p>
                  <w:pPr>
                    <w:pStyle w:val="null3"/>
                    <w:ind w:firstLine="480"/>
                    <w:jc w:val="left"/>
                  </w:pPr>
                  <w:r>
                    <w:rPr>
                      <w:rFonts w:ascii="仿宋_GB2312" w:hAnsi="仿宋_GB2312" w:cs="仿宋_GB2312" w:eastAsia="仿宋_GB2312"/>
                      <w:sz w:val="24"/>
                      <w:color w:val="000000"/>
                    </w:rPr>
                    <w:t>落实有关</w:t>
                  </w:r>
                  <w:r>
                    <w:rPr>
                      <w:rFonts w:ascii="仿宋_GB2312" w:hAnsi="仿宋_GB2312" w:cs="仿宋_GB2312" w:eastAsia="仿宋_GB2312"/>
                      <w:sz w:val="24"/>
                      <w:color w:val="000000"/>
                    </w:rPr>
                    <w:t>商洛市商州区</w:t>
                  </w:r>
                  <w:r>
                    <w:rPr>
                      <w:rFonts w:ascii="仿宋_GB2312" w:hAnsi="仿宋_GB2312" w:cs="仿宋_GB2312" w:eastAsia="仿宋_GB2312"/>
                      <w:sz w:val="24"/>
                      <w:color w:val="000000"/>
                    </w:rPr>
                    <w:t>国土空间总体规划、殡葬专项规划、十四五规划、十五五规划、全域旅游规划及其他上位相关规划要求的基础上，协调各类空间、用地矛盾，以目标为导向、以问题为核心，开展</w:t>
                  </w:r>
                  <w:r>
                    <w:rPr>
                      <w:rFonts w:ascii="仿宋_GB2312" w:hAnsi="仿宋_GB2312" w:cs="仿宋_GB2312" w:eastAsia="仿宋_GB2312"/>
                      <w:sz w:val="24"/>
                      <w:color w:val="000000"/>
                    </w:rPr>
                    <w:t>“通则式”规划技术管理规定编制，形成可实施的“一张蓝图”，为未来村庄发展奠定基础。规划成果包括编制说明、图册和数据库，各类成果要实现图、数、库、文本、实地一致的要求。规划成果包括</w:t>
                  </w:r>
                  <w:r>
                    <w:rPr>
                      <w:rFonts w:ascii="仿宋_GB2312" w:hAnsi="仿宋_GB2312" w:cs="仿宋_GB2312" w:eastAsia="仿宋_GB2312"/>
                      <w:sz w:val="24"/>
                      <w:color w:val="000000"/>
                    </w:rPr>
                    <w:t>编制说明、图册和数据库</w:t>
                  </w:r>
                  <w:r>
                    <w:rPr>
                      <w:rFonts w:ascii="仿宋_GB2312" w:hAnsi="仿宋_GB2312" w:cs="仿宋_GB2312" w:eastAsia="仿宋_GB2312"/>
                      <w:sz w:val="24"/>
                      <w:color w:val="000000"/>
                    </w:rPr>
                    <w:t>，各类成果要实现图、数、库一致的要求。</w:t>
                  </w:r>
                </w:p>
                <w:p>
                  <w:pPr>
                    <w:pStyle w:val="null3"/>
                    <w:spacing w:before="255"/>
                    <w:ind w:left="30"/>
                    <w:jc w:val="left"/>
                  </w:pPr>
                  <w:r>
                    <w:rPr>
                      <w:rFonts w:ascii="仿宋_GB2312" w:hAnsi="仿宋_GB2312" w:cs="仿宋_GB2312" w:eastAsia="仿宋_GB2312"/>
                      <w:sz w:val="28"/>
                      <w:b/>
                      <w:color w:val="000000"/>
                    </w:rPr>
                    <w:t>三、规划目的</w:t>
                  </w:r>
                </w:p>
                <w:p>
                  <w:pPr>
                    <w:pStyle w:val="null3"/>
                    <w:ind w:firstLine="480"/>
                    <w:jc w:val="left"/>
                  </w:pPr>
                  <w:r>
                    <w:rPr>
                      <w:rFonts w:ascii="仿宋_GB2312" w:hAnsi="仿宋_GB2312" w:cs="仿宋_GB2312" w:eastAsia="仿宋_GB2312"/>
                      <w:sz w:val="24"/>
                      <w:color w:val="000000"/>
                    </w:rPr>
                    <w:t>为响应国家乡村振兴战略及中央一号文件要求，针对乡村地区（尤其是城镇开发边界外、未编制详细规划或规划已不适用的区域）存在的规划管理空白问题，通过制定</w:t>
                  </w:r>
                  <w:r>
                    <w:rPr>
                      <w:rFonts w:ascii="仿宋_GB2312" w:hAnsi="仿宋_GB2312" w:cs="仿宋_GB2312" w:eastAsia="仿宋_GB2312"/>
                      <w:sz w:val="24"/>
                      <w:color w:val="000000"/>
                    </w:rPr>
                    <w:t>“通则式”规定，实现规划管理全覆盖，保障乡村建设有序进行，促进宜居宜业和美乡村建设。</w:t>
                  </w:r>
                </w:p>
                <w:p>
                  <w:pPr>
                    <w:pStyle w:val="null3"/>
                    <w:jc w:val="left"/>
                  </w:pPr>
                  <w:r>
                    <w:rPr>
                      <w:rFonts w:ascii="仿宋_GB2312" w:hAnsi="仿宋_GB2312" w:cs="仿宋_GB2312" w:eastAsia="仿宋_GB2312"/>
                      <w:sz w:val="28"/>
                      <w:b/>
                      <w:color w:val="000000"/>
                    </w:rPr>
                    <w:t>四、核心内容</w:t>
                  </w:r>
                </w:p>
                <w:p>
                  <w:pPr>
                    <w:pStyle w:val="null3"/>
                    <w:ind w:firstLine="480"/>
                    <w:jc w:val="left"/>
                  </w:pPr>
                  <w:r>
                    <w:rPr>
                      <w:rFonts w:ascii="仿宋_GB2312" w:hAnsi="仿宋_GB2312" w:cs="仿宋_GB2312" w:eastAsia="仿宋_GB2312"/>
                      <w:sz w:val="24"/>
                      <w:color w:val="000000"/>
                    </w:rPr>
                    <w:t>规划基础：对村庄发展现状包括现状特征进行全面分析，明确现状发展存在的问题。结合上位规划要求及村庄现状发展实际，提出村庄发展定位、类型及规划目标。</w:t>
                  </w:r>
                </w:p>
                <w:p>
                  <w:pPr>
                    <w:pStyle w:val="null3"/>
                    <w:ind w:firstLine="480"/>
                    <w:jc w:val="left"/>
                  </w:pPr>
                  <w:r>
                    <w:rPr>
                      <w:rFonts w:ascii="仿宋_GB2312" w:hAnsi="仿宋_GB2312" w:cs="仿宋_GB2312" w:eastAsia="仿宋_GB2312"/>
                      <w:sz w:val="24"/>
                      <w:color w:val="000000"/>
                    </w:rPr>
                    <w:t>底线管控：严格落实耕地和永久基本农田保护红线、生态保护红线、村庄建设边界、历史文化保护范围线、</w:t>
                  </w:r>
                  <w:r>
                    <w:rPr>
                      <w:rFonts w:ascii="仿宋_GB2312" w:hAnsi="仿宋_GB2312" w:cs="仿宋_GB2312" w:eastAsia="仿宋_GB2312"/>
                      <w:sz w:val="24"/>
                      <w:color w:val="000000"/>
                    </w:rPr>
                    <w:t>灾害风险控制线等国土空间底线要求。</w:t>
                  </w:r>
                </w:p>
                <w:p>
                  <w:pPr>
                    <w:pStyle w:val="null3"/>
                    <w:jc w:val="left"/>
                  </w:pPr>
                  <w:r>
                    <w:rPr>
                      <w:rFonts w:ascii="仿宋_GB2312" w:hAnsi="仿宋_GB2312" w:cs="仿宋_GB2312" w:eastAsia="仿宋_GB2312"/>
                      <w:sz w:val="24"/>
                      <w:color w:val="000000"/>
                    </w:rPr>
                    <w:t>规划管控：明确村庄建设用地规模、新增宅基地面积控制、建筑限高、后退道路线率等量化指标，引导村民合法合规建房。对农村公益设施、农村产业发展、国土综合整治和生态修复等进行布局、对乡村风貌提出具体管控要求。</w:t>
                  </w:r>
                </w:p>
                <w:p>
                  <w:pPr>
                    <w:pStyle w:val="null3"/>
                    <w:ind w:firstLine="480"/>
                    <w:jc w:val="left"/>
                  </w:pPr>
                  <w:r>
                    <w:rPr>
                      <w:rFonts w:ascii="仿宋_GB2312" w:hAnsi="仿宋_GB2312" w:cs="仿宋_GB2312" w:eastAsia="仿宋_GB2312"/>
                      <w:sz w:val="24"/>
                      <w:color w:val="000000"/>
                    </w:rPr>
                    <w:t>地块图则编制：对新增集体建设用地，出具村庄规划图则，明确地块编号、分类代码、地块范围、用地性质、建设指标等，作为规划许可依据。</w:t>
                  </w:r>
                </w:p>
                <w:p>
                  <w:pPr>
                    <w:pStyle w:val="null3"/>
                    <w:jc w:val="left"/>
                  </w:pPr>
                  <w:r>
                    <w:rPr>
                      <w:rFonts w:ascii="仿宋_GB2312" w:hAnsi="仿宋_GB2312" w:cs="仿宋_GB2312" w:eastAsia="仿宋_GB2312"/>
                      <w:sz w:val="28"/>
                      <w:b/>
                      <w:color w:val="000000"/>
                    </w:rPr>
                    <w:t>五、成果要求</w:t>
                  </w:r>
                </w:p>
                <w:p>
                  <w:pPr>
                    <w:pStyle w:val="null3"/>
                    <w:ind w:firstLine="480"/>
                    <w:jc w:val="left"/>
                  </w:pPr>
                  <w:r>
                    <w:rPr>
                      <w:rFonts w:ascii="仿宋_GB2312" w:hAnsi="仿宋_GB2312" w:cs="仿宋_GB2312" w:eastAsia="仿宋_GB2312"/>
                      <w:sz w:val="24"/>
                      <w:color w:val="000000"/>
                    </w:rPr>
                    <w:t>本次规划成果以村为单位分别形成，需符合国家、省、市相关技术标准及数据汇交要求，分为纸质成果和电子成果，具体要求如下：</w:t>
                  </w:r>
                </w:p>
                <w:p>
                  <w:pPr>
                    <w:pStyle w:val="null3"/>
                    <w:ind w:firstLine="480"/>
                    <w:jc w:val="left"/>
                  </w:pPr>
                  <w:r>
                    <w:rPr>
                      <w:rFonts w:ascii="仿宋_GB2312" w:hAnsi="仿宋_GB2312" w:cs="仿宋_GB2312" w:eastAsia="仿宋_GB2312"/>
                      <w:sz w:val="24"/>
                      <w:color w:val="000000"/>
                    </w:rPr>
                    <w:t>1）、提交成果</w:t>
                  </w:r>
                </w:p>
                <w:p>
                  <w:pPr>
                    <w:pStyle w:val="null3"/>
                    <w:ind w:firstLine="482"/>
                    <w:jc w:val="left"/>
                  </w:pPr>
                  <w:r>
                    <w:rPr>
                      <w:rFonts w:ascii="仿宋_GB2312" w:hAnsi="仿宋_GB2312" w:cs="仿宋_GB2312" w:eastAsia="仿宋_GB2312"/>
                      <w:sz w:val="24"/>
                      <w:b/>
                      <w:color w:val="000000"/>
                    </w:rPr>
                    <w:t>文本成果：</w:t>
                  </w:r>
                  <w:r>
                    <w:rPr>
                      <w:rFonts w:ascii="仿宋_GB2312" w:hAnsi="仿宋_GB2312" w:cs="仿宋_GB2312" w:eastAsia="仿宋_GB2312"/>
                      <w:sz w:val="24"/>
                      <w:color w:val="000000"/>
                    </w:rPr>
                    <w:t>包括规划文本、公众参与调查影像材料、镇村意见征询及回复等，采用</w:t>
                  </w:r>
                  <w:r>
                    <w:rPr>
                      <w:rFonts w:ascii="仿宋_GB2312" w:hAnsi="仿宋_GB2312" w:cs="仿宋_GB2312" w:eastAsia="仿宋_GB2312"/>
                      <w:sz w:val="24"/>
                      <w:color w:val="000000"/>
                    </w:rPr>
                    <w:t>A3规格装订，一式肆份（可根据实际需求调整份数）。</w:t>
                  </w:r>
                </w:p>
                <w:p>
                  <w:pPr>
                    <w:pStyle w:val="null3"/>
                    <w:ind w:firstLine="482"/>
                    <w:jc w:val="left"/>
                  </w:pPr>
                  <w:r>
                    <w:rPr>
                      <w:rFonts w:ascii="仿宋_GB2312" w:hAnsi="仿宋_GB2312" w:cs="仿宋_GB2312" w:eastAsia="仿宋_GB2312"/>
                      <w:sz w:val="24"/>
                      <w:b/>
                      <w:color w:val="000000"/>
                    </w:rPr>
                    <w:t>图件成果：</w:t>
                  </w:r>
                  <w:r>
                    <w:rPr>
                      <w:rFonts w:ascii="仿宋_GB2312" w:hAnsi="仿宋_GB2312" w:cs="仿宋_GB2312" w:eastAsia="仿宋_GB2312"/>
                      <w:sz w:val="24"/>
                      <w:color w:val="000000"/>
                    </w:rPr>
                    <w:t>包括村域国土空间现状图、村域国土空间规划图、村庄建设用地管控图等必备图件及可选图件，采用</w:t>
                  </w:r>
                  <w:r>
                    <w:rPr>
                      <w:rFonts w:ascii="仿宋_GB2312" w:hAnsi="仿宋_GB2312" w:cs="仿宋_GB2312" w:eastAsia="仿宋_GB2312"/>
                      <w:sz w:val="24"/>
                      <w:color w:val="000000"/>
                    </w:rPr>
                    <w:t>A3规格彩色打印装订，一式肆份（可根据实际需求调整份数）。</w:t>
                  </w:r>
                </w:p>
                <w:p>
                  <w:pPr>
                    <w:pStyle w:val="null3"/>
                    <w:ind w:firstLine="480"/>
                    <w:jc w:val="left"/>
                  </w:pPr>
                  <w:r>
                    <w:rPr>
                      <w:rFonts w:ascii="仿宋_GB2312" w:hAnsi="仿宋_GB2312" w:cs="仿宋_GB2312" w:eastAsia="仿宋_GB2312"/>
                      <w:sz w:val="24"/>
                      <w:color w:val="000000"/>
                    </w:rPr>
                    <w:t>2）、电子成果</w:t>
                  </w:r>
                </w:p>
                <w:p>
                  <w:pPr>
                    <w:pStyle w:val="null3"/>
                    <w:ind w:firstLine="480"/>
                    <w:jc w:val="left"/>
                  </w:pPr>
                  <w:r>
                    <w:rPr>
                      <w:rFonts w:ascii="仿宋_GB2312" w:hAnsi="仿宋_GB2312" w:cs="仿宋_GB2312" w:eastAsia="仿宋_GB2312"/>
                      <w:sz w:val="24"/>
                      <w:color w:val="000000"/>
                    </w:rPr>
                    <w:t>文本成果：采用</w:t>
                  </w:r>
                  <w:r>
                    <w:rPr>
                      <w:rFonts w:ascii="仿宋_GB2312" w:hAnsi="仿宋_GB2312" w:cs="仿宋_GB2312" w:eastAsia="仿宋_GB2312"/>
                      <w:sz w:val="24"/>
                      <w:color w:val="000000"/>
                    </w:rPr>
                    <w:t>PDF格式，清晰可编辑，提交电子文档1份。</w:t>
                  </w:r>
                </w:p>
                <w:p>
                  <w:pPr>
                    <w:pStyle w:val="null3"/>
                    <w:ind w:firstLine="480"/>
                    <w:jc w:val="left"/>
                  </w:pPr>
                  <w:r>
                    <w:rPr>
                      <w:rFonts w:ascii="仿宋_GB2312" w:hAnsi="仿宋_GB2312" w:cs="仿宋_GB2312" w:eastAsia="仿宋_GB2312"/>
                      <w:sz w:val="24"/>
                      <w:color w:val="000000"/>
                    </w:rPr>
                    <w:t>图件成果：采用</w:t>
                  </w:r>
                  <w:r>
                    <w:rPr>
                      <w:rFonts w:ascii="仿宋_GB2312" w:hAnsi="仿宋_GB2312" w:cs="仿宋_GB2312" w:eastAsia="仿宋_GB2312"/>
                      <w:sz w:val="24"/>
                      <w:color w:val="000000"/>
                    </w:rPr>
                    <w:t>JPG（高清）、提交电子文档1份，确保图形清晰。</w:t>
                  </w:r>
                </w:p>
                <w:p>
                  <w:pPr>
                    <w:pStyle w:val="null3"/>
                    <w:ind w:firstLine="480"/>
                    <w:jc w:val="left"/>
                  </w:pPr>
                  <w:r>
                    <w:rPr>
                      <w:rFonts w:ascii="仿宋_GB2312" w:hAnsi="仿宋_GB2312" w:cs="仿宋_GB2312" w:eastAsia="仿宋_GB2312"/>
                      <w:sz w:val="24"/>
                      <w:color w:val="000000"/>
                    </w:rPr>
                    <w:t>表格成果：采用</w:t>
                  </w:r>
                  <w:r>
                    <w:rPr>
                      <w:rFonts w:ascii="仿宋_GB2312" w:hAnsi="仿宋_GB2312" w:cs="仿宋_GB2312" w:eastAsia="仿宋_GB2312"/>
                      <w:sz w:val="24"/>
                      <w:color w:val="000000"/>
                    </w:rPr>
                    <w:t>XLS格式，符合村级通则式规划成果数据汇交要求，提交电子文档1份。</w:t>
                  </w:r>
                </w:p>
                <w:p>
                  <w:pPr>
                    <w:pStyle w:val="null3"/>
                    <w:ind w:firstLine="480"/>
                    <w:jc w:val="left"/>
                  </w:pPr>
                  <w:r>
                    <w:rPr>
                      <w:rFonts w:ascii="仿宋_GB2312" w:hAnsi="仿宋_GB2312" w:cs="仿宋_GB2312" w:eastAsia="仿宋_GB2312"/>
                      <w:sz w:val="24"/>
                      <w:color w:val="000000"/>
                    </w:rPr>
                    <w:t>矢量数据库成果：采用</w:t>
                  </w:r>
                  <w:r>
                    <w:rPr>
                      <w:rFonts w:ascii="仿宋_GB2312" w:hAnsi="仿宋_GB2312" w:cs="仿宋_GB2312" w:eastAsia="仿宋_GB2312"/>
                      <w:sz w:val="24"/>
                      <w:color w:val="000000"/>
                    </w:rPr>
                    <w:t>GDB格式，按照通则式技术管理数据库标准和数据汇交要求同步建设、同步报批，提供电子光盘1份（含数据库及全部电子成果）。</w:t>
                  </w:r>
                </w:p>
                <w:p>
                  <w:pPr>
                    <w:pStyle w:val="null3"/>
                    <w:spacing w:before="240"/>
                    <w:ind w:left="30" w:right="90" w:firstLine="630"/>
                    <w:jc w:val="left"/>
                  </w:pPr>
                  <w:r>
                    <w:rPr>
                      <w:rFonts w:ascii="仿宋_GB2312" w:hAnsi="仿宋_GB2312" w:cs="仿宋_GB2312" w:eastAsia="仿宋_GB2312"/>
                      <w:sz w:val="24"/>
                      <w:color w:val="000000"/>
                    </w:rPr>
                    <w:t>3）、成果版权及使用：本次成果所有权和使用权均属于采购单位所有。未经对方书面同意，任何一方的单位和个人不得擅自转让、使用、修改、复制本项目的成果或用于本项目外使用。</w:t>
                  </w:r>
                </w:p>
                <w:p>
                  <w:pPr>
                    <w:pStyle w:val="null3"/>
                    <w:ind w:left="15" w:right="90" w:firstLine="636"/>
                    <w:jc w:val="left"/>
                  </w:pPr>
                  <w:r>
                    <w:rPr>
                      <w:rFonts w:ascii="仿宋_GB2312" w:hAnsi="仿宋_GB2312" w:cs="仿宋_GB2312" w:eastAsia="仿宋_GB2312"/>
                      <w:sz w:val="24"/>
                      <w:color w:val="000000"/>
                    </w:rPr>
                    <w:t>4）、保密要求：供应商须建立严格的保密制度，并加强对工作人员的保密管理及保密知识教育。供应商须承担与此有关的技术情报和数据资料的保密责任。与本项目有关的资料及数据成果中涉及国家秘密的内容，均要求按照《国家保密法》及相关法律法规执行。</w:t>
                  </w:r>
                </w:p>
                <w:p>
                  <w:pPr>
                    <w:pStyle w:val="null3"/>
                    <w:ind w:left="15" w:right="90" w:firstLine="636"/>
                    <w:jc w:val="left"/>
                  </w:pPr>
                  <w:r>
                    <w:rPr>
                      <w:rFonts w:ascii="仿宋_GB2312" w:hAnsi="仿宋_GB2312" w:cs="仿宋_GB2312" w:eastAsia="仿宋_GB2312"/>
                      <w:sz w:val="24"/>
                      <w:color w:val="000000"/>
                    </w:rPr>
                    <w:t>5）、服务期限：合同签订之日起 60 日历天完成。</w:t>
                  </w:r>
                </w:p>
                <w:p>
                  <w:pPr>
                    <w:pStyle w:val="null3"/>
                    <w:ind w:left="15" w:right="90" w:firstLine="636"/>
                    <w:jc w:val="left"/>
                  </w:pPr>
                  <w:r>
                    <w:rPr>
                      <w:rFonts w:ascii="仿宋_GB2312" w:hAnsi="仿宋_GB2312" w:cs="仿宋_GB2312" w:eastAsia="仿宋_GB2312"/>
                      <w:sz w:val="24"/>
                      <w:color w:val="000000"/>
                    </w:rPr>
                    <w:t>6）、验收标准：符合国家标准、行业标准以及有关技术规范要求。</w:t>
                  </w:r>
                </w:p>
                <w:p>
                  <w:pPr>
                    <w:pStyle w:val="null3"/>
                    <w:ind w:left="30" w:firstLine="623"/>
                    <w:jc w:val="left"/>
                  </w:pPr>
                  <w:r>
                    <w:rPr>
                      <w:rFonts w:ascii="仿宋_GB2312" w:hAnsi="仿宋_GB2312" w:cs="仿宋_GB2312" w:eastAsia="仿宋_GB2312"/>
                      <w:sz w:val="24"/>
                      <w:color w:val="000000"/>
                    </w:rPr>
                    <w:t>7）、报价要求：供应商须根据项目采购内容和要求，报出总价。报价为完成本次项目的全费用价格，应包含项目咨询费、内外业调查费、人员劳务费、食宿交通费、报告编制费、图文制作打印费、评审费、售后服务及税金等费用。</w:t>
                  </w:r>
                </w:p>
                <w:p>
                  <w:pPr>
                    <w:pStyle w:val="null3"/>
                    <w:ind w:left="660"/>
                    <w:jc w:val="left"/>
                  </w:pPr>
                  <w:r>
                    <w:rPr>
                      <w:rFonts w:ascii="仿宋_GB2312" w:hAnsi="仿宋_GB2312" w:cs="仿宋_GB2312" w:eastAsia="仿宋_GB2312"/>
                      <w:sz w:val="24"/>
                      <w:color w:val="000000"/>
                    </w:rPr>
                    <w:t>8）、付款方式：合同签订前，双方协商确定。</w:t>
                  </w:r>
                </w:p>
                <w:p>
                  <w:pPr>
                    <w:pStyle w:val="null3"/>
                    <w:jc w:val="left"/>
                  </w:pP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供应商需拟派团队负责商州区45个村通则式村庄规划编制项目技术服务。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供应商需自行配备履约所需的工具、设施设备，保证项目顺利实施。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 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合同签订后，达到付款条件起，达到付款条件起30个工作日内，支付合同总金额的30.0%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进度款，付款条件说明： 乙方向甲方提交完整技术成果后，经过专家会审查通过后 ，达到付款条件起，达到付款条件起30个工作日内，支付合同总金额的70.0%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甲乙双方合同内约定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缴纳磋商保证金时备注项目名称，将磋商保证金缴纳凭证附在响应文件中。2、成交供应商在中标(成交)结果公告结束后3个工作日内向代理机构提供纸质版响应文件，响应文件为正本1份，副本3份，电子U盘2份(U盘内容包括Word版本、签字盖章扫描后的PDF版本响应文件及电子投标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供应商应是独立承担民事责任能力的法人、其他组织</w:t>
            </w:r>
          </w:p>
        </w:tc>
        <w:tc>
          <w:tcPr>
            <w:tcW w:type="dxa" w:w="3322"/>
          </w:tcPr>
          <w:p>
            <w:pPr>
              <w:pStyle w:val="null3"/>
            </w:pPr>
            <w:r>
              <w:rPr>
                <w:rFonts w:ascii="仿宋_GB2312" w:hAnsi="仿宋_GB2312" w:cs="仿宋_GB2312" w:eastAsia="仿宋_GB2312"/>
              </w:rPr>
              <w:t>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提供2025年6月1日至今已缴存的任意一个月的纳税证明或完税证明（成立不足一个月的提供依法纳税的承诺书，格式自拟）；依法免税的供应商应提供相关文件证明。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提供2025年6月1日至今已缴存的任意一个月的社会保障资金缴存单据或社保机构开具的社会保险参保缴费情况证明（成立不足一个月的提供将依法缴纳社会保障资金的承诺书，格式自拟）； 注：依法不需要缴纳社会保险的供应商提供相关部门出具的证明文件。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授权代表参加磋商的，须出具法定代表人授权书及授权代表身份证、授权代表本单位证明（养老保险缴纳证明或劳动合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提供参加政府采购活动前三年内，在经营活动中没有重大违法记录的声明函。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供应商及项目负责人</w:t>
            </w:r>
          </w:p>
        </w:tc>
        <w:tc>
          <w:tcPr>
            <w:tcW w:type="dxa" w:w="3322"/>
          </w:tcPr>
          <w:p>
            <w:pPr>
              <w:pStyle w:val="null3"/>
            </w:pPr>
            <w:r>
              <w:rPr>
                <w:rFonts w:ascii="仿宋_GB2312" w:hAnsi="仿宋_GB2312" w:cs="仿宋_GB2312" w:eastAsia="仿宋_GB2312"/>
              </w:rPr>
              <w:t>需具备土地规划乙级及以上或城乡规划（国土空间规划）乙级及以上的编制资质。项目负责人具备相关专业中级及以上职称或对应执业资格。</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供应商须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报价唯一，且不超过限价。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按磋商文件要求提交磋商保证金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签署、盖章均符合磋商文件要求，且无遗漏。</w:t>
            </w:r>
          </w:p>
        </w:tc>
        <w:tc>
          <w:tcPr>
            <w:tcW w:type="dxa" w:w="1661"/>
          </w:tcPr>
          <w:p>
            <w:pPr>
              <w:pStyle w:val="null3"/>
            </w:pPr>
            <w:r>
              <w:rPr>
                <w:rFonts w:ascii="仿宋_GB2312" w:hAnsi="仿宋_GB2312" w:cs="仿宋_GB2312" w:eastAsia="仿宋_GB2312"/>
              </w:rPr>
              <w:t>磋商保证金.docx 中小企业声明函 服务内容及服务要求应答表 商务应答表.docx 报价表 供应商相关项目业绩一览表.docx 响应文件封面 人员配备表（1）.docx 供应商认为有必要补充的其他资料.docx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项目需求的理解</w:t>
            </w:r>
          </w:p>
        </w:tc>
        <w:tc>
          <w:tcPr>
            <w:tcW w:type="dxa" w:w="2492"/>
          </w:tcPr>
          <w:p>
            <w:pPr>
              <w:pStyle w:val="null3"/>
            </w:pPr>
            <w:r>
              <w:rPr>
                <w:rFonts w:ascii="仿宋_GB2312" w:hAnsi="仿宋_GB2312" w:cs="仿宋_GB2312" w:eastAsia="仿宋_GB2312"/>
              </w:rPr>
              <w:t>供应商对本项目现状需解决的问题、产业发展、落实上位规划、村庄建设规划等方面提出切实可行的方案，按合理性、可操作性、全面性等计分。①方案内容全面、合理、规范、切实可行、可操作性强，完全满足采购需求，计16分；②针对以上方案内容，有1项欠缺具体措施办法的，计12分；③针对以上方案内容，有2项欠缺的，计8分；④针对以上方案内容，有3项欠缺的计4分；⑤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工作进度与计划</w:t>
            </w:r>
          </w:p>
        </w:tc>
        <w:tc>
          <w:tcPr>
            <w:tcW w:type="dxa" w:w="2492"/>
          </w:tcPr>
          <w:p>
            <w:pPr>
              <w:pStyle w:val="null3"/>
            </w:pPr>
            <w:r>
              <w:rPr>
                <w:rFonts w:ascii="仿宋_GB2312" w:hAnsi="仿宋_GB2312" w:cs="仿宋_GB2312" w:eastAsia="仿宋_GB2312"/>
              </w:rPr>
              <w:t>供应商根据采购需求对本项目有具体的工作进度安排，包括但不限于每个阶段的进度安排、进度保证措施、进度计划等进行评审。①进度安排详细、科学合理、具体可行，计12分；②针对以上内容，有1项欠缺具体措施进度的，计8分；③针对以上方案内容，有2项欠缺的，计4分；④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对规划成果质量提出针对性强，详细科学，具有可操作性的保障措施。①针对质量措施完善、合理，切实可行，计9分；②针对质量措施缺少具体措施办法的，计5分；③未提供的不计分。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拟投入本项目的技术负责人具有相关专业中级及以上工程师职称的，计2分。注：人员须提供（资格证书或职称证书、开标前半年内任意一个月的社保证明）复印件加盖公章，未提供或提供不全，则该项不得分。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人员配备表（1）.docx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1、配备规划、土地、测绘专业人员，每配齐一个专业人员（提供职称证+开标前半年内任意一个月社保证明），每一类计5分，满分10分； 2、项目配备专职的项目管理制度、岗位职责文件、项目进度管控措施，完整齐全得5分；缺少制度文件不得分。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人员配备表（1）.docx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的规划服务内容，做出切实可行的服务承诺，确保项目能按时按质完成，达到服务要求且能保证项目质量。①承诺内容清晰、承诺指标明确，后续服务具有可延续性，计7分；②承诺内容只有框架，没有详细内容，承诺指标没有具体证明资料，计3分，③未提供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为本项目制定完整可行的安全保密措施和书面承诺，具备完善的内部保密制度、保密措施，保密措施可行，对每个阶段工作的内容及服务保密。①制度完善，措施合理可行，把控说明严格，计7分；②制度不完整，措施只有书面承诺，没有具体实施方法，计3分；③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供应商针对本项目提供有益于本项目在技术、质量、进度或管理等方面进行改进的建议措施。①建议措施逻辑全面、详细，计6分；②建议只有措施，没有具体建议方法，计3分；③未提供不计分。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供应商针对参加本次规划编制的技术人员及基层配合人员进行统一技术培训并进行书面承诺。①培训内容全面、合理，培训计划组织有力，计6分；②培训内容只有书面承诺，没有具体培训方案及方法，计3分；③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供应商提供2022年10月1日至今相关项目业绩（以合同签订日期为准），具体以合同证明材料为准。每份计2分，计满10分为止。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供应商相关项目业绩一览表.docx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详见附件：人员配备表（1）.docx</w:t>
      </w:r>
    </w:p>
    <w:p>
      <w:pPr>
        <w:pStyle w:val="null3"/>
        <w:ind w:firstLine="960"/>
      </w:pPr>
      <w:r>
        <w:rPr>
          <w:rFonts w:ascii="仿宋_GB2312" w:hAnsi="仿宋_GB2312" w:cs="仿宋_GB2312" w:eastAsia="仿宋_GB2312"/>
        </w:rPr>
        <w:t>详见附件：供应商相关项目业绩一览表.docx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详见附件：供应商认为有必要补充的其他资料.docx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