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938B6">
      <w:pPr>
        <w:spacing w:line="360" w:lineRule="auto"/>
        <w:ind w:firstLine="281" w:firstLineChars="100"/>
        <w:jc w:val="center"/>
        <w:outlineLvl w:val="2"/>
        <w:rPr>
          <w:rFonts w:hint="eastAsia" w:ascii="仿宋" w:hAnsi="仿宋" w:eastAsia="仿宋" w:cs="仿宋"/>
          <w:b/>
          <w:kern w:val="0"/>
          <w:sz w:val="28"/>
          <w:szCs w:val="28"/>
          <w:lang w:eastAsia="zh-Hans"/>
        </w:rPr>
      </w:pPr>
      <w:r>
        <w:rPr>
          <w:rFonts w:hint="eastAsia" w:ascii="仿宋" w:hAnsi="仿宋" w:eastAsia="仿宋" w:cs="仿宋"/>
          <w:b/>
          <w:kern w:val="0"/>
          <w:sz w:val="28"/>
          <w:szCs w:val="28"/>
          <w:lang w:eastAsia="zh-Hans"/>
        </w:rPr>
        <w:t>拟签订合同文本</w:t>
      </w:r>
    </w:p>
    <w:p w14:paraId="6DB1945A">
      <w:pPr>
        <w:spacing w:line="360" w:lineRule="auto"/>
        <w:ind w:firstLine="480"/>
        <w:rPr>
          <w:rFonts w:hint="eastAsia" w:ascii="仿宋" w:hAnsi="仿宋" w:eastAsia="仿宋" w:cs="仿宋"/>
          <w:sz w:val="24"/>
          <w:szCs w:val="24"/>
        </w:rPr>
      </w:pPr>
      <w:r>
        <w:rPr>
          <w:rFonts w:hint="eastAsia" w:ascii="仿宋" w:hAnsi="仿宋" w:eastAsia="仿宋" w:cs="仿宋"/>
          <w:sz w:val="24"/>
          <w:szCs w:val="24"/>
        </w:rPr>
        <w:t>（本格式条款供采购人和</w:t>
      </w:r>
      <w:r>
        <w:rPr>
          <w:rFonts w:hint="eastAsia" w:ascii="仿宋" w:hAnsi="仿宋" w:eastAsia="仿宋" w:cs="仿宋"/>
          <w:sz w:val="24"/>
          <w:szCs w:val="24"/>
          <w:lang w:val="en-US" w:eastAsia="zh-CN"/>
        </w:rPr>
        <w:t>成交</w:t>
      </w:r>
      <w:r>
        <w:rPr>
          <w:rFonts w:hint="eastAsia" w:ascii="仿宋" w:hAnsi="仿宋" w:eastAsia="仿宋" w:cs="仿宋"/>
          <w:sz w:val="24"/>
          <w:szCs w:val="24"/>
        </w:rPr>
        <w:t>供应商双方签订合同参考，最终以采购人实际签订的合同为准）</w:t>
      </w:r>
    </w:p>
    <w:p w14:paraId="509532A9">
      <w:pPr>
        <w:rPr>
          <w:rFonts w:hint="eastAsia" w:ascii="仿宋" w:hAnsi="仿宋" w:eastAsia="仿宋" w:cs="仿宋"/>
          <w:sz w:val="32"/>
          <w:szCs w:val="32"/>
        </w:rPr>
      </w:pPr>
      <w:r>
        <w:rPr>
          <w:rFonts w:hint="eastAsia" w:ascii="仿宋" w:hAnsi="仿宋" w:eastAsia="仿宋" w:cs="仿宋"/>
          <w:sz w:val="32"/>
          <w:szCs w:val="32"/>
        </w:rPr>
        <w:t xml:space="preserve">                              </w:t>
      </w:r>
    </w:p>
    <w:p w14:paraId="06C561E1">
      <w:pPr>
        <w:spacing w:line="510" w:lineRule="atLeast"/>
        <w:jc w:val="center"/>
        <w:rPr>
          <w:rFonts w:hint="eastAsia" w:ascii="仿宋" w:hAnsi="仿宋" w:eastAsia="仿宋" w:cs="仿宋"/>
          <w:sz w:val="52"/>
          <w:szCs w:val="52"/>
        </w:rPr>
      </w:pPr>
    </w:p>
    <w:p w14:paraId="5D48981A">
      <w:pPr>
        <w:spacing w:line="510" w:lineRule="atLeast"/>
        <w:jc w:val="center"/>
        <w:rPr>
          <w:rFonts w:hint="eastAsia" w:ascii="仿宋" w:hAnsi="仿宋" w:eastAsia="仿宋" w:cs="仿宋"/>
          <w:sz w:val="48"/>
          <w:szCs w:val="48"/>
        </w:rPr>
      </w:pPr>
      <w:r>
        <w:rPr>
          <w:rFonts w:hint="eastAsia" w:ascii="仿宋" w:hAnsi="仿宋" w:eastAsia="仿宋" w:cs="仿宋"/>
          <w:sz w:val="48"/>
          <w:szCs w:val="48"/>
          <w:u w:val="single"/>
        </w:rPr>
        <w:t xml:space="preserve">        项目</w:t>
      </w:r>
    </w:p>
    <w:p w14:paraId="45001375">
      <w:pPr>
        <w:spacing w:line="480" w:lineRule="auto"/>
        <w:jc w:val="center"/>
        <w:rPr>
          <w:rFonts w:hint="eastAsia" w:ascii="仿宋" w:hAnsi="仿宋" w:eastAsia="仿宋" w:cs="仿宋"/>
          <w:b/>
          <w:sz w:val="48"/>
          <w:szCs w:val="48"/>
        </w:rPr>
      </w:pPr>
      <w:r>
        <w:rPr>
          <w:rFonts w:hint="eastAsia" w:ascii="仿宋" w:hAnsi="仿宋" w:eastAsia="仿宋" w:cs="仿宋"/>
          <w:b/>
          <w:sz w:val="48"/>
          <w:szCs w:val="48"/>
        </w:rPr>
        <w:t>供 货 合 同</w:t>
      </w:r>
    </w:p>
    <w:p w14:paraId="3D9EE444">
      <w:pPr>
        <w:spacing w:line="510" w:lineRule="atLeast"/>
        <w:jc w:val="center"/>
        <w:rPr>
          <w:rFonts w:hint="eastAsia" w:ascii="仿宋" w:hAnsi="仿宋" w:eastAsia="仿宋" w:cs="仿宋"/>
          <w:sz w:val="30"/>
          <w:szCs w:val="30"/>
        </w:rPr>
      </w:pPr>
    </w:p>
    <w:p w14:paraId="13A7E30A">
      <w:pPr>
        <w:spacing w:line="510" w:lineRule="atLeast"/>
        <w:jc w:val="center"/>
        <w:rPr>
          <w:rFonts w:hint="eastAsia" w:ascii="仿宋" w:hAnsi="仿宋" w:eastAsia="仿宋" w:cs="仿宋"/>
          <w:sz w:val="30"/>
          <w:szCs w:val="30"/>
        </w:rPr>
      </w:pPr>
    </w:p>
    <w:p w14:paraId="2ABDC469">
      <w:pPr>
        <w:spacing w:line="510" w:lineRule="atLeast"/>
        <w:jc w:val="center"/>
        <w:rPr>
          <w:rFonts w:hint="eastAsia" w:ascii="仿宋" w:hAnsi="仿宋" w:eastAsia="仿宋" w:cs="仿宋"/>
          <w:sz w:val="30"/>
          <w:szCs w:val="30"/>
        </w:rPr>
      </w:pPr>
    </w:p>
    <w:p w14:paraId="4D24B873">
      <w:pPr>
        <w:spacing w:line="510" w:lineRule="atLeast"/>
        <w:jc w:val="center"/>
        <w:rPr>
          <w:rFonts w:hint="eastAsia" w:ascii="仿宋" w:hAnsi="仿宋" w:eastAsia="仿宋" w:cs="仿宋"/>
          <w:sz w:val="30"/>
          <w:szCs w:val="30"/>
        </w:rPr>
      </w:pPr>
    </w:p>
    <w:p w14:paraId="14C4F87C">
      <w:pPr>
        <w:spacing w:line="510" w:lineRule="atLeast"/>
        <w:jc w:val="center"/>
        <w:rPr>
          <w:rFonts w:hint="eastAsia" w:ascii="仿宋" w:hAnsi="仿宋" w:eastAsia="仿宋" w:cs="仿宋"/>
          <w:sz w:val="30"/>
          <w:szCs w:val="30"/>
        </w:rPr>
      </w:pPr>
    </w:p>
    <w:p w14:paraId="637D6551">
      <w:pPr>
        <w:spacing w:line="510" w:lineRule="atLeast"/>
        <w:rPr>
          <w:rFonts w:hint="eastAsia" w:ascii="仿宋" w:hAnsi="仿宋" w:eastAsia="仿宋" w:cs="仿宋"/>
          <w:sz w:val="30"/>
          <w:szCs w:val="30"/>
        </w:rPr>
      </w:pPr>
    </w:p>
    <w:p w14:paraId="5CA4BE13">
      <w:pPr>
        <w:spacing w:line="360" w:lineRule="auto"/>
        <w:ind w:firstLine="2080" w:firstLineChars="650"/>
        <w:rPr>
          <w:rFonts w:hint="eastAsia" w:ascii="仿宋" w:hAnsi="仿宋" w:eastAsia="仿宋" w:cs="仿宋"/>
          <w:sz w:val="32"/>
          <w:szCs w:val="32"/>
        </w:rPr>
      </w:pPr>
      <w:r>
        <w:rPr>
          <w:rFonts w:hint="eastAsia" w:ascii="仿宋" w:hAnsi="仿宋" w:eastAsia="仿宋" w:cs="仿宋"/>
          <w:sz w:val="32"/>
          <w:szCs w:val="32"/>
        </w:rPr>
        <w:t>甲  方：</w:t>
      </w:r>
    </w:p>
    <w:p w14:paraId="371CBD17">
      <w:pPr>
        <w:tabs>
          <w:tab w:val="left" w:pos="480"/>
        </w:tabs>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乙  方：</w:t>
      </w:r>
    </w:p>
    <w:p w14:paraId="648EDB31">
      <w:pPr>
        <w:tabs>
          <w:tab w:val="left" w:pos="480"/>
        </w:tabs>
        <w:spacing w:line="360" w:lineRule="auto"/>
        <w:ind w:firstLine="640" w:firstLineChars="200"/>
        <w:rPr>
          <w:rFonts w:hint="eastAsia" w:ascii="仿宋" w:hAnsi="仿宋" w:eastAsia="仿宋" w:cs="仿宋"/>
          <w:b/>
          <w:sz w:val="32"/>
          <w:szCs w:val="32"/>
        </w:rPr>
      </w:pPr>
      <w:r>
        <w:rPr>
          <w:rFonts w:hint="eastAsia" w:ascii="仿宋" w:hAnsi="仿宋" w:eastAsia="仿宋" w:cs="仿宋"/>
          <w:sz w:val="32"/>
          <w:szCs w:val="32"/>
        </w:rPr>
        <w:t xml:space="preserve">  </w:t>
      </w:r>
    </w:p>
    <w:p w14:paraId="577BDDB6">
      <w:pPr>
        <w:tabs>
          <w:tab w:val="left" w:pos="480"/>
        </w:tabs>
        <w:spacing w:line="360" w:lineRule="auto"/>
        <w:ind w:firstLine="640" w:firstLineChars="200"/>
        <w:rPr>
          <w:rFonts w:hint="eastAsia" w:ascii="仿宋" w:hAnsi="仿宋" w:eastAsia="仿宋" w:cs="仿宋"/>
          <w:sz w:val="32"/>
          <w:szCs w:val="32"/>
        </w:rPr>
      </w:pPr>
    </w:p>
    <w:p w14:paraId="45F57312">
      <w:pPr>
        <w:spacing w:line="510" w:lineRule="atLeast"/>
        <w:jc w:val="center"/>
        <w:rPr>
          <w:rFonts w:hint="eastAsia" w:ascii="仿宋" w:hAnsi="仿宋" w:eastAsia="仿宋" w:cs="仿宋"/>
          <w:sz w:val="30"/>
          <w:szCs w:val="30"/>
        </w:rPr>
      </w:pPr>
    </w:p>
    <w:p w14:paraId="744C5F37">
      <w:pPr>
        <w:spacing w:line="510" w:lineRule="atLeast"/>
        <w:jc w:val="center"/>
        <w:rPr>
          <w:rFonts w:hint="eastAsia" w:ascii="仿宋" w:hAnsi="仿宋" w:eastAsia="仿宋" w:cs="仿宋"/>
          <w:sz w:val="30"/>
          <w:szCs w:val="30"/>
        </w:rPr>
      </w:pPr>
    </w:p>
    <w:p w14:paraId="30EDAD7A">
      <w:pPr>
        <w:spacing w:line="510" w:lineRule="atLeast"/>
        <w:jc w:val="center"/>
        <w:rPr>
          <w:rFonts w:hint="eastAsia" w:ascii="仿宋" w:hAnsi="仿宋" w:eastAsia="仿宋" w:cs="仿宋"/>
          <w:sz w:val="32"/>
          <w:szCs w:val="32"/>
        </w:rPr>
      </w:pPr>
      <w:r>
        <w:rPr>
          <w:rFonts w:hint="eastAsia" w:ascii="仿宋" w:hAnsi="仿宋" w:eastAsia="仿宋" w:cs="仿宋"/>
          <w:sz w:val="32"/>
          <w:szCs w:val="32"/>
        </w:rPr>
        <w:t>中国  西安</w:t>
      </w:r>
    </w:p>
    <w:p w14:paraId="3FBEAD47">
      <w:pPr>
        <w:spacing w:line="510" w:lineRule="atLeast"/>
        <w:jc w:val="center"/>
        <w:rPr>
          <w:rFonts w:hint="eastAsia" w:ascii="仿宋" w:hAnsi="仿宋" w:eastAsia="仿宋" w:cs="仿宋"/>
          <w:b/>
          <w:sz w:val="36"/>
          <w:szCs w:val="36"/>
        </w:rPr>
        <w:sectPr>
          <w:footerReference r:id="rId3" w:type="default"/>
          <w:pgSz w:w="11906" w:h="16838"/>
          <w:pgMar w:top="1440" w:right="1440" w:bottom="1440" w:left="1440" w:header="851" w:footer="992" w:gutter="0"/>
          <w:pgNumType w:start="0"/>
          <w:cols w:space="425" w:num="1"/>
          <w:titlePg/>
          <w:docGrid w:type="lines" w:linePitch="312" w:charSpace="0"/>
        </w:sectPr>
      </w:pPr>
    </w:p>
    <w:p w14:paraId="2924FBC3">
      <w:pPr>
        <w:spacing w:line="510" w:lineRule="atLeast"/>
        <w:jc w:val="center"/>
        <w:rPr>
          <w:rFonts w:hint="eastAsia" w:ascii="仿宋" w:hAnsi="仿宋" w:eastAsia="仿宋" w:cs="仿宋"/>
          <w:b/>
          <w:sz w:val="36"/>
          <w:szCs w:val="36"/>
        </w:rPr>
      </w:pPr>
      <w:r>
        <w:rPr>
          <w:rFonts w:hint="eastAsia" w:ascii="仿宋" w:hAnsi="仿宋" w:eastAsia="仿宋" w:cs="仿宋"/>
          <w:b/>
          <w:sz w:val="36"/>
          <w:szCs w:val="36"/>
        </w:rPr>
        <w:t>供 货 合 同</w:t>
      </w:r>
    </w:p>
    <w:p w14:paraId="0ADB248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甲方：</w:t>
      </w:r>
      <w:r>
        <w:rPr>
          <w:rFonts w:hint="eastAsia" w:ascii="仿宋" w:hAnsi="仿宋" w:eastAsia="仿宋" w:cs="仿宋"/>
          <w:sz w:val="24"/>
          <w:szCs w:val="24"/>
          <w:u w:val="single"/>
          <w:lang w:val="en-US" w:eastAsia="zh-CN"/>
        </w:rPr>
        <w:t xml:space="preserve">                   </w:t>
      </w:r>
    </w:p>
    <w:p w14:paraId="14155432">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lang w:val="en-US" w:eastAsia="zh-CN"/>
        </w:rPr>
        <w:t xml:space="preserve">                   </w:t>
      </w:r>
    </w:p>
    <w:p w14:paraId="3AF6D5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依照《中华人民共和国民法典》及其他有关法律、法规，遵循平等、自愿、公平和诚信的原则，双方就下述项目范围与相关服务事项协商一致，订立本合同。</w:t>
      </w:r>
    </w:p>
    <w:p w14:paraId="7F1AAD3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一、合同货物内容及数量</w:t>
      </w:r>
    </w:p>
    <w:tbl>
      <w:tblPr>
        <w:tblStyle w:val="15"/>
        <w:tblW w:w="9523" w:type="dxa"/>
        <w:jc w:val="center"/>
        <w:tblLayout w:type="fixed"/>
        <w:tblCellMar>
          <w:top w:w="0" w:type="dxa"/>
          <w:left w:w="28" w:type="dxa"/>
          <w:bottom w:w="0" w:type="dxa"/>
          <w:right w:w="28" w:type="dxa"/>
        </w:tblCellMar>
      </w:tblPr>
      <w:tblGrid>
        <w:gridCol w:w="626"/>
        <w:gridCol w:w="1838"/>
        <w:gridCol w:w="1216"/>
        <w:gridCol w:w="1284"/>
        <w:gridCol w:w="816"/>
        <w:gridCol w:w="852"/>
        <w:gridCol w:w="1042"/>
        <w:gridCol w:w="1007"/>
        <w:gridCol w:w="842"/>
      </w:tblGrid>
      <w:tr w14:paraId="6D98B18B">
        <w:tblPrEx>
          <w:tblCellMar>
            <w:top w:w="0" w:type="dxa"/>
            <w:left w:w="28" w:type="dxa"/>
            <w:bottom w:w="0" w:type="dxa"/>
            <w:right w:w="28" w:type="dxa"/>
          </w:tblCellMar>
        </w:tblPrEx>
        <w:trPr>
          <w:trHeight w:val="237" w:hRule="atLeast"/>
          <w:jc w:val="center"/>
        </w:trPr>
        <w:tc>
          <w:tcPr>
            <w:tcW w:w="626" w:type="dxa"/>
            <w:tcBorders>
              <w:top w:val="single" w:color="auto" w:sz="6" w:space="0"/>
              <w:left w:val="single" w:color="auto" w:sz="6" w:space="0"/>
              <w:bottom w:val="single" w:color="auto" w:sz="6" w:space="0"/>
            </w:tcBorders>
            <w:vAlign w:val="center"/>
          </w:tcPr>
          <w:p w14:paraId="3D73E07C">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838" w:type="dxa"/>
            <w:tcBorders>
              <w:top w:val="single" w:color="auto" w:sz="6" w:space="0"/>
              <w:left w:val="single" w:color="auto" w:sz="6" w:space="0"/>
              <w:bottom w:val="single" w:color="auto" w:sz="6" w:space="0"/>
              <w:right w:val="single" w:color="auto" w:sz="6" w:space="0"/>
            </w:tcBorders>
            <w:vAlign w:val="center"/>
          </w:tcPr>
          <w:p w14:paraId="2177D63B">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货物名称</w:t>
            </w:r>
          </w:p>
        </w:tc>
        <w:tc>
          <w:tcPr>
            <w:tcW w:w="1216" w:type="dxa"/>
            <w:tcBorders>
              <w:top w:val="single" w:color="auto" w:sz="6" w:space="0"/>
              <w:left w:val="single" w:color="auto" w:sz="6" w:space="0"/>
              <w:bottom w:val="single" w:color="auto" w:sz="6" w:space="0"/>
              <w:right w:val="single" w:color="auto" w:sz="4" w:space="0"/>
            </w:tcBorders>
            <w:vAlign w:val="center"/>
          </w:tcPr>
          <w:p w14:paraId="0D625F77">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品牌</w:t>
            </w:r>
          </w:p>
        </w:tc>
        <w:tc>
          <w:tcPr>
            <w:tcW w:w="1284" w:type="dxa"/>
            <w:tcBorders>
              <w:top w:val="single" w:color="auto" w:sz="6" w:space="0"/>
              <w:left w:val="single" w:color="auto" w:sz="4" w:space="0"/>
              <w:bottom w:val="single" w:color="auto" w:sz="6" w:space="0"/>
              <w:right w:val="single" w:color="auto" w:sz="6" w:space="0"/>
            </w:tcBorders>
            <w:vAlign w:val="center"/>
          </w:tcPr>
          <w:p w14:paraId="11F51D6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规格型号</w:t>
            </w:r>
          </w:p>
        </w:tc>
        <w:tc>
          <w:tcPr>
            <w:tcW w:w="816" w:type="dxa"/>
            <w:tcBorders>
              <w:top w:val="single" w:color="auto" w:sz="6" w:space="0"/>
              <w:left w:val="single" w:color="auto" w:sz="6" w:space="0"/>
              <w:bottom w:val="single" w:color="auto" w:sz="6" w:space="0"/>
              <w:right w:val="single" w:color="auto" w:sz="4" w:space="0"/>
            </w:tcBorders>
            <w:vAlign w:val="center"/>
          </w:tcPr>
          <w:p w14:paraId="46D3FD2F">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数量</w:t>
            </w:r>
          </w:p>
        </w:tc>
        <w:tc>
          <w:tcPr>
            <w:tcW w:w="852" w:type="dxa"/>
            <w:tcBorders>
              <w:top w:val="single" w:color="auto" w:sz="6" w:space="0"/>
              <w:left w:val="single" w:color="auto" w:sz="4" w:space="0"/>
              <w:bottom w:val="single" w:color="auto" w:sz="6" w:space="0"/>
              <w:right w:val="single" w:color="auto" w:sz="4" w:space="0"/>
            </w:tcBorders>
            <w:vAlign w:val="center"/>
          </w:tcPr>
          <w:p w14:paraId="4DA4CDFD">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单位</w:t>
            </w:r>
          </w:p>
        </w:tc>
        <w:tc>
          <w:tcPr>
            <w:tcW w:w="1042" w:type="dxa"/>
            <w:tcBorders>
              <w:top w:val="single" w:color="auto" w:sz="6" w:space="0"/>
              <w:left w:val="single" w:color="auto" w:sz="4" w:space="0"/>
              <w:bottom w:val="single" w:color="auto" w:sz="6" w:space="0"/>
              <w:right w:val="single" w:color="auto" w:sz="6" w:space="0"/>
            </w:tcBorders>
            <w:vAlign w:val="center"/>
          </w:tcPr>
          <w:p w14:paraId="75D359FD">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单价</w:t>
            </w:r>
          </w:p>
          <w:p w14:paraId="46480F5C">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（元）</w:t>
            </w:r>
          </w:p>
        </w:tc>
        <w:tc>
          <w:tcPr>
            <w:tcW w:w="1007" w:type="dxa"/>
            <w:tcBorders>
              <w:top w:val="single" w:color="auto" w:sz="6" w:space="0"/>
              <w:left w:val="single" w:color="auto" w:sz="6" w:space="0"/>
              <w:bottom w:val="single" w:color="auto" w:sz="6" w:space="0"/>
              <w:right w:val="single" w:color="auto" w:sz="4" w:space="0"/>
            </w:tcBorders>
            <w:vAlign w:val="center"/>
          </w:tcPr>
          <w:p w14:paraId="1A1C657E">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金额</w:t>
            </w:r>
          </w:p>
          <w:p w14:paraId="4E6E615F">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（元）</w:t>
            </w:r>
          </w:p>
        </w:tc>
        <w:tc>
          <w:tcPr>
            <w:tcW w:w="842" w:type="dxa"/>
            <w:tcBorders>
              <w:top w:val="single" w:color="auto" w:sz="6" w:space="0"/>
              <w:left w:val="single" w:color="auto" w:sz="4" w:space="0"/>
              <w:bottom w:val="single" w:color="auto" w:sz="6" w:space="0"/>
              <w:right w:val="single" w:color="auto" w:sz="6" w:space="0"/>
            </w:tcBorders>
            <w:vAlign w:val="center"/>
          </w:tcPr>
          <w:p w14:paraId="7B9A681A">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备注</w:t>
            </w:r>
          </w:p>
        </w:tc>
      </w:tr>
      <w:tr w14:paraId="344DDC84">
        <w:tblPrEx>
          <w:tblCellMar>
            <w:top w:w="0" w:type="dxa"/>
            <w:left w:w="28" w:type="dxa"/>
            <w:bottom w:w="0" w:type="dxa"/>
            <w:right w:w="28" w:type="dxa"/>
          </w:tblCellMar>
        </w:tblPrEx>
        <w:trPr>
          <w:trHeight w:val="237" w:hRule="atLeast"/>
          <w:jc w:val="center"/>
        </w:trPr>
        <w:tc>
          <w:tcPr>
            <w:tcW w:w="626" w:type="dxa"/>
            <w:tcBorders>
              <w:top w:val="single" w:color="auto" w:sz="6" w:space="0"/>
              <w:left w:val="single" w:color="auto" w:sz="6" w:space="0"/>
              <w:bottom w:val="single" w:color="auto" w:sz="6" w:space="0"/>
            </w:tcBorders>
            <w:vAlign w:val="center"/>
          </w:tcPr>
          <w:p w14:paraId="15E0045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838" w:type="dxa"/>
            <w:tcBorders>
              <w:top w:val="single" w:color="auto" w:sz="6" w:space="0"/>
              <w:left w:val="single" w:color="auto" w:sz="6" w:space="0"/>
              <w:bottom w:val="single" w:color="auto" w:sz="6" w:space="0"/>
              <w:right w:val="single" w:color="auto" w:sz="6" w:space="0"/>
            </w:tcBorders>
            <w:vAlign w:val="center"/>
          </w:tcPr>
          <w:p w14:paraId="4E12D478">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16" w:type="dxa"/>
            <w:tcBorders>
              <w:top w:val="single" w:color="auto" w:sz="6" w:space="0"/>
              <w:left w:val="single" w:color="auto" w:sz="6" w:space="0"/>
              <w:bottom w:val="single" w:color="auto" w:sz="6" w:space="0"/>
              <w:right w:val="single" w:color="auto" w:sz="4" w:space="0"/>
            </w:tcBorders>
            <w:vAlign w:val="center"/>
          </w:tcPr>
          <w:p w14:paraId="436DE426">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84" w:type="dxa"/>
            <w:tcBorders>
              <w:top w:val="single" w:color="auto" w:sz="6" w:space="0"/>
              <w:left w:val="single" w:color="auto" w:sz="4" w:space="0"/>
              <w:bottom w:val="single" w:color="auto" w:sz="6" w:space="0"/>
              <w:right w:val="single" w:color="auto" w:sz="6" w:space="0"/>
            </w:tcBorders>
            <w:vAlign w:val="center"/>
          </w:tcPr>
          <w:p w14:paraId="69D65680">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16" w:type="dxa"/>
            <w:tcBorders>
              <w:top w:val="single" w:color="auto" w:sz="6" w:space="0"/>
              <w:left w:val="single" w:color="auto" w:sz="6" w:space="0"/>
              <w:bottom w:val="single" w:color="auto" w:sz="6" w:space="0"/>
              <w:right w:val="single" w:color="auto" w:sz="4" w:space="0"/>
            </w:tcBorders>
            <w:vAlign w:val="center"/>
          </w:tcPr>
          <w:p w14:paraId="5EC15E6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52" w:type="dxa"/>
            <w:tcBorders>
              <w:top w:val="single" w:color="auto" w:sz="6" w:space="0"/>
              <w:left w:val="single" w:color="auto" w:sz="4" w:space="0"/>
              <w:bottom w:val="single" w:color="auto" w:sz="6" w:space="0"/>
              <w:right w:val="single" w:color="auto" w:sz="4" w:space="0"/>
            </w:tcBorders>
            <w:vAlign w:val="center"/>
          </w:tcPr>
          <w:p w14:paraId="3B4EFFC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42" w:type="dxa"/>
            <w:tcBorders>
              <w:top w:val="single" w:color="auto" w:sz="6" w:space="0"/>
              <w:left w:val="single" w:color="auto" w:sz="4" w:space="0"/>
              <w:bottom w:val="single" w:color="auto" w:sz="6" w:space="0"/>
              <w:right w:val="single" w:color="auto" w:sz="6" w:space="0"/>
            </w:tcBorders>
            <w:vAlign w:val="center"/>
          </w:tcPr>
          <w:p w14:paraId="60B6C915">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07" w:type="dxa"/>
            <w:tcBorders>
              <w:top w:val="single" w:color="auto" w:sz="6" w:space="0"/>
              <w:left w:val="single" w:color="auto" w:sz="6" w:space="0"/>
              <w:bottom w:val="single" w:color="auto" w:sz="6" w:space="0"/>
              <w:right w:val="single" w:color="auto" w:sz="4" w:space="0"/>
            </w:tcBorders>
            <w:vAlign w:val="center"/>
          </w:tcPr>
          <w:p w14:paraId="5F4D2463">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42" w:type="dxa"/>
            <w:tcBorders>
              <w:top w:val="single" w:color="auto" w:sz="6" w:space="0"/>
              <w:left w:val="single" w:color="auto" w:sz="4" w:space="0"/>
              <w:bottom w:val="single" w:color="auto" w:sz="6" w:space="0"/>
              <w:right w:val="single" w:color="auto" w:sz="6" w:space="0"/>
            </w:tcBorders>
            <w:vAlign w:val="center"/>
          </w:tcPr>
          <w:p w14:paraId="2D79CA2D">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r>
      <w:tr w14:paraId="65575996">
        <w:tblPrEx>
          <w:tblCellMar>
            <w:top w:w="0" w:type="dxa"/>
            <w:left w:w="28" w:type="dxa"/>
            <w:bottom w:w="0" w:type="dxa"/>
            <w:right w:w="28" w:type="dxa"/>
          </w:tblCellMar>
        </w:tblPrEx>
        <w:trPr>
          <w:trHeight w:val="237" w:hRule="atLeast"/>
          <w:jc w:val="center"/>
        </w:trPr>
        <w:tc>
          <w:tcPr>
            <w:tcW w:w="626" w:type="dxa"/>
            <w:tcBorders>
              <w:top w:val="single" w:color="auto" w:sz="6" w:space="0"/>
              <w:left w:val="single" w:color="auto" w:sz="6" w:space="0"/>
              <w:bottom w:val="single" w:color="auto" w:sz="6" w:space="0"/>
            </w:tcBorders>
            <w:vAlign w:val="center"/>
          </w:tcPr>
          <w:p w14:paraId="46B4347F">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838" w:type="dxa"/>
            <w:tcBorders>
              <w:top w:val="single" w:color="auto" w:sz="6" w:space="0"/>
              <w:left w:val="single" w:color="auto" w:sz="6" w:space="0"/>
              <w:bottom w:val="single" w:color="auto" w:sz="6" w:space="0"/>
              <w:right w:val="single" w:color="auto" w:sz="6" w:space="0"/>
            </w:tcBorders>
            <w:vAlign w:val="center"/>
          </w:tcPr>
          <w:p w14:paraId="6237A7D0">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16" w:type="dxa"/>
            <w:tcBorders>
              <w:top w:val="single" w:color="auto" w:sz="6" w:space="0"/>
              <w:left w:val="single" w:color="auto" w:sz="6" w:space="0"/>
              <w:bottom w:val="single" w:color="auto" w:sz="6" w:space="0"/>
              <w:right w:val="single" w:color="auto" w:sz="4" w:space="0"/>
            </w:tcBorders>
            <w:vAlign w:val="center"/>
          </w:tcPr>
          <w:p w14:paraId="49C7F5B9">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84" w:type="dxa"/>
            <w:tcBorders>
              <w:top w:val="single" w:color="auto" w:sz="6" w:space="0"/>
              <w:left w:val="single" w:color="auto" w:sz="4" w:space="0"/>
              <w:bottom w:val="single" w:color="auto" w:sz="6" w:space="0"/>
              <w:right w:val="single" w:color="auto" w:sz="6" w:space="0"/>
            </w:tcBorders>
            <w:vAlign w:val="center"/>
          </w:tcPr>
          <w:p w14:paraId="09483B96">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16" w:type="dxa"/>
            <w:tcBorders>
              <w:top w:val="single" w:color="auto" w:sz="6" w:space="0"/>
              <w:left w:val="single" w:color="auto" w:sz="6" w:space="0"/>
              <w:bottom w:val="single" w:color="auto" w:sz="6" w:space="0"/>
              <w:right w:val="single" w:color="auto" w:sz="4" w:space="0"/>
            </w:tcBorders>
            <w:vAlign w:val="center"/>
          </w:tcPr>
          <w:p w14:paraId="2A584B1B">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52" w:type="dxa"/>
            <w:tcBorders>
              <w:top w:val="single" w:color="auto" w:sz="6" w:space="0"/>
              <w:left w:val="single" w:color="auto" w:sz="4" w:space="0"/>
              <w:bottom w:val="single" w:color="auto" w:sz="6" w:space="0"/>
              <w:right w:val="single" w:color="auto" w:sz="4" w:space="0"/>
            </w:tcBorders>
            <w:vAlign w:val="center"/>
          </w:tcPr>
          <w:p w14:paraId="22FD85CE">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42" w:type="dxa"/>
            <w:tcBorders>
              <w:top w:val="single" w:color="auto" w:sz="6" w:space="0"/>
              <w:left w:val="single" w:color="auto" w:sz="4" w:space="0"/>
              <w:bottom w:val="single" w:color="auto" w:sz="6" w:space="0"/>
              <w:right w:val="single" w:color="auto" w:sz="6" w:space="0"/>
            </w:tcBorders>
            <w:vAlign w:val="center"/>
          </w:tcPr>
          <w:p w14:paraId="3B1ECFF6">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07" w:type="dxa"/>
            <w:tcBorders>
              <w:top w:val="single" w:color="auto" w:sz="6" w:space="0"/>
              <w:left w:val="single" w:color="auto" w:sz="6" w:space="0"/>
              <w:bottom w:val="single" w:color="auto" w:sz="6" w:space="0"/>
              <w:right w:val="single" w:color="auto" w:sz="4" w:space="0"/>
            </w:tcBorders>
            <w:vAlign w:val="center"/>
          </w:tcPr>
          <w:p w14:paraId="186FCFEC">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42" w:type="dxa"/>
            <w:tcBorders>
              <w:top w:val="single" w:color="auto" w:sz="6" w:space="0"/>
              <w:left w:val="single" w:color="auto" w:sz="4" w:space="0"/>
              <w:bottom w:val="single" w:color="auto" w:sz="6" w:space="0"/>
              <w:right w:val="single" w:color="auto" w:sz="6" w:space="0"/>
            </w:tcBorders>
            <w:vAlign w:val="center"/>
          </w:tcPr>
          <w:p w14:paraId="30B266AD">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r>
      <w:tr w14:paraId="590F7B19">
        <w:tblPrEx>
          <w:tblCellMar>
            <w:top w:w="0" w:type="dxa"/>
            <w:left w:w="28" w:type="dxa"/>
            <w:bottom w:w="0" w:type="dxa"/>
            <w:right w:w="28" w:type="dxa"/>
          </w:tblCellMar>
        </w:tblPrEx>
        <w:trPr>
          <w:trHeight w:val="237" w:hRule="atLeast"/>
          <w:jc w:val="center"/>
        </w:trPr>
        <w:tc>
          <w:tcPr>
            <w:tcW w:w="626" w:type="dxa"/>
            <w:tcBorders>
              <w:top w:val="single" w:color="auto" w:sz="6" w:space="0"/>
              <w:left w:val="single" w:color="auto" w:sz="6" w:space="0"/>
              <w:bottom w:val="single" w:color="auto" w:sz="6" w:space="0"/>
            </w:tcBorders>
            <w:vAlign w:val="center"/>
          </w:tcPr>
          <w:p w14:paraId="11459367">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838" w:type="dxa"/>
            <w:tcBorders>
              <w:top w:val="single" w:color="auto" w:sz="6" w:space="0"/>
              <w:left w:val="single" w:color="auto" w:sz="6" w:space="0"/>
              <w:bottom w:val="single" w:color="auto" w:sz="6" w:space="0"/>
              <w:right w:val="single" w:color="auto" w:sz="6" w:space="0"/>
            </w:tcBorders>
            <w:vAlign w:val="center"/>
          </w:tcPr>
          <w:p w14:paraId="4CEA1C26">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16" w:type="dxa"/>
            <w:tcBorders>
              <w:top w:val="single" w:color="auto" w:sz="6" w:space="0"/>
              <w:left w:val="single" w:color="auto" w:sz="6" w:space="0"/>
              <w:bottom w:val="single" w:color="auto" w:sz="6" w:space="0"/>
              <w:right w:val="single" w:color="auto" w:sz="4" w:space="0"/>
            </w:tcBorders>
            <w:vAlign w:val="center"/>
          </w:tcPr>
          <w:p w14:paraId="52266FAE">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84" w:type="dxa"/>
            <w:tcBorders>
              <w:top w:val="single" w:color="auto" w:sz="6" w:space="0"/>
              <w:left w:val="single" w:color="auto" w:sz="4" w:space="0"/>
              <w:bottom w:val="single" w:color="auto" w:sz="6" w:space="0"/>
              <w:right w:val="single" w:color="auto" w:sz="6" w:space="0"/>
            </w:tcBorders>
            <w:vAlign w:val="center"/>
          </w:tcPr>
          <w:p w14:paraId="15E91519">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16" w:type="dxa"/>
            <w:tcBorders>
              <w:top w:val="single" w:color="auto" w:sz="6" w:space="0"/>
              <w:left w:val="single" w:color="auto" w:sz="6" w:space="0"/>
              <w:bottom w:val="single" w:color="auto" w:sz="6" w:space="0"/>
              <w:right w:val="single" w:color="auto" w:sz="4" w:space="0"/>
            </w:tcBorders>
            <w:vAlign w:val="center"/>
          </w:tcPr>
          <w:p w14:paraId="75C7D523">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52" w:type="dxa"/>
            <w:tcBorders>
              <w:top w:val="single" w:color="auto" w:sz="6" w:space="0"/>
              <w:left w:val="single" w:color="auto" w:sz="4" w:space="0"/>
              <w:bottom w:val="single" w:color="auto" w:sz="6" w:space="0"/>
              <w:right w:val="single" w:color="auto" w:sz="4" w:space="0"/>
            </w:tcBorders>
            <w:vAlign w:val="center"/>
          </w:tcPr>
          <w:p w14:paraId="2DEA3E98">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42" w:type="dxa"/>
            <w:tcBorders>
              <w:top w:val="single" w:color="auto" w:sz="6" w:space="0"/>
              <w:left w:val="single" w:color="auto" w:sz="4" w:space="0"/>
              <w:bottom w:val="single" w:color="auto" w:sz="6" w:space="0"/>
              <w:right w:val="single" w:color="auto" w:sz="6" w:space="0"/>
            </w:tcBorders>
            <w:vAlign w:val="center"/>
          </w:tcPr>
          <w:p w14:paraId="0915F7A1">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07" w:type="dxa"/>
            <w:tcBorders>
              <w:top w:val="single" w:color="auto" w:sz="6" w:space="0"/>
              <w:left w:val="single" w:color="auto" w:sz="6" w:space="0"/>
              <w:bottom w:val="single" w:color="auto" w:sz="6" w:space="0"/>
              <w:right w:val="single" w:color="auto" w:sz="4" w:space="0"/>
            </w:tcBorders>
            <w:vAlign w:val="center"/>
          </w:tcPr>
          <w:p w14:paraId="4514CFBB">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42" w:type="dxa"/>
            <w:tcBorders>
              <w:top w:val="single" w:color="auto" w:sz="6" w:space="0"/>
              <w:left w:val="single" w:color="auto" w:sz="4" w:space="0"/>
              <w:bottom w:val="single" w:color="auto" w:sz="6" w:space="0"/>
              <w:right w:val="single" w:color="auto" w:sz="6" w:space="0"/>
            </w:tcBorders>
            <w:vAlign w:val="center"/>
          </w:tcPr>
          <w:p w14:paraId="2206D7C6">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r>
      <w:tr w14:paraId="44A02018">
        <w:tblPrEx>
          <w:tblCellMar>
            <w:top w:w="0" w:type="dxa"/>
            <w:left w:w="28" w:type="dxa"/>
            <w:bottom w:w="0" w:type="dxa"/>
            <w:right w:w="28" w:type="dxa"/>
          </w:tblCellMar>
        </w:tblPrEx>
        <w:trPr>
          <w:trHeight w:val="237" w:hRule="atLeast"/>
          <w:jc w:val="center"/>
        </w:trPr>
        <w:tc>
          <w:tcPr>
            <w:tcW w:w="626" w:type="dxa"/>
            <w:tcBorders>
              <w:top w:val="single" w:color="auto" w:sz="6" w:space="0"/>
              <w:left w:val="single" w:color="auto" w:sz="6" w:space="0"/>
              <w:bottom w:val="single" w:color="auto" w:sz="6" w:space="0"/>
            </w:tcBorders>
            <w:vAlign w:val="center"/>
          </w:tcPr>
          <w:p w14:paraId="7DFA21AA">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1838" w:type="dxa"/>
            <w:tcBorders>
              <w:top w:val="single" w:color="auto" w:sz="6" w:space="0"/>
              <w:left w:val="single" w:color="auto" w:sz="6" w:space="0"/>
              <w:bottom w:val="single" w:color="auto" w:sz="6" w:space="0"/>
              <w:right w:val="single" w:color="auto" w:sz="6" w:space="0"/>
            </w:tcBorders>
            <w:vAlign w:val="center"/>
          </w:tcPr>
          <w:p w14:paraId="5817EE33">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16" w:type="dxa"/>
            <w:tcBorders>
              <w:top w:val="single" w:color="auto" w:sz="6" w:space="0"/>
              <w:left w:val="single" w:color="auto" w:sz="6" w:space="0"/>
              <w:bottom w:val="single" w:color="auto" w:sz="6" w:space="0"/>
              <w:right w:val="single" w:color="auto" w:sz="4" w:space="0"/>
            </w:tcBorders>
            <w:vAlign w:val="center"/>
          </w:tcPr>
          <w:p w14:paraId="3026176E">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284" w:type="dxa"/>
            <w:tcBorders>
              <w:top w:val="single" w:color="auto" w:sz="6" w:space="0"/>
              <w:left w:val="single" w:color="auto" w:sz="4" w:space="0"/>
              <w:bottom w:val="single" w:color="auto" w:sz="6" w:space="0"/>
              <w:right w:val="single" w:color="auto" w:sz="6" w:space="0"/>
            </w:tcBorders>
            <w:vAlign w:val="center"/>
          </w:tcPr>
          <w:p w14:paraId="72910244">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16" w:type="dxa"/>
            <w:tcBorders>
              <w:top w:val="single" w:color="auto" w:sz="6" w:space="0"/>
              <w:left w:val="single" w:color="auto" w:sz="6" w:space="0"/>
              <w:bottom w:val="single" w:color="auto" w:sz="6" w:space="0"/>
              <w:right w:val="single" w:color="auto" w:sz="4" w:space="0"/>
            </w:tcBorders>
            <w:vAlign w:val="center"/>
          </w:tcPr>
          <w:p w14:paraId="4D3B8313">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52" w:type="dxa"/>
            <w:tcBorders>
              <w:top w:val="single" w:color="auto" w:sz="6" w:space="0"/>
              <w:left w:val="single" w:color="auto" w:sz="4" w:space="0"/>
              <w:bottom w:val="single" w:color="auto" w:sz="6" w:space="0"/>
              <w:right w:val="single" w:color="auto" w:sz="4" w:space="0"/>
            </w:tcBorders>
            <w:vAlign w:val="center"/>
          </w:tcPr>
          <w:p w14:paraId="2EB45B52">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42" w:type="dxa"/>
            <w:tcBorders>
              <w:top w:val="single" w:color="auto" w:sz="6" w:space="0"/>
              <w:left w:val="single" w:color="auto" w:sz="4" w:space="0"/>
              <w:bottom w:val="single" w:color="auto" w:sz="6" w:space="0"/>
              <w:right w:val="single" w:color="auto" w:sz="6" w:space="0"/>
            </w:tcBorders>
            <w:vAlign w:val="center"/>
          </w:tcPr>
          <w:p w14:paraId="563EC3A2">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1007" w:type="dxa"/>
            <w:tcBorders>
              <w:top w:val="single" w:color="auto" w:sz="6" w:space="0"/>
              <w:left w:val="single" w:color="auto" w:sz="6" w:space="0"/>
              <w:bottom w:val="single" w:color="auto" w:sz="6" w:space="0"/>
              <w:right w:val="single" w:color="auto" w:sz="4" w:space="0"/>
            </w:tcBorders>
            <w:vAlign w:val="center"/>
          </w:tcPr>
          <w:p w14:paraId="6E276A1C">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c>
          <w:tcPr>
            <w:tcW w:w="842" w:type="dxa"/>
            <w:tcBorders>
              <w:top w:val="single" w:color="auto" w:sz="6" w:space="0"/>
              <w:left w:val="single" w:color="auto" w:sz="4" w:space="0"/>
              <w:bottom w:val="single" w:color="auto" w:sz="6" w:space="0"/>
              <w:right w:val="single" w:color="auto" w:sz="6" w:space="0"/>
            </w:tcBorders>
            <w:vAlign w:val="center"/>
          </w:tcPr>
          <w:p w14:paraId="78A48355">
            <w:pPr>
              <w:keepNext w:val="0"/>
              <w:keepLines w:val="0"/>
              <w:pageBreakBefore w:val="0"/>
              <w:widowControl w:val="0"/>
              <w:kinsoku/>
              <w:wordWrap/>
              <w:overflowPunct/>
              <w:topLinePunct w:val="0"/>
              <w:autoSpaceDE/>
              <w:autoSpaceDN/>
              <w:bidi w:val="0"/>
              <w:adjustRightInd/>
              <w:snapToGrid/>
              <w:spacing w:after="120" w:line="240" w:lineRule="auto"/>
              <w:jc w:val="center"/>
              <w:textAlignment w:val="auto"/>
              <w:rPr>
                <w:rFonts w:hint="eastAsia" w:ascii="仿宋" w:hAnsi="仿宋" w:eastAsia="仿宋" w:cs="仿宋"/>
                <w:sz w:val="24"/>
                <w:szCs w:val="24"/>
              </w:rPr>
            </w:pPr>
          </w:p>
        </w:tc>
      </w:tr>
      <w:tr w14:paraId="50D9B9C3">
        <w:tblPrEx>
          <w:tblCellMar>
            <w:top w:w="0" w:type="dxa"/>
            <w:left w:w="28" w:type="dxa"/>
            <w:bottom w:w="0" w:type="dxa"/>
            <w:right w:w="28" w:type="dxa"/>
          </w:tblCellMar>
        </w:tblPrEx>
        <w:trPr>
          <w:trHeight w:val="478" w:hRule="atLeast"/>
          <w:jc w:val="center"/>
        </w:trPr>
        <w:tc>
          <w:tcPr>
            <w:tcW w:w="2464" w:type="dxa"/>
            <w:gridSpan w:val="2"/>
            <w:tcBorders>
              <w:top w:val="single" w:color="auto" w:sz="6" w:space="0"/>
              <w:left w:val="single" w:color="auto" w:sz="6" w:space="0"/>
              <w:bottom w:val="single" w:color="auto" w:sz="6" w:space="0"/>
              <w:right w:val="single" w:color="auto" w:sz="6" w:space="0"/>
            </w:tcBorders>
            <w:vAlign w:val="center"/>
          </w:tcPr>
          <w:p w14:paraId="2A118853">
            <w:pPr>
              <w:keepNext w:val="0"/>
              <w:keepLines w:val="0"/>
              <w:pageBreakBefore w:val="0"/>
              <w:widowControl w:val="0"/>
              <w:kinsoku/>
              <w:wordWrap/>
              <w:overflowPunct/>
              <w:topLinePunct w:val="0"/>
              <w:autoSpaceDE/>
              <w:autoSpaceDN/>
              <w:bidi w:val="0"/>
              <w:adjustRightInd/>
              <w:snapToGrid/>
              <w:spacing w:before="156" w:beforeLines="50" w:line="24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tcW w:w="7059" w:type="dxa"/>
            <w:gridSpan w:val="7"/>
            <w:tcBorders>
              <w:top w:val="single" w:color="auto" w:sz="6" w:space="0"/>
              <w:left w:val="single" w:color="auto" w:sz="6" w:space="0"/>
              <w:bottom w:val="single" w:color="auto" w:sz="6" w:space="0"/>
              <w:right w:val="single" w:color="auto" w:sz="6" w:space="0"/>
            </w:tcBorders>
            <w:vAlign w:val="center"/>
          </w:tcPr>
          <w:p w14:paraId="7DA79FDB">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rPr>
                <w:rFonts w:hint="eastAsia" w:ascii="仿宋" w:hAnsi="仿宋" w:eastAsia="仿宋" w:cs="仿宋"/>
                <w:b/>
                <w:sz w:val="24"/>
                <w:szCs w:val="24"/>
              </w:rPr>
            </w:pPr>
            <w:r>
              <w:rPr>
                <w:rFonts w:hint="eastAsia" w:ascii="仿宋" w:hAnsi="仿宋" w:eastAsia="仿宋" w:cs="仿宋"/>
                <w:b/>
                <w:sz w:val="24"/>
                <w:szCs w:val="24"/>
              </w:rPr>
              <w:t>人民币：（大写）</w:t>
            </w:r>
          </w:p>
          <w:p w14:paraId="22AC8E3F">
            <w:pPr>
              <w:keepNext w:val="0"/>
              <w:keepLines w:val="0"/>
              <w:pageBreakBefore w:val="0"/>
              <w:widowControl w:val="0"/>
              <w:kinsoku/>
              <w:wordWrap/>
              <w:overflowPunct/>
              <w:topLinePunct w:val="0"/>
              <w:autoSpaceDE/>
              <w:autoSpaceDN/>
              <w:bidi w:val="0"/>
              <w:adjustRightInd/>
              <w:snapToGrid/>
              <w:spacing w:before="156" w:beforeLines="50" w:line="240" w:lineRule="auto"/>
              <w:textAlignment w:val="auto"/>
              <w:rPr>
                <w:rFonts w:hint="eastAsia" w:ascii="仿宋" w:hAnsi="仿宋" w:eastAsia="仿宋" w:cs="仿宋"/>
                <w:b/>
                <w:sz w:val="24"/>
                <w:szCs w:val="24"/>
              </w:rPr>
            </w:pPr>
            <w:r>
              <w:rPr>
                <w:rFonts w:hint="eastAsia" w:ascii="仿宋" w:hAnsi="仿宋" w:eastAsia="仿宋" w:cs="仿宋"/>
                <w:b/>
                <w:sz w:val="24"/>
                <w:szCs w:val="24"/>
              </w:rPr>
              <w:t xml:space="preserve">       （小写）￥</w:t>
            </w:r>
          </w:p>
        </w:tc>
      </w:tr>
    </w:tbl>
    <w:p w14:paraId="4BB8547E">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b/>
          <w:sz w:val="24"/>
          <w:szCs w:val="24"/>
        </w:rPr>
        <w:t>二、合同价款</w:t>
      </w:r>
    </w:p>
    <w:p w14:paraId="798E39C4">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（一）合同总价款为</w:t>
      </w:r>
      <w:r>
        <w:rPr>
          <w:rFonts w:hint="eastAsia" w:ascii="仿宋" w:hAnsi="仿宋" w:eastAsia="仿宋" w:cs="仿宋"/>
          <w:b/>
          <w:bCs/>
          <w:sz w:val="24"/>
          <w:szCs w:val="24"/>
        </w:rPr>
        <w:t>人民币（大写）</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元整（￥</w:t>
      </w:r>
      <w:r>
        <w:rPr>
          <w:rFonts w:hint="eastAsia" w:ascii="仿宋" w:hAnsi="仿宋" w:eastAsia="仿宋" w:cs="仿宋"/>
          <w:b/>
          <w:bCs/>
          <w:sz w:val="24"/>
          <w:szCs w:val="24"/>
          <w:u w:val="single"/>
        </w:rPr>
        <w:t xml:space="preserve">     </w:t>
      </w:r>
      <w:r>
        <w:rPr>
          <w:rFonts w:hint="eastAsia" w:ascii="仿宋" w:hAnsi="仿宋" w:eastAsia="仿宋" w:cs="仿宋"/>
          <w:b/>
          <w:bCs/>
          <w:sz w:val="24"/>
          <w:szCs w:val="24"/>
        </w:rPr>
        <w:t>元）。</w:t>
      </w:r>
    </w:p>
    <w:p w14:paraId="3156B9CA">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（二）合同价格即中标价，乙方完成所要求的产品、服务且验收合格的所有费用，包括但不限于设备费、运输费、保险费、安装调试费、检定/校准费、仓储保管费、培训费、验收费等其他一切相关费用；</w:t>
      </w:r>
    </w:p>
    <w:p w14:paraId="0906DADE">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三）</w:t>
      </w:r>
      <w:r>
        <w:rPr>
          <w:rFonts w:hint="eastAsia" w:ascii="仿宋" w:hAnsi="仿宋" w:eastAsia="仿宋" w:cs="仿宋"/>
          <w:sz w:val="24"/>
          <w:szCs w:val="24"/>
        </w:rPr>
        <w:t>合同价格为含税价，乙方提供产品所发生的一切税（包括增值税）费等都已包含于合同价款中；</w:t>
      </w:r>
      <w:bookmarkStart w:id="0" w:name="_GoBack"/>
      <w:bookmarkEnd w:id="0"/>
    </w:p>
    <w:p w14:paraId="20CDB1DA">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四）</w:t>
      </w:r>
      <w:r>
        <w:rPr>
          <w:rFonts w:hint="eastAsia" w:ascii="仿宋" w:hAnsi="仿宋" w:eastAsia="仿宋" w:cs="仿宋"/>
          <w:sz w:val="24"/>
          <w:szCs w:val="24"/>
        </w:rPr>
        <w:t>该合同总价不受市场价格变化或实际工作量变化的影响，在合同有效期</w:t>
      </w:r>
      <w:r>
        <w:rPr>
          <w:rFonts w:hint="eastAsia" w:ascii="仿宋" w:hAnsi="仿宋" w:eastAsia="仿宋" w:cs="仿宋"/>
          <w:sz w:val="24"/>
          <w:szCs w:val="24"/>
          <w:lang w:val="en-US" w:eastAsia="zh-CN"/>
        </w:rPr>
        <w:t>内</w:t>
      </w:r>
      <w:r>
        <w:rPr>
          <w:rFonts w:hint="eastAsia" w:ascii="仿宋" w:hAnsi="仿宋" w:eastAsia="仿宋" w:cs="仿宋"/>
          <w:sz w:val="24"/>
          <w:szCs w:val="24"/>
        </w:rPr>
        <w:t>不做任何调整，乙方自行承担所供货物的市场价格变化。</w:t>
      </w:r>
    </w:p>
    <w:p w14:paraId="0E2CCA18">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14:paraId="46A54288">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bCs/>
          <w:sz w:val="24"/>
          <w:szCs w:val="24"/>
          <w:lang w:eastAsia="zh-CN"/>
        </w:rPr>
      </w:pPr>
      <w:r>
        <w:rPr>
          <w:rFonts w:hint="eastAsia" w:ascii="仿宋" w:hAnsi="仿宋" w:eastAsia="仿宋" w:cs="仿宋"/>
          <w:sz w:val="24"/>
          <w:szCs w:val="24"/>
        </w:rPr>
        <w:t>（</w:t>
      </w:r>
      <w:r>
        <w:rPr>
          <w:rFonts w:hint="eastAsia" w:ascii="仿宋" w:hAnsi="仿宋" w:eastAsia="仿宋" w:cs="仿宋"/>
          <w:sz w:val="24"/>
          <w:szCs w:val="24"/>
          <w:lang w:val="en-US" w:eastAsia="zh-CN"/>
        </w:rPr>
        <w:t>一</w:t>
      </w:r>
      <w:r>
        <w:rPr>
          <w:rFonts w:hint="eastAsia" w:ascii="仿宋" w:hAnsi="仿宋" w:eastAsia="仿宋" w:cs="仿宋"/>
          <w:bCs/>
          <w:sz w:val="24"/>
          <w:szCs w:val="24"/>
        </w:rPr>
        <w:t>）</w:t>
      </w:r>
      <w:r>
        <w:rPr>
          <w:rFonts w:hint="eastAsia" w:ascii="仿宋" w:hAnsi="仿宋" w:eastAsia="仿宋" w:cs="仿宋"/>
          <w:sz w:val="24"/>
          <w:szCs w:val="24"/>
        </w:rPr>
        <w:t>全部产品交货至指定地点并验收合格交付使用，乙方向甲方出具合法有效的完税发票，达到付款条件起30个工作日内，支付合同总金额的100.0%</w:t>
      </w:r>
      <w:r>
        <w:rPr>
          <w:rFonts w:hint="eastAsia" w:ascii="仿宋" w:hAnsi="仿宋" w:eastAsia="仿宋" w:cs="仿宋"/>
          <w:sz w:val="24"/>
          <w:szCs w:val="24"/>
          <w:lang w:eastAsia="zh-CN"/>
        </w:rPr>
        <w:t>。</w:t>
      </w:r>
    </w:p>
    <w:p w14:paraId="4CF62848">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二</w:t>
      </w:r>
      <w:r>
        <w:rPr>
          <w:rFonts w:hint="eastAsia" w:ascii="仿宋" w:hAnsi="仿宋" w:eastAsia="仿宋" w:cs="仿宋"/>
          <w:sz w:val="24"/>
          <w:szCs w:val="24"/>
        </w:rPr>
        <w:t>）支付方式：银行转账。</w:t>
      </w:r>
    </w:p>
    <w:p w14:paraId="1A7439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账户全称：</w:t>
      </w:r>
    </w:p>
    <w:p w14:paraId="77DF4F4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账    号：</w:t>
      </w:r>
    </w:p>
    <w:p w14:paraId="4CF04A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开 户 行：</w:t>
      </w:r>
    </w:p>
    <w:p w14:paraId="397095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甲方仅认可上述指定账户并向该账户付款。甲方有权拒绝向指定账户之外的任何账户付款，并且由此导致的付款延迟责任由乙方承担。</w:t>
      </w:r>
    </w:p>
    <w:p w14:paraId="458FF564">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四、双方权利与义务</w:t>
      </w:r>
    </w:p>
    <w:p w14:paraId="3EC5D119">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（一）甲方的权利和义务：甲方有权利要求乙方保质保量按时将货物运送到甲方指定地点。</w:t>
      </w:r>
    </w:p>
    <w:p w14:paraId="45F388C5">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（二）乙方的权利和义务：乙方有义务根据合同要求保质保量供货，确保所供货物系达到现行国家、行业标准的全新产品。否则，视为乙方未完成交货义务。</w:t>
      </w:r>
    </w:p>
    <w:p w14:paraId="2AD2BB7E">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rPr>
      </w:pPr>
      <w:r>
        <w:rPr>
          <w:rFonts w:hint="eastAsia" w:ascii="仿宋" w:hAnsi="仿宋" w:eastAsia="仿宋" w:cs="仿宋"/>
          <w:b/>
          <w:sz w:val="24"/>
          <w:szCs w:val="24"/>
        </w:rPr>
        <w:t>五、交货条件</w:t>
      </w:r>
    </w:p>
    <w:p w14:paraId="716FA703">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（一）交货地点：西安高新第三中学指定实验室。</w:t>
      </w:r>
    </w:p>
    <w:p w14:paraId="0666908C">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（二）交货期：自合同签订生效之日起20个日历日完成供货、安装及调试。</w:t>
      </w:r>
    </w:p>
    <w:p w14:paraId="5ECDE921">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六、包装、运输、调试</w:t>
      </w:r>
    </w:p>
    <w:p w14:paraId="38E7A0EB">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一）</w:t>
      </w:r>
      <w:r>
        <w:rPr>
          <w:rFonts w:hint="eastAsia" w:ascii="仿宋" w:hAnsi="仿宋" w:eastAsia="仿宋" w:cs="仿宋"/>
          <w:b w:val="0"/>
          <w:bCs/>
          <w:sz w:val="24"/>
          <w:szCs w:val="24"/>
        </w:rPr>
        <w:t>包装：产品包装应采取防潮、防晒、防腐蚀、防震动及防止其他损坏的必要措施。供应商应承担由于其包装或防护措施不妥而引起的货物锈蚀、损坏和丢失等任何损失造成的责任或费用；</w:t>
      </w:r>
    </w:p>
    <w:p w14:paraId="469DBD4C">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二）</w:t>
      </w:r>
      <w:r>
        <w:rPr>
          <w:rFonts w:hint="eastAsia" w:ascii="仿宋" w:hAnsi="仿宋" w:eastAsia="仿宋" w:cs="仿宋"/>
          <w:b w:val="0"/>
          <w:bCs/>
          <w:sz w:val="24"/>
          <w:szCs w:val="24"/>
        </w:rPr>
        <w:t>运输：运杂费一次包死在总价内，包括并不限于生产厂到施工现场所需的装卸、运输（含保险费）、现场保管费、二次倒运费、吊装费等费用；</w:t>
      </w:r>
    </w:p>
    <w:p w14:paraId="083DF6F0">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三）</w:t>
      </w:r>
      <w:r>
        <w:rPr>
          <w:rFonts w:hint="eastAsia" w:ascii="仿宋" w:hAnsi="仿宋" w:eastAsia="仿宋" w:cs="仿宋"/>
          <w:b w:val="0"/>
          <w:bCs/>
          <w:sz w:val="24"/>
          <w:szCs w:val="24"/>
        </w:rPr>
        <w:t>调试：供应商负责安装和调试，包括并不限于铺设、安装、改造水电管路等所有环境设施，确保设备能够正常运行，并达到合同中规定的技术要求及产品性能；</w:t>
      </w:r>
    </w:p>
    <w:p w14:paraId="2B50A259">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四）</w:t>
      </w:r>
      <w:r>
        <w:rPr>
          <w:rFonts w:hint="eastAsia" w:ascii="仿宋" w:hAnsi="仿宋" w:eastAsia="仿宋" w:cs="仿宋"/>
          <w:b w:val="0"/>
          <w:bCs/>
          <w:sz w:val="24"/>
          <w:szCs w:val="24"/>
        </w:rPr>
        <w:t>乙方应对运输、搬运、安装、调试等实施过程的安全负责，如发生人身伤亡、财产损失的由乙方负责解决并承担全部责任及费用；</w:t>
      </w:r>
    </w:p>
    <w:p w14:paraId="7D7C2EC9">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五）</w:t>
      </w:r>
      <w:r>
        <w:rPr>
          <w:rFonts w:hint="eastAsia" w:ascii="仿宋" w:hAnsi="仿宋" w:eastAsia="仿宋" w:cs="仿宋"/>
          <w:b w:val="0"/>
          <w:bCs/>
          <w:sz w:val="24"/>
          <w:szCs w:val="24"/>
        </w:rPr>
        <w:t>所有产品在运输、搬运、安装、调试的过程中，造成甲方损失的，由乙方承担全部责任并赔偿费用；</w:t>
      </w:r>
    </w:p>
    <w:p w14:paraId="712F2962">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六）</w:t>
      </w:r>
      <w:r>
        <w:rPr>
          <w:rFonts w:hint="eastAsia" w:ascii="仿宋" w:hAnsi="仿宋" w:eastAsia="仿宋" w:cs="仿宋"/>
          <w:b w:val="0"/>
          <w:bCs/>
          <w:sz w:val="24"/>
          <w:szCs w:val="24"/>
        </w:rPr>
        <w:t>合同所约定的货物及配套设备交付甲方验收合格前的风险由乙方承担，甲方承担验收合格接收后的风险。</w:t>
      </w:r>
    </w:p>
    <w:p w14:paraId="3D3735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七</w:t>
      </w:r>
      <w:r>
        <w:rPr>
          <w:rFonts w:hint="eastAsia" w:ascii="仿宋" w:hAnsi="仿宋" w:eastAsia="仿宋" w:cs="仿宋"/>
          <w:b/>
          <w:sz w:val="24"/>
          <w:szCs w:val="24"/>
        </w:rPr>
        <w:t>、售后服务</w:t>
      </w:r>
    </w:p>
    <w:p w14:paraId="1D51B1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1、质保期限</w:t>
      </w:r>
      <w:r>
        <w:rPr>
          <w:rFonts w:hint="eastAsia" w:ascii="仿宋" w:hAnsi="仿宋" w:eastAsia="仿宋" w:cs="仿宋"/>
          <w:sz w:val="24"/>
          <w:szCs w:val="24"/>
          <w:lang w:eastAsia="zh-CN"/>
        </w:rPr>
        <w:t>：</w:t>
      </w:r>
      <w:r>
        <w:rPr>
          <w:rFonts w:hint="eastAsia" w:ascii="仿宋" w:hAnsi="仿宋" w:eastAsia="仿宋" w:cs="仿宋"/>
          <w:sz w:val="24"/>
          <w:szCs w:val="24"/>
        </w:rPr>
        <w:t>质保期为3年，自最终验收合格并签署《最终验收报告》之日起计算。质保期内，所有维修、更换服务均为免费。更换系统中部件(包括软件和硬件)，其保修期自更换之日应相应延长。</w:t>
      </w:r>
    </w:p>
    <w:p w14:paraId="2D490A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2、响应与修复时效</w:t>
      </w:r>
      <w:r>
        <w:rPr>
          <w:rFonts w:hint="eastAsia" w:ascii="仿宋" w:hAnsi="仿宋" w:eastAsia="仿宋" w:cs="仿宋"/>
          <w:sz w:val="24"/>
          <w:szCs w:val="24"/>
          <w:lang w:eastAsia="zh-CN"/>
        </w:rPr>
        <w:t>：</w:t>
      </w:r>
      <w:r>
        <w:rPr>
          <w:rFonts w:hint="eastAsia" w:ascii="仿宋" w:hAnsi="仿宋" w:eastAsia="仿宋" w:cs="仿宋"/>
          <w:sz w:val="24"/>
          <w:szCs w:val="24"/>
        </w:rPr>
        <w:t>提供7</w:t>
      </w:r>
      <w:r>
        <w:rPr>
          <w:rFonts w:hint="eastAsia" w:ascii="仿宋" w:hAnsi="仿宋" w:eastAsia="仿宋" w:cs="仿宋"/>
          <w:sz w:val="24"/>
          <w:szCs w:val="24"/>
          <w:lang w:val="en-US" w:eastAsia="zh-CN"/>
        </w:rPr>
        <w:t>x</w:t>
      </w:r>
      <w:r>
        <w:rPr>
          <w:rFonts w:hint="eastAsia" w:ascii="仿宋" w:hAnsi="仿宋" w:eastAsia="仿宋" w:cs="仿宋"/>
          <w:sz w:val="24"/>
          <w:szCs w:val="24"/>
        </w:rPr>
        <w:t>24小时技术支持与报修服务</w:t>
      </w:r>
      <w:r>
        <w:rPr>
          <w:rFonts w:hint="eastAsia" w:ascii="仿宋" w:hAnsi="仿宋" w:eastAsia="仿宋" w:cs="仿宋"/>
          <w:sz w:val="24"/>
          <w:szCs w:val="24"/>
          <w:lang w:eastAsia="zh-CN"/>
        </w:rPr>
        <w:t>；</w:t>
      </w:r>
      <w:r>
        <w:rPr>
          <w:rFonts w:hint="eastAsia" w:ascii="仿宋" w:hAnsi="仿宋" w:eastAsia="仿宋" w:cs="仿宋"/>
          <w:sz w:val="24"/>
          <w:szCs w:val="24"/>
        </w:rPr>
        <w:t>接到报修通知后，2小时内做出实质性响应，提供远程技术指导</w:t>
      </w:r>
      <w:r>
        <w:rPr>
          <w:rFonts w:hint="eastAsia" w:ascii="仿宋" w:hAnsi="仿宋" w:eastAsia="仿宋" w:cs="仿宋"/>
          <w:sz w:val="24"/>
          <w:szCs w:val="24"/>
          <w:lang w:eastAsia="zh-CN"/>
        </w:rPr>
        <w:t>；</w:t>
      </w:r>
      <w:r>
        <w:rPr>
          <w:rFonts w:hint="eastAsia" w:ascii="仿宋" w:hAnsi="仿宋" w:eastAsia="仿宋" w:cs="仿宋"/>
          <w:sz w:val="24"/>
          <w:szCs w:val="24"/>
        </w:rPr>
        <w:t>若远程无法解决问题，售后人员须在24小时内 到达现场进行勘查和维修。一般故障须在48小时内修复。如遇重大故障需更换核心部件，应在7个工作日内提供解决方案，并在15个工作日内完成修复。</w:t>
      </w:r>
    </w:p>
    <w:p w14:paraId="2C223A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3、备品备件与巡检服务</w:t>
      </w:r>
      <w:r>
        <w:rPr>
          <w:rFonts w:hint="eastAsia" w:ascii="仿宋" w:hAnsi="仿宋" w:eastAsia="仿宋" w:cs="仿宋"/>
          <w:sz w:val="24"/>
          <w:szCs w:val="24"/>
          <w:lang w:eastAsia="zh-CN"/>
        </w:rPr>
        <w:t>：</w:t>
      </w:r>
      <w:r>
        <w:rPr>
          <w:rFonts w:hint="eastAsia" w:ascii="仿宋" w:hAnsi="仿宋" w:eastAsia="仿宋" w:cs="仿宋"/>
          <w:sz w:val="24"/>
          <w:szCs w:val="24"/>
        </w:rPr>
        <w:t>乙方须承诺在质保期内及质保期满后5年内，以不高于本合同单价的价格持续供应备品备件。质保期内，乙方须每学期开学前提供1次免费上门巡检服务，对所有设备进行全面检查、维护和调试，并出具书面巡检报告，确保设备在学期内正常运行。</w:t>
      </w:r>
    </w:p>
    <w:p w14:paraId="585DE3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4、培训服务</w:t>
      </w:r>
      <w:r>
        <w:rPr>
          <w:rFonts w:hint="eastAsia" w:ascii="仿宋" w:hAnsi="仿宋" w:eastAsia="仿宋" w:cs="仿宋"/>
          <w:sz w:val="24"/>
          <w:szCs w:val="24"/>
          <w:lang w:eastAsia="zh-CN"/>
        </w:rPr>
        <w:t>：</w:t>
      </w:r>
      <w:r>
        <w:rPr>
          <w:rFonts w:hint="eastAsia" w:ascii="仿宋" w:hAnsi="仿宋" w:eastAsia="仿宋" w:cs="仿宋"/>
          <w:sz w:val="24"/>
          <w:szCs w:val="24"/>
        </w:rPr>
        <w:t>乙方须为甲方指定的实验教师及管理人员提供现场培训。包括但不限于设备的正确操作、日常维护、简单故障排查及应急处理方法。确保受训人员能独立完成日常操作和基本维护。乙方需提供详尽的《设备使用与维护手册》(含电子版)。</w:t>
      </w:r>
    </w:p>
    <w:p w14:paraId="04EFF88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5、违约责任</w:t>
      </w:r>
      <w:r>
        <w:rPr>
          <w:rFonts w:hint="eastAsia" w:ascii="仿宋" w:hAnsi="仿宋" w:eastAsia="仿宋" w:cs="仿宋"/>
          <w:sz w:val="24"/>
          <w:szCs w:val="24"/>
          <w:lang w:eastAsia="zh-CN"/>
        </w:rPr>
        <w:t>：</w:t>
      </w:r>
      <w:r>
        <w:rPr>
          <w:rFonts w:hint="eastAsia" w:ascii="仿宋" w:hAnsi="仿宋" w:eastAsia="仿宋" w:cs="仿宋"/>
          <w:sz w:val="24"/>
          <w:szCs w:val="24"/>
        </w:rPr>
        <w:t>若乙方未能按上述要求履行售后服务，甲方有权委托第三方进行维修，所产生的一切费用由乙方承担。</w:t>
      </w:r>
    </w:p>
    <w:p w14:paraId="051D0E49">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lang w:eastAsia="zh-CN"/>
        </w:rPr>
      </w:pPr>
      <w:r>
        <w:rPr>
          <w:rFonts w:hint="eastAsia" w:ascii="仿宋" w:hAnsi="仿宋" w:eastAsia="仿宋" w:cs="仿宋"/>
          <w:b/>
          <w:sz w:val="24"/>
          <w:szCs w:val="24"/>
          <w:lang w:val="en-US" w:eastAsia="zh-CN"/>
        </w:rPr>
        <w:t>八</w:t>
      </w:r>
      <w:r>
        <w:rPr>
          <w:rFonts w:hint="eastAsia" w:ascii="仿宋" w:hAnsi="仿宋" w:eastAsia="仿宋" w:cs="仿宋"/>
          <w:b/>
          <w:sz w:val="24"/>
          <w:szCs w:val="24"/>
        </w:rPr>
        <w:t>、</w:t>
      </w:r>
      <w:r>
        <w:rPr>
          <w:rFonts w:hint="eastAsia" w:ascii="仿宋" w:hAnsi="仿宋" w:eastAsia="仿宋" w:cs="仿宋"/>
          <w:b/>
          <w:sz w:val="24"/>
          <w:szCs w:val="24"/>
          <w:lang w:val="en-US" w:eastAsia="zh-CN"/>
        </w:rPr>
        <w:t>验收</w:t>
      </w:r>
    </w:p>
    <w:p w14:paraId="192B2BFE">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rPr>
        <w:t>到货验收</w:t>
      </w:r>
      <w:r>
        <w:rPr>
          <w:rFonts w:hint="eastAsia" w:ascii="仿宋" w:hAnsi="仿宋" w:eastAsia="仿宋" w:cs="仿宋"/>
          <w:sz w:val="24"/>
          <w:szCs w:val="24"/>
          <w:lang w:eastAsia="zh-CN"/>
        </w:rPr>
        <w:t>：</w:t>
      </w:r>
      <w:r>
        <w:rPr>
          <w:rFonts w:hint="eastAsia" w:ascii="仿宋" w:hAnsi="仿宋" w:eastAsia="仿宋" w:cs="仿宋"/>
          <w:sz w:val="24"/>
          <w:szCs w:val="24"/>
        </w:rPr>
        <w:t>设备到达指定地点后，由甲乙双方共同进行开箱检验。核对设备的品牌、型号、规格、数量、配件及随机资料(合格证、说明书等)是否与合同及投标文件一致。检查设备外包装及外观是否完好无损。乙方保证合同所有设备是全新的(包括零部件)，其规格参数及配件不低于(符合)本项目招投标文件的要求。</w:t>
      </w:r>
    </w:p>
    <w:p w14:paraId="2530A705">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rPr>
        <w:t>最终验收</w:t>
      </w:r>
      <w:r>
        <w:rPr>
          <w:rFonts w:hint="eastAsia" w:ascii="仿宋" w:hAnsi="仿宋" w:eastAsia="仿宋" w:cs="仿宋"/>
          <w:sz w:val="24"/>
          <w:szCs w:val="24"/>
          <w:lang w:eastAsia="zh-CN"/>
        </w:rPr>
        <w:t>：</w:t>
      </w:r>
      <w:r>
        <w:rPr>
          <w:rFonts w:hint="eastAsia" w:ascii="仿宋" w:hAnsi="仿宋" w:eastAsia="仿宋" w:cs="仿宋"/>
          <w:sz w:val="24"/>
          <w:szCs w:val="24"/>
        </w:rPr>
        <w:t>全部设备安装调试完毕，且乙方已完成对甲方的培训工作。乙方进行自测并形成自测报告(软硬件)，出现的问题限期整改。自检最终通过后，乙方提出验收申请，甲方组织相关人员进行最终验收。甲方依据合同、投标文件及国家相关标准进行最终验收。所有设备运行稳定，各项技术参数及功能均达到或优于合同及投标文件要求。验收合格后，双方签署《验收报告》。如验收不合格，乙方须限期整改，整改后重新申请验收。若两次验收均不合格，甲方有权退货，乙方须退还全部款项并承担违约责任。</w:t>
      </w:r>
    </w:p>
    <w:p w14:paraId="71DCC44B">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三）</w:t>
      </w:r>
      <w:r>
        <w:rPr>
          <w:rFonts w:hint="eastAsia" w:ascii="仿宋" w:hAnsi="仿宋" w:eastAsia="仿宋" w:cs="仿宋"/>
          <w:sz w:val="24"/>
          <w:szCs w:val="24"/>
        </w:rPr>
        <w:t>设备采购从通过最终验收之日起进入保修期，提供原厂保修升级。</w:t>
      </w:r>
    </w:p>
    <w:p w14:paraId="2C2D705A">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九</w:t>
      </w:r>
      <w:r>
        <w:rPr>
          <w:rFonts w:hint="eastAsia" w:ascii="仿宋" w:hAnsi="仿宋" w:eastAsia="仿宋" w:cs="仿宋"/>
          <w:b/>
          <w:sz w:val="24"/>
          <w:szCs w:val="24"/>
        </w:rPr>
        <w:t>、</w:t>
      </w:r>
      <w:r>
        <w:rPr>
          <w:rFonts w:hint="eastAsia" w:ascii="仿宋" w:hAnsi="仿宋" w:eastAsia="仿宋" w:cs="仿宋"/>
          <w:b/>
          <w:sz w:val="24"/>
          <w:szCs w:val="24"/>
          <w:lang w:val="en-US" w:eastAsia="zh-CN"/>
        </w:rPr>
        <w:t>知识产权</w:t>
      </w:r>
    </w:p>
    <w:p w14:paraId="4DD89C7B">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w:t>
      </w:r>
    </w:p>
    <w:p w14:paraId="09F7FB0C">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rPr>
        <w:t>十、违约责任</w:t>
      </w:r>
      <w:r>
        <w:rPr>
          <w:rFonts w:hint="eastAsia" w:ascii="仿宋" w:hAnsi="仿宋" w:eastAsia="仿宋" w:cs="仿宋"/>
          <w:b/>
          <w:sz w:val="24"/>
          <w:szCs w:val="24"/>
          <w:lang w:val="en-US" w:eastAsia="zh-CN"/>
        </w:rPr>
        <w:t>及争议解决</w:t>
      </w:r>
    </w:p>
    <w:p w14:paraId="09669F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（一）按《民法典》中的相关条款执行。</w:t>
      </w:r>
    </w:p>
    <w:p w14:paraId="5AE8E3B6">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（二）本合同在履行过程中发生的争议，由甲、乙双方当事人协商解决，协商不成的，任意一方有权依法向</w:t>
      </w:r>
      <w:r>
        <w:rPr>
          <w:rFonts w:hint="eastAsia" w:ascii="仿宋" w:hAnsi="仿宋" w:eastAsia="仿宋" w:cs="仿宋"/>
          <w:sz w:val="24"/>
          <w:szCs w:val="24"/>
          <w:u w:val="single"/>
        </w:rPr>
        <w:t>甲方所在地</w:t>
      </w:r>
      <w:r>
        <w:rPr>
          <w:rFonts w:hint="eastAsia" w:ascii="仿宋" w:hAnsi="仿宋" w:eastAsia="仿宋" w:cs="仿宋"/>
          <w:sz w:val="24"/>
          <w:szCs w:val="24"/>
        </w:rPr>
        <w:t>人民法院起诉。</w:t>
      </w:r>
    </w:p>
    <w:p w14:paraId="5712A594">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十一、</w:t>
      </w:r>
      <w:r>
        <w:rPr>
          <w:rFonts w:hint="eastAsia" w:ascii="仿宋" w:hAnsi="仿宋" w:eastAsia="仿宋" w:cs="仿宋"/>
          <w:b/>
          <w:sz w:val="24"/>
          <w:szCs w:val="24"/>
        </w:rPr>
        <w:t>不可抗力情况下的免责约定</w:t>
      </w:r>
    </w:p>
    <w:p w14:paraId="4549B5E7">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rPr>
        <w:t>双方约定不可抗力情况指：双方不可预见、不可避免、不可克服的客观情况，但不包括双方的违约或疏忽。这些事件包括战争、严重火灾、洪水、台风、地震等</w:t>
      </w:r>
      <w:r>
        <w:rPr>
          <w:rFonts w:hint="eastAsia" w:ascii="仿宋" w:hAnsi="仿宋" w:eastAsia="仿宋" w:cs="仿宋"/>
          <w:b w:val="0"/>
          <w:bCs/>
          <w:sz w:val="24"/>
          <w:szCs w:val="24"/>
          <w:lang w:eastAsia="zh-CN"/>
        </w:rPr>
        <w:t>。</w:t>
      </w:r>
    </w:p>
    <w:p w14:paraId="33749755">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十</w:t>
      </w:r>
      <w:r>
        <w:rPr>
          <w:rFonts w:hint="eastAsia" w:ascii="仿宋" w:hAnsi="仿宋" w:eastAsia="仿宋" w:cs="仿宋"/>
          <w:b/>
          <w:sz w:val="24"/>
          <w:szCs w:val="24"/>
          <w:lang w:val="en-US" w:eastAsia="zh-CN"/>
        </w:rPr>
        <w:t>二</w:t>
      </w:r>
      <w:r>
        <w:rPr>
          <w:rFonts w:hint="eastAsia" w:ascii="仿宋" w:hAnsi="仿宋" w:eastAsia="仿宋" w:cs="仿宋"/>
          <w:b/>
          <w:sz w:val="24"/>
          <w:szCs w:val="24"/>
        </w:rPr>
        <w:t>、合同生效</w:t>
      </w:r>
    </w:p>
    <w:p w14:paraId="60776279">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rPr>
        <w:t>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份，甲方执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份，乙方执</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份，具有同等法律效力，本合同甲、乙确认各方签字盖章后生效，合同执行完毕后，自动失效（合同的服务承诺则长期有效）。</w:t>
      </w:r>
    </w:p>
    <w:p w14:paraId="1ADE6608">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二）</w:t>
      </w:r>
      <w:r>
        <w:rPr>
          <w:rFonts w:hint="eastAsia" w:ascii="仿宋" w:hAnsi="仿宋" w:eastAsia="仿宋" w:cs="仿宋"/>
          <w:sz w:val="24"/>
          <w:szCs w:val="24"/>
        </w:rPr>
        <w:t>除本合同约定，合同一经签订，不得擅自变更、中止或者终止合同。对确需变更、调整或者中止、终止合同的，应按规定履行相应的手续或签订补充协议。</w:t>
      </w:r>
    </w:p>
    <w:p w14:paraId="60FD05B0">
      <w:pPr>
        <w:spacing w:line="420" w:lineRule="exact"/>
        <w:ind w:left="412" w:leftChars="196"/>
        <w:rPr>
          <w:rFonts w:hint="eastAsia" w:ascii="仿宋" w:hAnsi="仿宋" w:eastAsia="仿宋" w:cs="仿宋"/>
          <w:sz w:val="24"/>
          <w:szCs w:val="24"/>
        </w:rPr>
      </w:pPr>
    </w:p>
    <w:p w14:paraId="00C63DBD">
      <w:pPr>
        <w:rPr>
          <w:rFonts w:hint="eastAsia" w:ascii="仿宋" w:hAnsi="仿宋" w:eastAsia="仿宋" w:cs="仿宋"/>
          <w:sz w:val="24"/>
          <w:szCs w:val="24"/>
        </w:rPr>
      </w:pPr>
      <w:r>
        <w:rPr>
          <w:rFonts w:hint="eastAsia" w:ascii="仿宋" w:hAnsi="仿宋" w:eastAsia="仿宋" w:cs="仿宋"/>
          <w:sz w:val="24"/>
          <w:szCs w:val="24"/>
        </w:rPr>
        <w:br w:type="page"/>
      </w:r>
    </w:p>
    <w:p w14:paraId="2C9D222D">
      <w:pPr>
        <w:tabs>
          <w:tab w:val="left" w:pos="980"/>
        </w:tabs>
        <w:wordWrap w:val="0"/>
        <w:topLinePunct/>
        <w:adjustRightInd w:val="0"/>
        <w:snapToGrid w:val="0"/>
        <w:spacing w:line="324" w:lineRule="auto"/>
        <w:jc w:val="left"/>
        <w:rPr>
          <w:rFonts w:hint="eastAsia" w:ascii="仿宋" w:hAnsi="仿宋" w:eastAsia="仿宋" w:cs="仿宋"/>
          <w:sz w:val="24"/>
          <w:szCs w:val="24"/>
        </w:rPr>
      </w:pPr>
      <w:r>
        <w:rPr>
          <w:rFonts w:hint="eastAsia" w:ascii="仿宋" w:hAnsi="仿宋" w:eastAsia="仿宋" w:cs="仿宋"/>
          <w:sz w:val="24"/>
          <w:szCs w:val="24"/>
        </w:rPr>
        <w:t>（以下无正文）</w:t>
      </w:r>
    </w:p>
    <w:tbl>
      <w:tblPr>
        <w:tblStyle w:val="15"/>
        <w:tblW w:w="907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615"/>
        <w:gridCol w:w="4464"/>
      </w:tblGrid>
      <w:tr w14:paraId="7C3F1A5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2" w:hRule="atLeast"/>
          <w:jc w:val="center"/>
        </w:trPr>
        <w:tc>
          <w:tcPr>
            <w:tcW w:w="4615" w:type="dxa"/>
            <w:noWrap/>
            <w:vAlign w:val="center"/>
          </w:tcPr>
          <w:p w14:paraId="2B988F0C">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甲  方</w:t>
            </w:r>
          </w:p>
        </w:tc>
        <w:tc>
          <w:tcPr>
            <w:tcW w:w="4464" w:type="dxa"/>
            <w:noWrap/>
            <w:vAlign w:val="center"/>
          </w:tcPr>
          <w:p w14:paraId="069F65CC">
            <w:pPr>
              <w:autoSpaceDE w:val="0"/>
              <w:autoSpaceDN w:val="0"/>
              <w:adjustRightInd w:val="0"/>
              <w:spacing w:line="360" w:lineRule="auto"/>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  方</w:t>
            </w:r>
          </w:p>
        </w:tc>
      </w:tr>
      <w:tr w14:paraId="0B2C1C8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607" w:hRule="atLeast"/>
          <w:jc w:val="center"/>
        </w:trPr>
        <w:tc>
          <w:tcPr>
            <w:tcW w:w="4615" w:type="dxa"/>
            <w:noWrap/>
            <w:vAlign w:val="center"/>
          </w:tcPr>
          <w:p w14:paraId="0CC626AA">
            <w:pPr>
              <w:autoSpaceDE w:val="0"/>
              <w:autoSpaceDN w:val="0"/>
              <w:adjustRightInd w:val="0"/>
              <w:spacing w:line="360" w:lineRule="auto"/>
              <w:ind w:firstLine="480" w:firstLineChars="200"/>
              <w:rPr>
                <w:rFonts w:hint="eastAsia" w:ascii="仿宋" w:hAnsi="仿宋" w:eastAsia="仿宋" w:cs="仿宋"/>
                <w:bCs/>
                <w:sz w:val="24"/>
                <w:szCs w:val="24"/>
                <w:highlight w:val="none"/>
              </w:rPr>
            </w:pPr>
          </w:p>
          <w:p w14:paraId="0AC1CC43">
            <w:pPr>
              <w:autoSpaceDE w:val="0"/>
              <w:autoSpaceDN w:val="0"/>
              <w:adjustRightInd w:val="0"/>
              <w:spacing w:line="360" w:lineRule="auto"/>
              <w:ind w:firstLine="480" w:firstLineChars="200"/>
              <w:rPr>
                <w:rFonts w:hint="eastAsia" w:ascii="仿宋" w:hAnsi="仿宋" w:eastAsia="仿宋" w:cs="仿宋"/>
                <w:bCs/>
                <w:sz w:val="24"/>
                <w:szCs w:val="24"/>
                <w:highlight w:val="none"/>
              </w:rPr>
            </w:pPr>
          </w:p>
          <w:p w14:paraId="4E0E7217">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（公章）</w:t>
            </w:r>
          </w:p>
        </w:tc>
        <w:tc>
          <w:tcPr>
            <w:tcW w:w="4464" w:type="dxa"/>
            <w:noWrap/>
            <w:vAlign w:val="center"/>
          </w:tcPr>
          <w:p w14:paraId="42EAD493">
            <w:pPr>
              <w:autoSpaceDE w:val="0"/>
              <w:autoSpaceDN w:val="0"/>
              <w:adjustRightInd w:val="0"/>
              <w:spacing w:line="360" w:lineRule="auto"/>
              <w:rPr>
                <w:rFonts w:hint="eastAsia" w:ascii="仿宋" w:hAnsi="仿宋" w:eastAsia="仿宋" w:cs="仿宋"/>
                <w:bCs/>
                <w:sz w:val="24"/>
                <w:szCs w:val="24"/>
                <w:highlight w:val="none"/>
              </w:rPr>
            </w:pPr>
          </w:p>
          <w:p w14:paraId="2DB08D9D">
            <w:pPr>
              <w:autoSpaceDE w:val="0"/>
              <w:autoSpaceDN w:val="0"/>
              <w:adjustRightInd w:val="0"/>
              <w:spacing w:line="360" w:lineRule="auto"/>
              <w:ind w:firstLine="480" w:firstLineChars="200"/>
              <w:rPr>
                <w:rFonts w:hint="eastAsia" w:ascii="仿宋" w:hAnsi="仿宋" w:eastAsia="仿宋" w:cs="仿宋"/>
                <w:bCs/>
                <w:sz w:val="24"/>
                <w:szCs w:val="24"/>
                <w:highlight w:val="none"/>
              </w:rPr>
            </w:pPr>
          </w:p>
          <w:p w14:paraId="2F11B8EA">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（公章）</w:t>
            </w:r>
          </w:p>
        </w:tc>
      </w:tr>
      <w:tr w14:paraId="390F2AE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115" w:hRule="atLeast"/>
          <w:jc w:val="center"/>
        </w:trPr>
        <w:tc>
          <w:tcPr>
            <w:tcW w:w="4615" w:type="dxa"/>
            <w:noWrap/>
            <w:vAlign w:val="center"/>
          </w:tcPr>
          <w:p w14:paraId="4CA8B868">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地址：</w:t>
            </w:r>
          </w:p>
        </w:tc>
        <w:tc>
          <w:tcPr>
            <w:tcW w:w="4464" w:type="dxa"/>
            <w:noWrap/>
            <w:vAlign w:val="center"/>
          </w:tcPr>
          <w:p w14:paraId="0A66B897">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地址：</w:t>
            </w:r>
          </w:p>
        </w:tc>
      </w:tr>
      <w:tr w14:paraId="2AE1323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4615" w:type="dxa"/>
            <w:noWrap/>
            <w:vAlign w:val="center"/>
          </w:tcPr>
          <w:p w14:paraId="1A011D92">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邮编：</w:t>
            </w:r>
          </w:p>
        </w:tc>
        <w:tc>
          <w:tcPr>
            <w:tcW w:w="4464" w:type="dxa"/>
            <w:noWrap/>
            <w:vAlign w:val="center"/>
          </w:tcPr>
          <w:p w14:paraId="2B17B8EE">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邮编：</w:t>
            </w:r>
          </w:p>
        </w:tc>
      </w:tr>
      <w:tr w14:paraId="6A3456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89" w:hRule="atLeast"/>
          <w:jc w:val="center"/>
        </w:trPr>
        <w:tc>
          <w:tcPr>
            <w:tcW w:w="4615" w:type="dxa"/>
            <w:noWrap/>
            <w:vAlign w:val="center"/>
          </w:tcPr>
          <w:p w14:paraId="1D75F362">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4464" w:type="dxa"/>
            <w:noWrap/>
            <w:vAlign w:val="center"/>
          </w:tcPr>
          <w:p w14:paraId="21293F8A">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r>
      <w:tr w14:paraId="632E7DE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4615" w:type="dxa"/>
            <w:noWrap/>
            <w:vAlign w:val="center"/>
          </w:tcPr>
          <w:p w14:paraId="7904D025">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负责人：</w:t>
            </w:r>
          </w:p>
        </w:tc>
        <w:tc>
          <w:tcPr>
            <w:tcW w:w="4464" w:type="dxa"/>
            <w:noWrap/>
            <w:vAlign w:val="center"/>
          </w:tcPr>
          <w:p w14:paraId="0675DC5B">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负责人：</w:t>
            </w:r>
          </w:p>
        </w:tc>
      </w:tr>
      <w:tr w14:paraId="502AE0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5" w:hRule="atLeast"/>
          <w:jc w:val="center"/>
        </w:trPr>
        <w:tc>
          <w:tcPr>
            <w:tcW w:w="4615" w:type="dxa"/>
            <w:noWrap/>
            <w:vAlign w:val="center"/>
          </w:tcPr>
          <w:p w14:paraId="1F3F4A2A">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电话：</w:t>
            </w:r>
          </w:p>
        </w:tc>
        <w:tc>
          <w:tcPr>
            <w:tcW w:w="4464" w:type="dxa"/>
            <w:noWrap/>
            <w:vAlign w:val="center"/>
          </w:tcPr>
          <w:p w14:paraId="1190010F">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电话：</w:t>
            </w:r>
          </w:p>
        </w:tc>
      </w:tr>
      <w:tr w14:paraId="2A249A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5" w:hRule="atLeast"/>
          <w:jc w:val="center"/>
        </w:trPr>
        <w:tc>
          <w:tcPr>
            <w:tcW w:w="4615" w:type="dxa"/>
            <w:noWrap/>
            <w:vAlign w:val="center"/>
          </w:tcPr>
          <w:p w14:paraId="02D4F116">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日期：   年   月   日</w:t>
            </w:r>
          </w:p>
        </w:tc>
        <w:tc>
          <w:tcPr>
            <w:tcW w:w="4464" w:type="dxa"/>
            <w:noWrap/>
            <w:vAlign w:val="center"/>
          </w:tcPr>
          <w:p w14:paraId="316FFBDB">
            <w:pPr>
              <w:autoSpaceDE w:val="0"/>
              <w:autoSpaceDN w:val="0"/>
              <w:adjustRightInd w:val="0"/>
              <w:spacing w:line="360" w:lineRule="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t>日期：   年   月   日</w:t>
            </w:r>
          </w:p>
        </w:tc>
      </w:tr>
    </w:tbl>
    <w:p w14:paraId="3E43B6BD">
      <w:pPr>
        <w:tabs>
          <w:tab w:val="left" w:pos="480"/>
        </w:tabs>
        <w:spacing w:line="600" w:lineRule="exact"/>
        <w:ind w:firstLine="480" w:firstLineChars="200"/>
        <w:rPr>
          <w:rFonts w:hint="eastAsia" w:ascii="仿宋" w:hAnsi="仿宋" w:eastAsia="仿宋" w:cs="仿宋"/>
          <w:sz w:val="24"/>
          <w:szCs w:val="24"/>
        </w:rPr>
      </w:pPr>
    </w:p>
    <w:p w14:paraId="2F0D8419">
      <w:pPr>
        <w:spacing w:line="360" w:lineRule="auto"/>
        <w:rPr>
          <w:rFonts w:hint="eastAsia" w:ascii="仿宋" w:hAnsi="仿宋" w:eastAsia="仿宋" w:cs="仿宋"/>
          <w:sz w:val="24"/>
          <w:szCs w:val="24"/>
        </w:rPr>
      </w:pPr>
    </w:p>
    <w:p w14:paraId="6AB0E0D9">
      <w:pPr>
        <w:rPr>
          <w:rFonts w:hint="eastAsia" w:ascii="仿宋" w:hAnsi="仿宋" w:eastAsia="仿宋" w:cs="仿宋"/>
        </w:rPr>
      </w:pPr>
    </w:p>
    <w:sectPr>
      <w:footerReference r:id="rId5" w:type="first"/>
      <w:footerReference r:id="rId4" w:type="default"/>
      <w:pgSz w:w="11906" w:h="16838"/>
      <w:pgMar w:top="1440" w:right="1440" w:bottom="1440" w:left="144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9087802"/>
    </w:sdtPr>
    <w:sdtContent>
      <w:p w14:paraId="34917D0A">
        <w:pPr>
          <w:pStyle w:val="11"/>
          <w:jc w:val="center"/>
        </w:pPr>
        <w:r>
          <w:fldChar w:fldCharType="begin"/>
        </w:r>
        <w:r>
          <w:instrText xml:space="preserve">PAGE   \* MERGEFORMAT</w:instrText>
        </w:r>
        <w:r>
          <w:fldChar w:fldCharType="separate"/>
        </w:r>
        <w:r>
          <w:rPr>
            <w:lang w:val="zh-CN"/>
          </w:rPr>
          <w:t>2</w:t>
        </w:r>
        <w:r>
          <w:fldChar w:fldCharType="end"/>
        </w:r>
      </w:p>
    </w:sdtContent>
  </w:sdt>
  <w:p w14:paraId="4C76A6D3">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993DA">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54728A1">
                          <w:pPr>
                            <w:pStyle w:val="11"/>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354728A1">
                    <w:pPr>
                      <w:pStyle w:val="11"/>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p w14:paraId="672B1AF2">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8544C">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D6635B">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3CD6635B">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3D1"/>
    <w:rsid w:val="009305B1"/>
    <w:rsid w:val="009825BC"/>
    <w:rsid w:val="00AE33D1"/>
    <w:rsid w:val="00BA153F"/>
    <w:rsid w:val="00BA2B66"/>
    <w:rsid w:val="00F1191B"/>
    <w:rsid w:val="00FB6BDE"/>
    <w:rsid w:val="065345F9"/>
    <w:rsid w:val="07853608"/>
    <w:rsid w:val="0CFF54F2"/>
    <w:rsid w:val="0D445F79"/>
    <w:rsid w:val="12C20774"/>
    <w:rsid w:val="135A6D83"/>
    <w:rsid w:val="17C4413B"/>
    <w:rsid w:val="22623FCE"/>
    <w:rsid w:val="25587DE6"/>
    <w:rsid w:val="28D420CF"/>
    <w:rsid w:val="2A531D2F"/>
    <w:rsid w:val="32144BB9"/>
    <w:rsid w:val="357534A8"/>
    <w:rsid w:val="39597B8B"/>
    <w:rsid w:val="3CF962AB"/>
    <w:rsid w:val="3EF67DD9"/>
    <w:rsid w:val="414803DC"/>
    <w:rsid w:val="465D0485"/>
    <w:rsid w:val="46E86AE3"/>
    <w:rsid w:val="48692127"/>
    <w:rsid w:val="495E29B8"/>
    <w:rsid w:val="53D14261"/>
    <w:rsid w:val="54F2623D"/>
    <w:rsid w:val="5A647BDD"/>
    <w:rsid w:val="5EB033F0"/>
    <w:rsid w:val="5EDE0D40"/>
    <w:rsid w:val="61575247"/>
    <w:rsid w:val="62361E5F"/>
    <w:rsid w:val="6AE64B81"/>
    <w:rsid w:val="6ED36C87"/>
    <w:rsid w:val="7144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szCs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2617</Words>
  <Characters>2632</Characters>
  <Lines>36</Lines>
  <Paragraphs>10</Paragraphs>
  <TotalTime>0</TotalTime>
  <ScaleCrop>false</ScaleCrop>
  <LinksUpToDate>false</LinksUpToDate>
  <CharactersWithSpaces>2792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2026-06-12T10:53:00Z</dcterms:created>
  <dc:creator>嘉信</dc:creator>
  <cp:lastModifiedBy>劉瑛</cp:lastModifiedBy>
  <dcterms:modified xsi:type="dcterms:W3CDTF">2026-07-08T06:30:59Z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eyJoZGlkIjoiMjg3MDQ0ODIzNjJjOGZkYzRkM2M1MjZiMzhkN2I0ZjEiLCJ1c2VySWQiOiI1NzQ3NjczNDAifQ==</vt:lpwstr>
  </property>
  <property fmtid="{D5CDD505-2E9C-101B-9397-08002B2CF9AE}" pid="3" name="KSOProductBuildVer">
    <vt:lpwstr>2052-12.1.0.26895</vt:lpwstr>
  </property>
  <property fmtid="{D5CDD505-2E9C-101B-9397-08002B2CF9AE}" pid="4" name="ICV">
    <vt:lpwstr>AACC3A86CFA54FE6B26AEC7830F2E287_12</vt:lpwstr>
  </property>
</Properties>
</file>