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1329A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tbl>
      <w:tblPr>
        <w:tblStyle w:val="2"/>
        <w:tblW w:w="0" w:type="auto"/>
        <w:tblInd w:w="13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764"/>
        <w:gridCol w:w="6199"/>
        <w:gridCol w:w="871"/>
      </w:tblGrid>
      <w:tr w14:paraId="04ABC54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A2B1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序号</w:t>
            </w:r>
          </w:p>
        </w:tc>
        <w:tc>
          <w:tcPr>
            <w:tcW w:w="7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8FF6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设备名称</w:t>
            </w:r>
          </w:p>
        </w:tc>
        <w:tc>
          <w:tcPr>
            <w:tcW w:w="619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3170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型号规格</w:t>
            </w:r>
          </w:p>
        </w:tc>
        <w:tc>
          <w:tcPr>
            <w:tcW w:w="8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E5BA5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数量</w:t>
            </w:r>
          </w:p>
        </w:tc>
      </w:tr>
      <w:tr w14:paraId="71C6BC7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7C6E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3199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再制造智能计算与模拟平台</w:t>
            </w:r>
          </w:p>
        </w:tc>
        <w:tc>
          <w:tcPr>
            <w:tcW w:w="619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B15241">
            <w:pPr>
              <w:pStyle w:val="4"/>
              <w:spacing w:before="210" w:after="150"/>
            </w:pP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系统技术参数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 xml:space="preserve">（一）硬件要求如下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82DD545">
            <w:pPr>
              <w:pStyle w:val="4"/>
              <w:spacing w:before="210" w:after="150"/>
            </w:pP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1. 管理节点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2"/>
                <w:shd w:val="clear" w:fill="FFFFFF"/>
              </w:rPr>
              <w:t>▲</w:t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（1）处理器：2颗CPU，单颗≥16核32线程，基础频率≥2.5GHz，最大睿频≥3.5GHz，≥37MB缓存。（需提供能够明确说明该技术内容的证明材料。）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（2）内存：≥256GB DDR5，≥5600MHz ECC RDIMM（可扩展至1TB）。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（3）系统硬盘：≥1.92TB U.2 NVMe PCIe 4.0企业级SSD（顺序读≥7250MB/s）。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（4）数据盘：≥192TBSAS（或SATA） 12Gbps企业级HDD（RAID6）+ 2×3.84TB SSD缓存盘。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（5）主板：服务器专用主板，支持双路CPU，≥6个PCIe 5.0插槽，集成IPMI远程管理。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（6）配置独立RAID卡，支持RAID 0/1/5/6/10，缓存≥1GB。</w:t>
            </w:r>
          </w:p>
          <w:p w14:paraId="0CE0BDB0">
            <w:pPr>
              <w:pStyle w:val="4"/>
              <w:spacing w:before="210" w:after="150"/>
            </w:pP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（7）网口：≥2个万兆SFP+光口+2个千兆电口+1个IPMI。</w:t>
            </w:r>
          </w:p>
          <w:p w14:paraId="073CB844">
            <w:pPr>
              <w:pStyle w:val="4"/>
              <w:spacing w:before="210" w:after="150"/>
            </w:pP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（8）电源：采用1+1冗余≥1300W电源。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  <w:shd w:val="clear" w:fill="FFFFFF"/>
              </w:rPr>
              <w:t>（9) 散热系统：2U高效风冷散热，适配2U机架式结构。</w:t>
            </w:r>
          </w:p>
          <w:p w14:paraId="682C2550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2. GPU计算节点</w:t>
            </w:r>
            <w:r>
              <w:rPr>
                <w:rFonts w:ascii="仿宋_GB2312" w:hAnsi="仿宋_GB2312" w:eastAsia="仿宋_GB2312" w:cs="仿宋_GB2312"/>
                <w:sz w:val="19"/>
              </w:rPr>
              <w:t>（≥7个）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（1）处理器：2颗 CPU，单颗≥48核96线程，基础频率≥2.4GHz，最大睿频≥3.1 GHz，≥95MB缓存。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（2）内存：≥256GB DDR5,≥5600MHz ECC RDIMM（可扩展至1TB）。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（3）系统硬盘：≥1.92TB U.2 NVMe PCIe 4.0企业级SSD（顺序读≥7250MB/s）。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（4）主板：服务器专用主板，支持双路CPU，≥6个PCIe 5.0插槽，集成IPMI远程管理。</w:t>
            </w:r>
          </w:p>
          <w:p w14:paraId="51414055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2"/>
              </w:rPr>
              <w:t>▲</w:t>
            </w:r>
            <w:r>
              <w:rPr>
                <w:rFonts w:ascii="仿宋_GB2312" w:hAnsi="仿宋_GB2312" w:eastAsia="仿宋_GB2312" w:cs="仿宋_GB2312"/>
                <w:sz w:val="19"/>
              </w:rPr>
              <w:t>（5）GPU计算卡：配置≥4块,每块GPU≥32GB GDDR7，单卡计算核心数≥21760个,最大可支持8块双宽GPU卡扩展（需提供能够明确说明该技术内容的产品说明书或相关证明材料）。</w:t>
            </w:r>
          </w:p>
          <w:p w14:paraId="27C0FDF0">
            <w:pPr>
              <w:pStyle w:val="4"/>
            </w:pPr>
            <w:r>
              <w:rPr>
                <w:rFonts w:ascii="仿宋_GB2312" w:hAnsi="仿宋_GB2312" w:eastAsia="仿宋_GB2312" w:cs="仿宋_GB2312"/>
                <w:sz w:val="19"/>
              </w:rPr>
              <w:t>（6）网口：≥2个万兆SFP+光口，支持25G上行。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（7）1+1冗余≥2400W电源。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（8）散热系统：适配4U标准机架，4U高效风冷散热。</w:t>
            </w:r>
          </w:p>
          <w:p w14:paraId="40DA6F8D">
            <w:pPr>
              <w:pStyle w:val="4"/>
            </w:pPr>
            <w:r>
              <w:rPr>
                <w:rFonts w:ascii="仿宋_GB2312" w:hAnsi="仿宋_GB2312" w:eastAsia="仿宋_GB2312" w:cs="仿宋_GB2312"/>
                <w:sz w:val="19"/>
              </w:rPr>
              <w:t xml:space="preserve">3. </w:t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服务器机柜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（1）规格：国际标准42U机柜，符合19英寸安装标准。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（2）材质：冷轧钢，承载立梁厚度≥2.0mm，框架厚度≥1.5mm，其他部件厚度≥1.2mm。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（3）结构：前后金属网孔门，通风率≥70%；配置4个可锁紧脚轮、4个支撑地脚。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（4）配件：每柜含4个PDU（电源分配单元，支持大功率保护功能、孔位数（16A）≥20个）、4个散热风扇、2个固定托盘、4根方孔立柱、配套安装螺母及螺丝。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 xml:space="preserve">4. </w:t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通讯网络</w:t>
            </w:r>
            <w:r>
              <w:rPr>
                <w:rFonts w:ascii="仿宋_GB2312" w:hAnsi="仿宋_GB2312" w:eastAsia="仿宋_GB2312" w:cs="仿宋_GB2312"/>
                <w:sz w:val="19"/>
              </w:rPr>
              <w:t>（1套）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（1）交换机：三层网管交换机，≥24个万兆SFP+光口，上行扩展≥3个100G QSFP+上行端口（或可扩展插槽）；交换容量：≥ 480 Gbps；包转发率≥ 360 Mpps。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（2）布线：机柜内部和机柜采用光纤布线，满足10台服务器的万兆接入需求。光纤跳线（机柜内）：LC-LC 双工多模光纤跳线，OM4等级；光纤配线架，19英寸机架式，1U高度，LC接口，满配耦合器和尾纤；机柜间主干光缆场景：若服务器与交换机位于不同机柜，需铺设主干光缆2根，12芯或24芯室内多模光缆（OM4）；理线架，1U水平理线架4个；辅助材料等齐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5. 集群监控终端1套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处理器：1颗CPU，核心数≥8，线程数≥16，主频≥3.2GHz；内存：≥16GB DDR5；系统盘：≥1TB SSD，独立显卡≥8GB；显示配置：34英寸IPS屏≥2个，分辨率≥3440*1440，刷屏率≥150Hz，HDMI接口。</w:t>
            </w:r>
            <w:r>
              <w:br w:type="textWrapping"/>
            </w:r>
          </w:p>
          <w:p w14:paraId="6575B08A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（二）系统软件技术要求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1. 操作系统</w:t>
            </w:r>
          </w:p>
          <w:p w14:paraId="5604DAAC">
            <w:pPr>
              <w:pStyle w:val="4"/>
            </w:pPr>
            <w:r>
              <w:rPr>
                <w:rFonts w:ascii="仿宋_GB2312" w:hAnsi="仿宋_GB2312" w:eastAsia="仿宋_GB2312" w:cs="仿宋_GB2312"/>
                <w:sz w:val="19"/>
              </w:rPr>
              <w:t>支持Ubuntu + Rocky Linux 双发行版，提供开源社区支持。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2. 平台搭建与技术服务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（1）并行计算环境：成并行计算平台搭建及网络系统配置，需支持MPI并行 + Singularity/Apptainer容器化并行，提供MPI并行环境、浮点计算数学库及编译工具链。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（2）文件系统与安全：配置网络文件系统（NFS/Lustre/GPFS等），完成系统安全设置及用户环境变量管理。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（3）软件安装支持：安装科学仿真软件（如Anaconda、PyTorch、TensorFlow、Caffe、CUDA、MS、VAPS等），负责数据库迁移，提供后续软件安装技术支持。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（4）升级与扩容：提供设备升级、扩容相关服务。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3. 开发与运行环境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（1）编程语言支持：提供C、C++、Fortran、Python开发环境，支持并行计算编程，提供Rust、Julia支持，集成NVIDIA HPC SDK。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（2）编译器与工具：安装GCC、Gfortran、Intel Fortran、MPICH2等，支持并行编译。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（3）科学计算库：集成数值计算与数据分析库（如NumPy/SciPy），提供2D/3D图形函数支持。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（4）环境管理：配置多用户环境变量，支持模块化环境管理（如Environment Modules）。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4. 计算模拟环境</w:t>
            </w:r>
          </w:p>
          <w:p w14:paraId="4E36C593">
            <w:pPr>
              <w:pStyle w:val="4"/>
              <w:ind w:firstLine="200"/>
            </w:pPr>
            <w:r>
              <w:rPr>
                <w:rFonts w:ascii="仿宋_GB2312" w:hAnsi="仿宋_GB2312" w:eastAsia="仿宋_GB2312" w:cs="仿宋_GB2312"/>
                <w:sz w:val="19"/>
              </w:rPr>
              <w:t>（1）数值计算环境：预装科学计算、设计仿真、深度学习（人工智能）、大模型训练开发等环境，支持高级数据结构及2D/3D图形可视化。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（2）数据分析与绘图：集成科学数据分析与绘图工具，支持数据平滑、曲线拟合、多种图形输出格式，提供交互式GUI。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5. 集群管理系统</w:t>
            </w:r>
          </w:p>
          <w:p w14:paraId="0AD45ECA">
            <w:pPr>
              <w:pStyle w:val="4"/>
            </w:pPr>
            <w:r>
              <w:rPr>
                <w:rFonts w:ascii="仿宋_GB2312" w:hAnsi="仿宋_GB2312" w:eastAsia="仿宋_GB2312" w:cs="仿宋_GB2312"/>
                <w:sz w:val="19"/>
              </w:rPr>
              <w:t>（1）管理软件平台兼容性：支持Linux等多种架构，兼容多种发行版。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（2）统一管理界面：提供Web管理门户，实时监控CPU/内存/硬盘/GPU/风扇/温度/电源状态，支持故障告警、远程开关机、操作系统批量部署、软件环境统一配置、用户权限管理及操作日志审计。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（3）作业调度系统：支持AI智能调度（负载预测、智能回填）+ 联邦集群调度。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6</w:t>
            </w:r>
            <w:r>
              <w:rPr>
                <w:rFonts w:ascii="仿宋_GB2312" w:hAnsi="仿宋_GB2312" w:eastAsia="仿宋_GB2312" w:cs="仿宋_GB2312"/>
                <w:sz w:val="19"/>
              </w:rPr>
              <w:t>.</w:t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作业调度功能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（1）调度策略：支持先来先服务、优先级抢占、公平共享、资源独占等多策略；支持多队列管理，动态调整用户优先级。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（2）作业操作：支持作业提交、暂停、恢复、杀死、置顶/置底、断点续算、重新运行；支持批量作业上传下载及远程操作。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（3）混合调度：支持作业与普通作业混合调度，作业期间动态设置SSH等安全策略，作业结束后自动回收权限。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（4）容错机制：支持系统级（网络中断、宕机）和作业级（磁盘满、许可失败）容错，故障作业自动重新调度。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（5）升级与服务：提供调度系统后期免费升级，支持平台状态动态监控与历史数据分析（上电时间、负载、CPU/内存/磁盘/网络等）。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b/>
                <w:sz w:val="19"/>
              </w:rPr>
              <w:t>7.配套资源库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（1）AI和数据科学开发库；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（2）设计和虚拟仿真开发库；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（3）高性能科学计算库；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（4）机器开发边缘计算库；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（6）深度学习与人工智能开发库；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19"/>
              </w:rPr>
              <w:t>（7）大模型部署开发规划及应用软件。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80236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</w:t>
            </w:r>
          </w:p>
        </w:tc>
      </w:tr>
    </w:tbl>
    <w:p w14:paraId="157737D7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13F07DE2">
      <w:p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具体采购需求以采购文件为准。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B371D"/>
    <w:rsid w:val="195172A8"/>
    <w:rsid w:val="1F126C1A"/>
    <w:rsid w:val="28D25887"/>
    <w:rsid w:val="388E56D7"/>
    <w:rsid w:val="46933EA7"/>
    <w:rsid w:val="4DF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</Words>
  <Characters>98</Characters>
  <Lines>0</Lines>
  <Paragraphs>0</Paragraphs>
  <TotalTime>0</TotalTime>
  <ScaleCrop>false</ScaleCrop>
  <LinksUpToDate>false</LinksUpToDate>
  <CharactersWithSpaces>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2026-06-15T11:25:00Z</dcterms:created>
  <dc:creator>DELL</dc:creator>
  <cp:lastModifiedBy>对方正在输入.....</cp:lastModifiedBy>
  <dcterms:modified xsi:type="dcterms:W3CDTF">2026-07-01T03:45:51Z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eyJoZGlkIjoiMWZhOGU2NzgxMWE3NDY0ZTBjODBjMzY2ZTA2OWQzZjUiLCJ1c2VySWQiOiIyNDEyODExMTAifQ==</vt:lpwstr>
  </property>
  <property fmtid="{D5CDD505-2E9C-101B-9397-08002B2CF9AE}" pid="4" name="ICV">
    <vt:lpwstr>8972EA54E8BB4424BFC7A7EF0738949A_12</vt:lpwstr>
  </property>
</Properties>
</file>