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版本号：JXRC-26062420260625001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灾备系统及数据库维保服务项目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JXRC-260624</w:t>
      </w:r>
      <w:r>
        <w:br/>
      </w:r>
      <w:r>
        <w:br/>
      </w:r>
      <w:r>
        <w:br/>
      </w:r>
    </w:p>
    <w:p>
      <w:pPr>
        <w:pStyle w:val="null3"/>
        <w:jc w:val="center"/>
        <w:outlineLvl w:val="2"/>
      </w:pPr>
      <w:r>
        <w:rPr>
          <w:rFonts w:ascii="仿宋_GB2312" w:hAnsi="仿宋_GB2312" w:cs="仿宋_GB2312" w:eastAsia="仿宋_GB2312"/>
          <w:sz w:val="28"/>
          <w:b/>
        </w:rPr>
        <w:t>西安市儿童医院</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西安市儿童医院</w:t>
      </w:r>
      <w:r>
        <w:rPr>
          <w:rFonts w:ascii="仿宋_GB2312" w:hAnsi="仿宋_GB2312" w:cs="仿宋_GB2312" w:eastAsia="仿宋_GB2312"/>
        </w:rPr>
        <w:t>委托，拟对</w:t>
      </w:r>
      <w:r>
        <w:rPr>
          <w:rFonts w:ascii="仿宋_GB2312" w:hAnsi="仿宋_GB2312" w:cs="仿宋_GB2312" w:eastAsia="仿宋_GB2312"/>
        </w:rPr>
        <w:t>灾备系统及数据库维保服务项目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JXRC-260624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灾备系统及数据库维保服务项目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随着医疗业务全面依赖HIS、EMR等核心系统，任何中断都可能危及患者安全。为应对硬件故障、勒索病毒等威胁，医院已部署灾备系统。而维保服务正是确保这套系统“备而可用”的关键：通过每日健康巡检、每周数据一致性校验、季度容灾切换演练，及时发现并排除同步延迟、配置偏差等隐患；同时提供7×24小时应急响应，在故障时快速完成业务接管与恢复。维保涵盖软硬件升级补丁、日志审计、灾难恢复预案优化等，确保关键时刻能实现分钟级切换与数据零丢失，真正筑牢医院连续运行的防线。</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采购包1（灾备系统及数据库维保服务项目）：属于专门面向中小企业采购。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并进行电子签章。</w:t>
      </w:r>
    </w:p>
    <w:p>
      <w:pPr>
        <w:pStyle w:val="null3"/>
      </w:pPr>
      <w:r>
        <w:rPr>
          <w:rFonts w:ascii="仿宋_GB2312" w:hAnsi="仿宋_GB2312" w:cs="仿宋_GB2312" w:eastAsia="仿宋_GB2312"/>
        </w:rPr>
        <w:t>2、供应商应有良好的财务状况：法人提供会计师事务所出具的完整的合法有效的赋码的2024年度或2025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 并进行电子签章。</w:t>
      </w:r>
    </w:p>
    <w:p>
      <w:pPr>
        <w:pStyle w:val="null3"/>
      </w:pPr>
      <w:r>
        <w:rPr>
          <w:rFonts w:ascii="仿宋_GB2312" w:hAnsi="仿宋_GB2312" w:cs="仿宋_GB2312" w:eastAsia="仿宋_GB2312"/>
        </w:rPr>
        <w:t>3、供应商应有依法缴纳税收的良好记录：供应商提供自2025年11月1日以来至少一个月的纳税证明或完税证明（任意税种），纳税证明或完税证明上应有代收机构或税务机关的公章或业务专用章；其他组织和自然人提供自2025年11月1日以来至少一个月缴纳税收的凭据；依法免税的供应商应提供相关文件证明，并进行电子签章。</w:t>
      </w:r>
    </w:p>
    <w:p>
      <w:pPr>
        <w:pStyle w:val="null3"/>
      </w:pPr>
      <w:r>
        <w:rPr>
          <w:rFonts w:ascii="仿宋_GB2312" w:hAnsi="仿宋_GB2312" w:cs="仿宋_GB2312" w:eastAsia="仿宋_GB2312"/>
        </w:rPr>
        <w:t>4、供应商应有依法缴纳社会保障资金的良好记录：提供自2025年11月1日以来至少一个月已缴纳的社会保障资金的证明（社会保障资金缴存单据或社保机构开具的社会保险参保缴费情况证明等)；依法不需要缴纳社会保障资金的供应商应提供相关证明文件。并进行电子签章。</w:t>
      </w:r>
    </w:p>
    <w:p>
      <w:pPr>
        <w:pStyle w:val="null3"/>
      </w:pPr>
      <w:r>
        <w:rPr>
          <w:rFonts w:ascii="仿宋_GB2312" w:hAnsi="仿宋_GB2312" w:cs="仿宋_GB2312" w:eastAsia="仿宋_GB2312"/>
        </w:rPr>
        <w:t>5、法定代表授权书：法定代表人/负责人授权书：法定代表人/负责人直接参加的，只须递交《法定代表人/负责人身份证明》；法定代表人/负责人授权代表参加的，须递交《法定代表人/负责人授权书》；并提供被授权人截止开标前近三个月在本公司的社会保障资金缴纳证明，并进行电子签章。</w:t>
      </w:r>
    </w:p>
    <w:p>
      <w:pPr>
        <w:pStyle w:val="null3"/>
      </w:pPr>
      <w:r>
        <w:rPr>
          <w:rFonts w:ascii="仿宋_GB2312" w:hAnsi="仿宋_GB2312" w:cs="仿宋_GB2312" w:eastAsia="仿宋_GB2312"/>
        </w:rPr>
        <w:t>6、参加本次政府采购活动前三年内，在经营活动中没有重大违法记录：供应商需提供《无重大违法记录声明》，并进行电子签章。</w:t>
      </w:r>
    </w:p>
    <w:p>
      <w:pPr>
        <w:pStyle w:val="null3"/>
      </w:pPr>
      <w:r>
        <w:rPr>
          <w:rFonts w:ascii="仿宋_GB2312" w:hAnsi="仿宋_GB2312" w:cs="仿宋_GB2312" w:eastAsia="仿宋_GB2312"/>
        </w:rPr>
        <w:t>7、供应商应具有履行合同所必需的设备和专业技术能力：供应商需提供《具有履行合同所必需的设备和专业技术能力的承诺书》，并进行电子签章。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西安市莲湖区西举院巷69号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西安市儿童医院招标办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029-87692082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曲慧、陆频、张海、田颖琦、陈利娜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代理服务费收费标准：参照原中华人民共和国国家计划委员会计价格[2002]1980号文下浮20%计算收取，具体收费额以采购代理机构出具的发票为准。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西安市儿童医院</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西安市儿童医院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 xml:space="preserve">  1.</w:t>
      </w:r>
      <w:r>
        <w:rPr>
          <w:rFonts w:ascii="仿宋_GB2312" w:hAnsi="仿宋_GB2312" w:cs="仿宋_GB2312" w:eastAsia="仿宋_GB2312"/>
          <w:sz w:val="24"/>
        </w:rPr>
        <w:t>灾备</w:t>
      </w:r>
      <w:r>
        <w:rPr>
          <w:rFonts w:ascii="仿宋_GB2312" w:hAnsi="仿宋_GB2312" w:cs="仿宋_GB2312" w:eastAsia="仿宋_GB2312"/>
          <w:sz w:val="24"/>
        </w:rPr>
        <w:t>云平台维保</w:t>
      </w:r>
    </w:p>
    <w:p>
      <w:pPr>
        <w:pStyle w:val="null3"/>
        <w:ind w:firstLine="480"/>
      </w:pPr>
      <w:r>
        <w:rPr>
          <w:rFonts w:ascii="仿宋_GB2312" w:hAnsi="仿宋_GB2312" w:cs="仿宋_GB2312" w:eastAsia="仿宋_GB2312"/>
          <w:sz w:val="24"/>
        </w:rPr>
        <w:t>服务期内为采购人提供医院灾备云平台整体运维，维保期内清单所包含软硬件提供原厂质保服务，灾备云整体软硬件如下：</w:t>
      </w:r>
    </w:p>
    <w:tbl>
      <w:tblPr>
        <w:tblW w:w="0" w:type="auto"/>
        <w:tblBorders>
          <w:top w:val="none" w:color="000000" w:sz="4"/>
          <w:left w:val="none" w:color="000000" w:sz="4"/>
          <w:bottom w:val="none" w:color="000000" w:sz="4"/>
          <w:right w:val="none" w:color="000000" w:sz="4"/>
          <w:insideH w:val="none"/>
          <w:insideV w:val="none"/>
        </w:tblBorders>
      </w:tblPr>
      <w:tblGrid>
        <w:gridCol w:w="249"/>
        <w:gridCol w:w="3998"/>
        <w:gridCol w:w="2646"/>
        <w:gridCol w:w="1411"/>
      </w:tblGrid>
      <w:tr>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4"/>
              </w:rPr>
              <w:t>序号</w:t>
            </w:r>
          </w:p>
        </w:tc>
        <w:tc>
          <w:tcPr>
            <w:tcW w:type="dxa" w:w="399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设备名称</w:t>
            </w:r>
          </w:p>
        </w:tc>
        <w:tc>
          <w:tcPr>
            <w:tcW w:type="dxa" w:w="264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型号</w:t>
            </w:r>
          </w:p>
        </w:tc>
        <w:tc>
          <w:tcPr>
            <w:tcW w:type="dxa" w:w="14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数量</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4"/>
              </w:rPr>
              <w:t>1</w:t>
            </w:r>
          </w:p>
        </w:tc>
        <w:tc>
          <w:tcPr>
            <w:tcW w:type="dxa" w:w="39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灾备云管主机</w:t>
            </w:r>
          </w:p>
        </w:tc>
        <w:tc>
          <w:tcPr>
            <w:tcW w:type="dxa" w:w="2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壹进制</w:t>
            </w:r>
          </w:p>
          <w:p>
            <w:pPr>
              <w:pStyle w:val="null3"/>
              <w:jc w:val="center"/>
            </w:pPr>
            <w:r>
              <w:rPr>
                <w:rFonts w:ascii="仿宋_GB2312" w:hAnsi="仿宋_GB2312" w:cs="仿宋_GB2312" w:eastAsia="仿宋_GB2312"/>
                <w:sz w:val="24"/>
              </w:rPr>
              <w:t>UnaBCM3024</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台</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4"/>
              </w:rPr>
              <w:t>2</w:t>
            </w:r>
          </w:p>
        </w:tc>
        <w:tc>
          <w:tcPr>
            <w:tcW w:type="dxa" w:w="39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数据中心灾备云管理平台</w:t>
            </w:r>
          </w:p>
        </w:tc>
        <w:tc>
          <w:tcPr>
            <w:tcW w:type="dxa" w:w="2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壹进制</w:t>
            </w:r>
          </w:p>
          <w:p>
            <w:pPr>
              <w:pStyle w:val="null3"/>
              <w:jc w:val="center"/>
            </w:pPr>
            <w:r>
              <w:rPr>
                <w:rFonts w:ascii="仿宋_GB2312" w:hAnsi="仿宋_GB2312" w:cs="仿宋_GB2312" w:eastAsia="仿宋_GB2312"/>
                <w:sz w:val="24"/>
              </w:rPr>
              <w:t>UnaManage(UC2)</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4"/>
              </w:rPr>
              <w:t>3</w:t>
            </w:r>
          </w:p>
        </w:tc>
        <w:tc>
          <w:tcPr>
            <w:tcW w:type="dxa" w:w="39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数据中心关键业务双活系统</w:t>
            </w:r>
          </w:p>
        </w:tc>
        <w:tc>
          <w:tcPr>
            <w:tcW w:type="dxa" w:w="2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美创</w:t>
            </w:r>
          </w:p>
          <w:p>
            <w:pPr>
              <w:pStyle w:val="null3"/>
              <w:jc w:val="center"/>
            </w:pPr>
            <w:r>
              <w:rPr>
                <w:rFonts w:ascii="仿宋_GB2312" w:hAnsi="仿宋_GB2312" w:cs="仿宋_GB2312" w:eastAsia="仿宋_GB2312"/>
                <w:sz w:val="24"/>
              </w:rPr>
              <w:t>灾难备份管理系统</w:t>
            </w:r>
            <w:r>
              <w:rPr>
                <w:rFonts w:ascii="仿宋_GB2312" w:hAnsi="仿宋_GB2312" w:cs="仿宋_GB2312" w:eastAsia="仿宋_GB2312"/>
                <w:sz w:val="24"/>
              </w:rPr>
              <w:t>DBRA</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4"/>
              </w:rPr>
              <w:t>4</w:t>
            </w:r>
          </w:p>
        </w:tc>
        <w:tc>
          <w:tcPr>
            <w:tcW w:type="dxa" w:w="39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内网业务交换机</w:t>
            </w:r>
          </w:p>
        </w:tc>
        <w:tc>
          <w:tcPr>
            <w:tcW w:type="dxa" w:w="2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H3C</w:t>
            </w:r>
          </w:p>
          <w:p>
            <w:pPr>
              <w:pStyle w:val="null3"/>
              <w:jc w:val="center"/>
            </w:pPr>
            <w:r>
              <w:rPr>
                <w:rFonts w:ascii="仿宋_GB2312" w:hAnsi="仿宋_GB2312" w:cs="仿宋_GB2312" w:eastAsia="仿宋_GB2312"/>
                <w:sz w:val="24"/>
              </w:rPr>
              <w:t>S6520X-30QC-EI</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台</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4"/>
              </w:rPr>
              <w:t>5</w:t>
            </w:r>
          </w:p>
        </w:tc>
        <w:tc>
          <w:tcPr>
            <w:tcW w:type="dxa" w:w="39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外网业务交换机</w:t>
            </w:r>
          </w:p>
        </w:tc>
        <w:tc>
          <w:tcPr>
            <w:tcW w:type="dxa" w:w="2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H3C</w:t>
            </w:r>
          </w:p>
          <w:p>
            <w:pPr>
              <w:pStyle w:val="null3"/>
              <w:jc w:val="center"/>
            </w:pPr>
            <w:r>
              <w:rPr>
                <w:rFonts w:ascii="仿宋_GB2312" w:hAnsi="仿宋_GB2312" w:cs="仿宋_GB2312" w:eastAsia="仿宋_GB2312"/>
                <w:sz w:val="24"/>
              </w:rPr>
              <w:t>S5130S-52S-EI</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台</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4"/>
              </w:rPr>
              <w:t>6</w:t>
            </w:r>
          </w:p>
        </w:tc>
        <w:tc>
          <w:tcPr>
            <w:tcW w:type="dxa" w:w="39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管理交换机</w:t>
            </w:r>
          </w:p>
        </w:tc>
        <w:tc>
          <w:tcPr>
            <w:tcW w:type="dxa" w:w="2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H3C</w:t>
            </w:r>
          </w:p>
          <w:p>
            <w:pPr>
              <w:pStyle w:val="null3"/>
              <w:jc w:val="center"/>
            </w:pPr>
            <w:r>
              <w:rPr>
                <w:rFonts w:ascii="仿宋_GB2312" w:hAnsi="仿宋_GB2312" w:cs="仿宋_GB2312" w:eastAsia="仿宋_GB2312"/>
                <w:sz w:val="24"/>
              </w:rPr>
              <w:t>S5024PV5-EI</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4"/>
              </w:rPr>
              <w:t>7</w:t>
            </w:r>
          </w:p>
        </w:tc>
        <w:tc>
          <w:tcPr>
            <w:tcW w:type="dxa" w:w="39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容灾中心主机</w:t>
            </w:r>
          </w:p>
        </w:tc>
        <w:tc>
          <w:tcPr>
            <w:tcW w:type="dxa" w:w="2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H3C</w:t>
            </w:r>
          </w:p>
          <w:p>
            <w:pPr>
              <w:pStyle w:val="null3"/>
              <w:jc w:val="center"/>
            </w:pPr>
            <w:r>
              <w:rPr>
                <w:rFonts w:ascii="仿宋_GB2312" w:hAnsi="仿宋_GB2312" w:cs="仿宋_GB2312" w:eastAsia="仿宋_GB2312"/>
                <w:sz w:val="24"/>
              </w:rPr>
              <w:t>R6900G5</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r>
              <w:rPr>
                <w:rFonts w:ascii="仿宋_GB2312" w:hAnsi="仿宋_GB2312" w:cs="仿宋_GB2312" w:eastAsia="仿宋_GB2312"/>
                <w:sz w:val="24"/>
              </w:rPr>
              <w:t>台</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4"/>
              </w:rPr>
              <w:t>8</w:t>
            </w:r>
          </w:p>
        </w:tc>
        <w:tc>
          <w:tcPr>
            <w:tcW w:type="dxa" w:w="39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存储设备</w:t>
            </w:r>
          </w:p>
        </w:tc>
        <w:tc>
          <w:tcPr>
            <w:tcW w:type="dxa" w:w="2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H3C</w:t>
            </w:r>
          </w:p>
          <w:p>
            <w:pPr>
              <w:pStyle w:val="null3"/>
              <w:jc w:val="center"/>
            </w:pPr>
            <w:r>
              <w:rPr>
                <w:rFonts w:ascii="仿宋_GB2312" w:hAnsi="仿宋_GB2312" w:cs="仿宋_GB2312" w:eastAsia="仿宋_GB2312"/>
                <w:sz w:val="24"/>
              </w:rPr>
              <w:t>CF5020</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4"/>
              </w:rPr>
              <w:t>9</w:t>
            </w:r>
          </w:p>
        </w:tc>
        <w:tc>
          <w:tcPr>
            <w:tcW w:type="dxa" w:w="39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灾备云虚拟化平台</w:t>
            </w:r>
          </w:p>
        </w:tc>
        <w:tc>
          <w:tcPr>
            <w:tcW w:type="dxa" w:w="2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vmware Vsphere</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r>
    </w:tbl>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数据库维保</w:t>
      </w:r>
    </w:p>
    <w:p>
      <w:pPr>
        <w:pStyle w:val="null3"/>
      </w:pPr>
      <w:r>
        <w:rPr>
          <w:rFonts w:ascii="仿宋_GB2312" w:hAnsi="仿宋_GB2312" w:cs="仿宋_GB2312" w:eastAsia="仿宋_GB2312"/>
          <w:sz w:val="24"/>
        </w:rPr>
        <w:t>服务期内供应商需提供（HIS系统、PACS系统、电子病历系统及其他关键信息系统）操作系统及Oracle数据库维护支持服务，保障采购人操作系统及数据库系统的稳定运行。包括安装、配置、备份恢复、运行监控、补丁收集及维护、故障解决、健康检查、系统调优、数据库升级及迁移、应急处理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灾备系统及数据库维保服务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标的名称：灾备系统及数据库维保服务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一、技术要求： 1.灾备云平台维保 1.1原厂维保服务 1.1.1热线支持服务：供应商需设立7*24小时售后热线，以供采购人技术人员进行故障报修及原厂技术咨询。</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1.1.2远程维护服务：维保期内，供应商提供专业技术工程师2小时内响应报修并提供远程维护服务，通过远程调试帮助技术人员分析并解决问题。</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1.1.3现场维护服务：维保期内，供应商需提供必要的现场维护服务，根据现场问题的紧急程度，第一时间内安排专业技术工程师到现场排除故障。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1.1.4紧急情况处理：供应商需建立一套成熟高效的紧急情况管理体系。维保期内，提供7*24小时全天候技术工程师专线服务，随时对我院紧急情况进行处理。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1.1.5定期巡检服务：维保期内，供应商需主动提供一年至少4次上门巡检、每季度1次巡检服务，为客户检查产品是否工作正常。</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1.1.6应急演练服务：维保期内，供应商需协助采购人进行至少1次数据恢复与业务接管应急演练，确保灾备云备份数据的可用性。</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1.2设备运维管理 1.2.1包括当前数据中心所有的容灾备份设备，以及由这些设备组成的域中各系统日常的备份及演练情况进行分析，并提出相应的风险评估，定期对灾备系统进行优化配置，提高在系统网络中的运行效率；</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1.2.2依照网络信息安全等级保护2.0的要求，从物理和环境安全、网络和通信安全、设备和计算安全、应用和数据安全等方面进行评估，并对发现的数据安全风险及隐患进行修复及安全加固，合理的规避或降低信息安全风险，升级灾备设备版本及漏洞，提高系统自身的安全防护能力。</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2.数据库维保 2.1项目背景与服务目标 2.1.1核心系统的重要性界定 本次维保范围覆盖我院核心业务数据库系统，该系统直接支撑HIS、EMR、PACS等业务系统，是保证医疗服务连续性的生命线。 服务目标必须是以“业务可用性”为最高优先级指标，所有技术措施和响应流程均以此为导向设计和执行。</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2.1.2服务总周期与交付要求 核心诉求：供应商需提供全生命周期的专业运维管理服务，确保数据库系统在维保期内具备最高的可用性、安全性和可扩展性。</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2.2技术指标与服务级别协议要求 2.2.1基础巡检与健康监测服务 2.2.1.1远程日常巡检： 频率要求：每周至少执行一次远程性能和资源状态巡查。 检查内容范围：必须覆盖错误日志分析、性能瓶颈预警（如慢查询记录）、空间利用率趋势分析、对象引用完整性检查等五个维度。 交付物标准：服务周期内需提供《数据库周健康巡检报告》，包含问题发现、风险等级评估及改进优先级建议清单。</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2.2.1.2现场与深度维保巡查： 频率要求：每月至少安排一次远程巡查，每季度必须由供应商指派专家进行一次不少于一日的现场（或虚拟实地）深度检测。 工作内容：围绕日志管理、性能优化、配合医院迁移数据、安全漏洞排查、备份及恢复机制完整性等关键领域展开全方位检查。 交付物标准：提供详细的《数据库巡检及风险评估报告》，并应包含不少于五项具备实施路径和预期效果的优化改进建议。</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2.2.2实时响应与应急处置服务 7*24小时技术支持平台保障 指标要求：供应商必须提供覆盖电话、即时通讯工具（如微信/企业微信）、邮件等多渠道的运维管理平台入口，确保随时可接入。 响应时间（SLA）：对于一般咨询问题，首次人工指引响应时间应≤30分钟；对于系统性能异常告警，首次介入处置时间应≤0.5小时。</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2.2.3紧急故障救援服务： 指标要求：服务期内不限次数提供。发生影响核心业务的数据库宕机或不可用故障时，供应商需立即启动最高级别应急响应机制。 关键KPI：必须承诺平均恢复时间（MTTR）≤ 2小时，直至系统达到稳定运行状态为止。</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2.2.4专业技术支持与专家服务 2.2.4.1三线专家兜底能力保障： 要求：供应商必须指派具有行业领先经验的专家作为项目联络人，该专家具备对数据库系统架构、底层原理的完全掌握能力。 服务内容：负责接收并解决所有无法通过二级技术支持定位的“疑难问题”（Bug分析）和潜在的技术风险点。</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2.2.4.2数据库故障定性与分析： 要求：提供结构化的《疑难问题根因分析报告》，明确指出系统缺陷、配置错误或操作失误等所有导致故障的根本原因，并提交书面的补丁修复方案和实施建议。</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2.3优化与演进服务 2.3.1数据库性能持续调优服务 2.3.1.1现状评估与基线建立：供应商需首先提供全面的《系统性能现状及关键SQL执行效率评估报告》。</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2.3.1.2优化方案设计与实施：基于评估结果，提出详细的、可落地的多维度（包括索引结构、业务流程和架构层面）优化方案。</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2.3.1.3交付保障指标：成功实施任何重大调优或优化方案后，供应商需提供不少于1的现场驻场技术支持，确保新性能基线稳定运行。</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2.3.2系统迁移与版本升级服务 2.3.2.1跨平台/跨版本迁移：供应商必须具备按需提供的数据库跨版本、跨平台等复杂场景的系统迁移能力。所有方案设计须包含风险评估、数据一致性校验和回滚预案。</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2.3.2.2大版本升级服务流程化：建立从“现有环境调研→制定详细升级路线图→分阶段实施→升级后联调及稳定期支持”的全流程管理体系。</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2.3.3业务连续性与灾难恢复服务 2.3.3.1容灾备份方案设计与验证： 要求：供应商需根据国家标准的实际RTO和RPO指标，重新评估并设计最优化的数据库异地容灾备份实施架构。 交付物：必须完成《容灾备份方案书》，明确主备数据同步链路、故障切换流程图及状态监测报告。</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2.3.3.2年度演练与审计： 服务期内每年至少组织一次全面的“全流程恢复演练”和“容灾模拟切回测试”，并出具专业的《年度灾难恢复演练报告》，明确记录发现的问题点及整改措施。</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2.4供应商技术支撑平台要求 2.4.1驻场专家工程师服务 本项目鉴于核心数据库系统对我院业务系统的极端重要性和高复杂性，供应商必须提供一名全职、常驻的资深技术顾问/驻场工程师，该人员的工作职责应超越单纯的“故障响应”，而是成为我方IT架构和数据库运维流程上的延伸。</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2.4.2角色定义与定位：业务连续性守护者 驻场人员不是简单的维修工，而是具备高级咨询、架构设计、日常预防维护三位一体能力的专家，其首要目标是确保系统的最高可用性和最高的安全性。 承诺要求：供应商必须提供合同期内稳定的核心骨干力量，不能采用轮岗或临时调配人员。</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2.4.3专业资质硬指标要求： 2.4.3.1认证等级：驻场工程师需持有业界公认的、至少达到OCP/Oracle Certified Professional 或同级别数据库架构高级证书]以上级别的证书，且必须能提供有效的证书复印件。 经验年限：要求该人员具备运维及调优的实战经验至少五年。</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2.4.3.2驻场工程师的关键服务职责与产出： 主动巡检与流程优化：每日需执行例行检查，发现潜在风险点时，必须立即启动预警机制，并提出具体的改进实施方案，而非仅在故障发生后再处理。 知识沉淀与文档化：驻场工程师负责建立本地化的《数据库核心系统操作手册》、《应急响应流程图》和《运维知识库》，确保医院人员也能掌握部分基础维保技能，实现业务的平稳过渡和能力提升。 架构咨询与风险预警：不仅执行任务，还需对系统的未来扩展需求、新技术引入（如AI模型接入等）进行前瞻性评估，并提前介入设计优化方案，避免系统瓶颈化。</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2.4.3.3其他技术支持人员要求 专家组保障：维持原有的二级、三线远程专家支撑。 运维平台管理：需提供专业的SaaS/PaaS型监控和告警管理平台，并指定专人负责平台日常维护和告警阈值的持续优化。</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2.5验收标准与交付物 2.5.1阶段性验收指标： 基线建立报告：在项目初期，需通过《数据库性能现状评估及风险点分析报告》完成第一阶段验收。 能力建设报告：完成所有关键技术流程（如迁移、升级）后，必须提交详细的报告，并在现场进行业务模拟联调测试，并出具书面签收记录。</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2.5.2年度综合交付物清单： 服务日志及工单：提供完整的《数据库维保服务执行日志》及所有故障/问题处理的标准化工作工单流转记录。 优化报告包：提交包括但不限于：《性能调优最终效果评估报告》、《系统升级最佳实践总结报告》等，形成可供医院业务部门存档和复用的知识沉淀资产包。</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二、服务要求 1.供应商需具备本项目相关的专业能力； 供应商提供的人员需满足本项目技术要求： 1.1至少一名驻场数据库工程师，至少具备Oracle OCP或OCM资质认工程师；</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1.2工程师需具备灾备平台运维能力。驻场工程师均要求配合完成医院安排的其他工作；</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1.3服务团队人员具备PMP证书。</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2.服务响应需及时，紧急情况需提供更高级别技术专家上门服务。</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rPr>
              <w:t>3.在合同执行过程中需要服务商应执行的相关服务标准和相关义务。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西安市儿童医院指定地点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验收标准或规范：现行的国家标准或国家行政部门颁布的法律法规、规章制度等，没有国家标准的可参考行业标准。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进度款，合同签订后，服务满6个月且考核服务合格后，达到付款条件起30个工作日内，支付合同总金额的50.0%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进度款，服务结束且考核服务合格后，达到付款条件起30个工作日内，支付合同总金额的50.0%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供应商应有良好的财务状况</w:t>
            </w:r>
          </w:p>
        </w:tc>
        <w:tc>
          <w:tcPr>
            <w:tcW w:type="dxa" w:w="3322"/>
          </w:tcPr>
          <w:p>
            <w:pPr>
              <w:pStyle w:val="null3"/>
            </w:pPr>
            <w:r>
              <w:rPr>
                <w:rFonts w:ascii="仿宋_GB2312" w:hAnsi="仿宋_GB2312" w:cs="仿宋_GB2312" w:eastAsia="仿宋_GB2312"/>
              </w:rPr>
              <w:t>法人提供会计师事务所出具的完整的合法有效的赋码的2024年度或2025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 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供应商应有依法缴纳税收的良好记录</w:t>
            </w:r>
          </w:p>
        </w:tc>
        <w:tc>
          <w:tcPr>
            <w:tcW w:type="dxa" w:w="3322"/>
          </w:tcPr>
          <w:p>
            <w:pPr>
              <w:pStyle w:val="null3"/>
            </w:pPr>
            <w:r>
              <w:rPr>
                <w:rFonts w:ascii="仿宋_GB2312" w:hAnsi="仿宋_GB2312" w:cs="仿宋_GB2312" w:eastAsia="仿宋_GB2312"/>
              </w:rPr>
              <w:t>供应商提供自2025年11月1日以来至少一个月的纳税证明或完税证明（任意税种），纳税证明或完税证明上应有代收机构或税务机关的公章或业务专用章；其他组织和自然人提供自2025年11月1日以来至少一个月缴纳税收的凭据；依法免税的供应商应提供相关文件证明，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供应商应有依法缴纳社会保障资金的良好记录</w:t>
            </w:r>
          </w:p>
        </w:tc>
        <w:tc>
          <w:tcPr>
            <w:tcW w:type="dxa" w:w="3322"/>
          </w:tcPr>
          <w:p>
            <w:pPr>
              <w:pStyle w:val="null3"/>
            </w:pPr>
            <w:r>
              <w:rPr>
                <w:rFonts w:ascii="仿宋_GB2312" w:hAnsi="仿宋_GB2312" w:cs="仿宋_GB2312" w:eastAsia="仿宋_GB2312"/>
              </w:rPr>
              <w:t>提供自2025年11月1日以来至少一个月已缴纳的社会保障资金的证明（社会保障资金缴存单据或社保机构开具的社会保险参保缴费情况证明等)；依法不需要缴纳社会保障资金的供应商应提供相关证明文件。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授权书：法定代表人/负责人直接参加的，只须递交《法定代表人/负责人身份证明》；法定代表人/负责人授权代表参加的，须递交《法定代表人/负责人授权书》；并提供被授权人截止开标前近三个月在本公司的社会保障资金缴纳证明，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供应商需提供《无重大违法记录声明》，并进行电子签章。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供应商应具有履行合同所必需的设备和专业技术能力</w:t>
            </w:r>
          </w:p>
        </w:tc>
        <w:tc>
          <w:tcPr>
            <w:tcW w:type="dxa" w:w="3322"/>
          </w:tcPr>
          <w:p>
            <w:pPr>
              <w:pStyle w:val="null3"/>
            </w:pPr>
            <w:r>
              <w:rPr>
                <w:rFonts w:ascii="仿宋_GB2312" w:hAnsi="仿宋_GB2312" w:cs="仿宋_GB2312" w:eastAsia="仿宋_GB2312"/>
              </w:rPr>
              <w:t>供应商需提供《具有履行合同所必需的设备和专业技术能力的承诺书》，并进行电子签章。</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签章符合采购文件要求</w:t>
            </w:r>
          </w:p>
        </w:tc>
        <w:tc>
          <w:tcPr>
            <w:tcW w:type="dxa" w:w="3322"/>
          </w:tcPr>
          <w:p>
            <w:pPr>
              <w:pStyle w:val="null3"/>
            </w:pPr>
            <w:r>
              <w:rPr>
                <w:rFonts w:ascii="仿宋_GB2312" w:hAnsi="仿宋_GB2312" w:cs="仿宋_GB2312" w:eastAsia="仿宋_GB2312"/>
              </w:rPr>
              <w:t>供应商应当加盖供应商（法定名称）电子印章。</w:t>
            </w:r>
          </w:p>
        </w:tc>
        <w:tc>
          <w:tcPr>
            <w:tcW w:type="dxa" w:w="1661"/>
          </w:tcPr>
          <w:p>
            <w:pPr>
              <w:pStyle w:val="null3"/>
            </w:pPr>
            <w:r>
              <w:rPr>
                <w:rFonts w:ascii="仿宋_GB2312" w:hAnsi="仿宋_GB2312" w:cs="仿宋_GB2312" w:eastAsia="仿宋_GB2312"/>
              </w:rPr>
              <w:t>响应文件封面 其他材料 残疾人福利性单位声明函 供应商企业关联关系声明函 供应商基本信息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供应商必须满足采购文件的商务要求。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供应商须提供承诺书（格式见投标文件格式附件）</w:t>
            </w:r>
          </w:p>
        </w:tc>
        <w:tc>
          <w:tcPr>
            <w:tcW w:type="dxa" w:w="1661"/>
          </w:tcPr>
          <w:p>
            <w:pPr>
              <w:pStyle w:val="null3"/>
            </w:pPr>
            <w:r>
              <w:rPr>
                <w:rFonts w:ascii="仿宋_GB2312" w:hAnsi="仿宋_GB2312" w:cs="仿宋_GB2312" w:eastAsia="仿宋_GB2312"/>
              </w:rPr>
              <w:t>供应商承诺书</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有技术指标满足或高于采购文件要求的，得满分35分。技术指标（共35项）有一项不满足扣1分。备注：供应商应在响应文件中尽可能多地提供佐证材料予以证明其技术指标响应性（佐证材料包括但不限于行业相关认证证书、平台功能截图说明、承诺函等），并在技术响应偏离表中标注对应页码及位置。</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服务响应偏离表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供应商针对本项目提供服务方案，内容包含：①灾备云平台和数据库运维管理方案；②运行监控、补丁收集及维护方案；③故障解决、健康检查、系统调优方案； 二、评审标准： 1、完整性：方案必须全面，对评审内容中的各项要求有详细描述； 2、可实施性：切合本项目实际情况，提出步骤清晰、合理的方案； 3、针对性：方案能够紧扣项目实际情况，内容科学合理。 三、赋分依据（满分9分） 上述3项评审内容全部满足评审标准得9分；每有一个评审内容缺项扣3分；每有一项评审内容存在缺陷，扣（0-3）分。未提供得0分。 说明：缺陷是指内容没有结合项目实际需求、虽有内容但不完善、内容表述前后不一致或与项目需求不匹配及其他不利于项目实施的等任意一种情形。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供应商针对本项目提供服务方案，内容包含：①灾备切换应急响应预案；②数据库紧急故障救援预案；③应急演练方案。 二、评审标准： 1、完整性：方案必须全面，对评审内容中的各项要求有详细描述； 2、可实施性：切合本项目实际情况，提出步骤清晰、合理的方案； 3、针对性：方案能够紧扣项目实际情况，内容科学合理。 三、赋分依据（满分9分） 上述3项评审内容全部满足评审标准得9分；每有一个评审内容缺项扣3分；每有一项评审内容存在缺陷，扣（0-3）分。未提供得0分。 说明：缺陷是指内容没有结合项目实际需求、虽有内容但不完善、内容表述前后不一致或与项目需求不匹配及其他不利于项目实施的等任意一种情形。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进度计划与保障措施</w:t>
            </w:r>
          </w:p>
        </w:tc>
        <w:tc>
          <w:tcPr>
            <w:tcW w:type="dxa" w:w="2492"/>
          </w:tcPr>
          <w:p>
            <w:pPr>
              <w:pStyle w:val="null3"/>
            </w:pPr>
            <w:r>
              <w:rPr>
                <w:rFonts w:ascii="仿宋_GB2312" w:hAnsi="仿宋_GB2312" w:cs="仿宋_GB2312" w:eastAsia="仿宋_GB2312"/>
              </w:rPr>
              <w:t>一、评审内容 供应商针对本项目提供服务方案，内容包含：①整体进度计划；②巡检和容灾演练计划；③进度偏差应对措施。 二、评审标准： 1、完整性：方案必须全面，对评审内容中的各项要求有详细描述； 2、可实施性：切合本项目实际情况，提出步骤清晰、合理的方案； 3、针对性：方案能够紧扣项目实际情况，内容科学合理。 三、赋分依据（满分9分） 上述3项评审内容全部满足评审标准得9分；每有一个评审内容缺项扣3分；每有一项评审内容存在缺陷，扣（0-3）分。未提供得0分。 说明：缺陷是指内容没有结合项目实际需求、虽有内容但不完善、内容表述前后不一致或与项目需求不匹配及其他不利于项目实施的等任意一种情形。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人员配置计划</w:t>
            </w:r>
          </w:p>
        </w:tc>
        <w:tc>
          <w:tcPr>
            <w:tcW w:type="dxa" w:w="2492"/>
          </w:tcPr>
          <w:p>
            <w:pPr>
              <w:pStyle w:val="null3"/>
            </w:pPr>
            <w:r>
              <w:rPr>
                <w:rFonts w:ascii="仿宋_GB2312" w:hAnsi="仿宋_GB2312" w:cs="仿宋_GB2312" w:eastAsia="仿宋_GB2312"/>
              </w:rPr>
              <w:t>一、评审内容 供应商针对本项目提供服务方案，内容包含：①日常运维人员的配备计划；②岗位分工、职责；③项目负责人工作经验及专业水平的证明资料（包括但不限于项目负责人学历/学位证、职称证、相关资格证书等）。 二、评审标准： 1、完整性：方案必须全面，对评审内容中的各项要求有详细描述； 2、可实施性：切合本项目实际情况，提出步骤清晰、合理的方案； 3、针对性：方案能够紧扣项目实际情况，内容科学合理。 三、赋分依据（满分9分） 上述3项评审内容全部满足评审标准得3分；每有一个评审内容缺项扣3分；每有一项评审内容存在缺陷，扣（0-3）分。未提供得0分。 说明：缺陷是指内容没有结合项目实际需求、虽有内容但不完善、内容表述前后不一致或与项目需求不匹配及其他不利于项目实施的等任意一种情形。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供应商针对本项目提供服务方案，内容包含：①培训计划；②培训效果评估。 二、评审标准： 1、完整性：方案必须全面，对评审内容中的各项要求有详细描述； 2、可实施性：切合本项目实际情况，提出步骤清晰、合理的方案； 3、针对性：方案能够紧扣项目实际情况，内容科学合理。 三、赋分依据（满分4分） 上述2项评审内容全部满足评审标准得2分；每有一个评审内容缺项扣2分；每有一项评审内容存在缺陷，扣（0-2）分。未提供得0分。 说明：缺陷是指内容没有结合项目实际需求、虽有内容但不完善、内容表述前后不一致或与项目需求不匹配及其他不利于项目实施的等任意一种情形。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提供近三年（2023年6月至今）同类业绩证明材料（加盖公章），业绩证明材料以完整的合同为准。每提供一个项目的合同计2分，满分10分，提供不全或不提供不得分。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满足采购文件要求且投标价格最低的投标报价为评标基准价，其价格分为满分。其他供应商的价格分统一按照下列公式计算：投标报价得分=(评标基准价／投标报价)×15。计算分数时四舍五入取小数点后两位。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详见附件：供应商企业关联关系声明函</w:t>
      </w:r>
    </w:p>
    <w:p>
      <w:pPr>
        <w:pStyle w:val="null3"/>
        <w:ind w:firstLine="960"/>
      </w:pPr>
      <w:r>
        <w:rPr>
          <w:rFonts w:ascii="仿宋_GB2312" w:hAnsi="仿宋_GB2312" w:cs="仿宋_GB2312" w:eastAsia="仿宋_GB2312"/>
        </w:rPr>
        <w:t>详见附件：供应商业绩</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