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99FF78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采购需求</w:t>
      </w:r>
      <w:bookmarkStart w:id="0" w:name="_GoBack"/>
      <w:bookmarkEnd w:id="0"/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626"/>
        <w:gridCol w:w="7034"/>
      </w:tblGrid>
      <w:tr w14:paraId="7285820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 w14:paraId="5A6A817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626" w:type="dxa"/>
          </w:tcPr>
          <w:p w14:paraId="1C0F2CE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7034" w:type="dxa"/>
          </w:tcPr>
          <w:p w14:paraId="7584450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6FCF0DC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 w14:paraId="40E0F0B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626" w:type="dxa"/>
          </w:tcPr>
          <w:p w14:paraId="25BFC590"/>
        </w:tc>
        <w:tc>
          <w:tcPr>
            <w:tcW w:w="7034" w:type="dxa"/>
          </w:tcPr>
          <w:p w14:paraId="4F42B11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一、运维服务内容</w:t>
            </w:r>
          </w:p>
          <w:p w14:paraId="793B801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“陕西省公安厅安全防护维护项目”包括八项系统/平台运维服务，涉及两地约329台硬件巡检服务、软件运维服务及安全运维服务，至少提供7名中级工程师和1名初级工程师的驻场服务，运维服务期限一年。</w:t>
            </w:r>
          </w:p>
        </w:tc>
      </w:tr>
      <w:tr w14:paraId="2D973C8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 w14:paraId="65F488C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626" w:type="dxa"/>
          </w:tcPr>
          <w:p w14:paraId="69F0DAC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7034" w:type="dxa"/>
          </w:tcPr>
          <w:p w14:paraId="4B592333">
            <w:pPr>
              <w:pStyle w:val="4"/>
              <w:jc w:val="both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二、运维服务内容清单</w:t>
            </w:r>
          </w:p>
          <w:tbl>
            <w:tblPr>
              <w:tblStyle w:val="2"/>
              <w:tblW w:w="0" w:type="auto"/>
              <w:tblInd w:w="0" w:type="dxa"/>
              <w:tblBorders>
                <w:top w:val="single" w:color="auto" w:sz="0" w:space="0"/>
                <w:left w:val="single" w:color="auto" w:sz="0" w:space="0"/>
                <w:bottom w:val="single" w:color="auto" w:sz="0" w:space="0"/>
                <w:right w:val="single" w:color="auto" w:sz="0" w:space="0"/>
                <w:insideH w:val="single" w:color="auto" w:sz="0" w:space="0"/>
                <w:insideV w:val="singl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51"/>
              <w:gridCol w:w="851"/>
              <w:gridCol w:w="5024"/>
            </w:tblGrid>
            <w:tr w14:paraId="2718BDCB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1" w:type="dxa"/>
                </w:tcPr>
                <w:p w14:paraId="7E528A2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序号</w:t>
                  </w:r>
                </w:p>
              </w:tc>
              <w:tc>
                <w:tcPr>
                  <w:tcW w:w="851" w:type="dxa"/>
                </w:tcPr>
                <w:p w14:paraId="23720B3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名称及类别</w:t>
                  </w:r>
                </w:p>
              </w:tc>
              <w:tc>
                <w:tcPr>
                  <w:tcW w:w="5024" w:type="dxa"/>
                </w:tcPr>
                <w:p w14:paraId="32CCBC0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备注</w:t>
                  </w:r>
                </w:p>
              </w:tc>
            </w:tr>
            <w:tr w14:paraId="045D6C93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1" w:type="dxa"/>
                </w:tcPr>
                <w:p w14:paraId="3B9658C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 xml:space="preserve"> </w:t>
                  </w:r>
                </w:p>
              </w:tc>
              <w:tc>
                <w:tcPr>
                  <w:tcW w:w="851" w:type="dxa"/>
                </w:tcPr>
                <w:p w14:paraId="1971A98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驻场服务</w:t>
                  </w:r>
                </w:p>
              </w:tc>
              <w:tc>
                <w:tcPr>
                  <w:tcW w:w="5024" w:type="dxa"/>
                </w:tcPr>
                <w:p w14:paraId="34B80D9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 xml:space="preserve"> </w:t>
                  </w:r>
                </w:p>
              </w:tc>
            </w:tr>
            <w:tr w14:paraId="0352B234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1" w:type="dxa"/>
                </w:tcPr>
                <w:p w14:paraId="375FCA4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第一部分</w:t>
                  </w:r>
                </w:p>
              </w:tc>
              <w:tc>
                <w:tcPr>
                  <w:tcW w:w="851" w:type="dxa"/>
                </w:tcPr>
                <w:p w14:paraId="1CBC9B0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某系统1</w:t>
                  </w:r>
                </w:p>
              </w:tc>
              <w:tc>
                <w:tcPr>
                  <w:tcW w:w="5024" w:type="dxa"/>
                </w:tcPr>
                <w:p w14:paraId="7EA4E41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★至少提供1名主要产品的中级工程师一年驻场服务。</w:t>
                  </w:r>
                </w:p>
                <w:p w14:paraId="5F9AD25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提供软件运维含：定期对软件运行状态进行检查和分析，完成平台业务配置管理、业务更新以及业务停用，完成业务备份、对平台申报的故障提供技术支持，修复故障，定期对数据库运行状态进行检查和分析，完成数据库优化，软件运维服务费含主机系统运维、业务软件运维、数据库运维，配合完成数据汇总；安全运维含业务系统事件处理、数据统计及上级单位的数据同步；硬件巡检服务（系统涉及硬件的巡检）；定期对平台硬件设备巡检资源占用情况，进行设备故障分析，提供故障报告，协助处理故障，配合完成架构优化，数据迁移，数据备份、数据汇总、数据上报等工作。</w:t>
                  </w:r>
                </w:p>
              </w:tc>
            </w:tr>
            <w:tr w14:paraId="18B1A788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1" w:type="dxa"/>
                </w:tcPr>
                <w:p w14:paraId="6537929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第二部分</w:t>
                  </w:r>
                </w:p>
              </w:tc>
              <w:tc>
                <w:tcPr>
                  <w:tcW w:w="851" w:type="dxa"/>
                </w:tcPr>
                <w:p w14:paraId="3C1484D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某系统2</w:t>
                  </w:r>
                </w:p>
              </w:tc>
              <w:tc>
                <w:tcPr>
                  <w:tcW w:w="5024" w:type="dxa"/>
                </w:tcPr>
                <w:p w14:paraId="79FAC75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★至少提供1名主要产品的中级工程师一年驻场服务。</w:t>
                  </w:r>
                </w:p>
                <w:p w14:paraId="2A804A1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软件运维服务含定期对软件运行状态进行检查和分析，完成平台业务配置管理、业务更新以及业务停用，完成业务备份、对平台申报的故障提供技术支持，修复故障，定期对数据库运行状态进行检查和分析，完成数据库优化，软件运维服务费含主机系统运维、业务软件运维、数据库运维，配合完成数据汇总、数据上报等工作；硬件运维含定期对平台硬件设备巡检资源占用情况，进行设备故障分析，提供故障报告，协助处理故障，配合完成平台应用备案管理，配合集中管控，架构优化，数据备份。</w:t>
                  </w:r>
                </w:p>
              </w:tc>
            </w:tr>
            <w:tr w14:paraId="5E821B94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1" w:type="dxa"/>
                </w:tcPr>
                <w:p w14:paraId="0383D78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第三部分</w:t>
                  </w:r>
                </w:p>
              </w:tc>
              <w:tc>
                <w:tcPr>
                  <w:tcW w:w="851" w:type="dxa"/>
                </w:tcPr>
                <w:p w14:paraId="51DCF86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某系统3</w:t>
                  </w:r>
                </w:p>
              </w:tc>
              <w:tc>
                <w:tcPr>
                  <w:tcW w:w="5024" w:type="dxa"/>
                </w:tcPr>
                <w:p w14:paraId="58700F2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★至少提供1名主要产品的初级工程师一年驻场服务。</w:t>
                  </w:r>
                </w:p>
                <w:p w14:paraId="66BF9A6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软件运维服务含定期对系统运行状态进行检查和分析，完成平台业务配置管理，定期分析全省网络违规行为，完成违规行为分析，配合用户完成数据汇总、数据上报等工作；硬件运维服务含定期对平台硬件设备巡检资源占用情况，进行设备故障分析，提供故障报告，协助处理故障，配合完成系统违规行为扫描分析，配合完成全省违规行为管控。</w:t>
                  </w:r>
                </w:p>
              </w:tc>
            </w:tr>
            <w:tr w14:paraId="6BE6C94C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1" w:type="dxa"/>
                </w:tcPr>
                <w:p w14:paraId="0832461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第四部分</w:t>
                  </w:r>
                </w:p>
              </w:tc>
              <w:tc>
                <w:tcPr>
                  <w:tcW w:w="851" w:type="dxa"/>
                </w:tcPr>
                <w:p w14:paraId="37EDB2A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某平台4（行业专用平台）</w:t>
                  </w:r>
                </w:p>
              </w:tc>
              <w:tc>
                <w:tcPr>
                  <w:tcW w:w="5024" w:type="dxa"/>
                </w:tcPr>
                <w:p w14:paraId="29CAC66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★至少提供1名主要产品的中级工程师一年驻场服务。</w:t>
                  </w:r>
                </w:p>
                <w:p w14:paraId="6D14844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软件运维服务，需定期对软件运行状态进行检查和分析，完成平台业务配置管理、业务更新以及业务停用，完成业务备份、对平台申报的故障提供技术支持，修复故障，定期对数据库运行状态进行检查和分析，完成数据库优化；硬件运维服务含定期对平台硬件设备（含行业专用设备）巡检资源占用情况，进行设备故障分析，提供故障报告，协助处理故障，配合完成平台设备升级更换，架构优化，数据迁移。</w:t>
                  </w:r>
                </w:p>
              </w:tc>
            </w:tr>
            <w:tr w14:paraId="35E94494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1" w:type="dxa"/>
                </w:tcPr>
                <w:p w14:paraId="2AD9CD5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第五部分</w:t>
                  </w:r>
                </w:p>
              </w:tc>
              <w:tc>
                <w:tcPr>
                  <w:tcW w:w="851" w:type="dxa"/>
                </w:tcPr>
                <w:p w14:paraId="537BF81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某管理系统5（行业专用系统）</w:t>
                  </w:r>
                </w:p>
              </w:tc>
              <w:tc>
                <w:tcPr>
                  <w:tcW w:w="5024" w:type="dxa"/>
                </w:tcPr>
                <w:p w14:paraId="121710E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★至少提供1名主要产品的中级工程师一年驻场服务。</w:t>
                  </w:r>
                </w:p>
                <w:p w14:paraId="7864EDD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安全运维服务含完成系统业务配置管理、更新、注销等，配合省厅完成系统业务的管理及上级单位专项考核，完成系统的策略下发管理、违规事件，及时处理并上报违规事件，与上级单位同步数据；软件运维服务含定期对软件运行状态进行检查和分析，完成业务备份、对平台申报的故障提供技术支持，修复故障，定期对数据库运行状态进行检查和分析，完成数据库优化。</w:t>
                  </w:r>
                </w:p>
              </w:tc>
            </w:tr>
            <w:tr w14:paraId="2EB21699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1" w:type="dxa"/>
                </w:tcPr>
                <w:p w14:paraId="4EE44D0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第六部分</w:t>
                  </w:r>
                </w:p>
              </w:tc>
              <w:tc>
                <w:tcPr>
                  <w:tcW w:w="851" w:type="dxa"/>
                </w:tcPr>
                <w:p w14:paraId="1304E25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审计平台</w:t>
                  </w:r>
                </w:p>
              </w:tc>
              <w:tc>
                <w:tcPr>
                  <w:tcW w:w="5024" w:type="dxa"/>
                </w:tcPr>
                <w:p w14:paraId="2653EC6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★至少提供1名主要产品的中级工程师一年驻场服务。</w:t>
                  </w:r>
                </w:p>
                <w:p w14:paraId="4955B5A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软件运维服务含定期对平台运行状态进行检查和分析，业务备份、对平台申报的故障提供技术支持，修复故障，定期对数据库运行状态进行检查和分析，完成数据库优化，按照上级单位要求实时审计违规行为、和统计分析；安全运维服务含重点监测审计违规行为日志、采集各系统用户日志，及时处理并上报违规事件，与上级单位同步数据。</w:t>
                  </w:r>
                </w:p>
              </w:tc>
            </w:tr>
            <w:tr w14:paraId="5C2BC0FC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1" w:type="dxa"/>
                </w:tcPr>
                <w:p w14:paraId="41BFA71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第七部分</w:t>
                  </w:r>
                </w:p>
              </w:tc>
              <w:tc>
                <w:tcPr>
                  <w:tcW w:w="851" w:type="dxa"/>
                </w:tcPr>
                <w:p w14:paraId="52110DC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某平台7（行业专用平台）</w:t>
                  </w:r>
                </w:p>
              </w:tc>
              <w:tc>
                <w:tcPr>
                  <w:tcW w:w="5024" w:type="dxa"/>
                </w:tcPr>
                <w:p w14:paraId="40B28B1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★至少提供1名主要产品的中级工程师一年驻场服务。</w:t>
                  </w:r>
                </w:p>
                <w:p w14:paraId="18BE814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软件运维服务含定期对平台运行状态进行检查和分析，业务备份、对平台申报的故障提供技术支持，修复故障，定期对数据库运行状态进行检查和分析，完成数据库优化；安全运维服务含重点监测全省身份认证、数据加密、数字签名、密钥管理保持与上级单位数据同步；定期对平台硬件进行巡检。</w:t>
                  </w:r>
                </w:p>
              </w:tc>
            </w:tr>
            <w:tr w14:paraId="1E93940E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1" w:type="dxa"/>
                </w:tcPr>
                <w:p w14:paraId="61617AE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第八部分</w:t>
                  </w:r>
                </w:p>
              </w:tc>
              <w:tc>
                <w:tcPr>
                  <w:tcW w:w="851" w:type="dxa"/>
                </w:tcPr>
                <w:p w14:paraId="783A9F4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某平台8（行业专用平台）</w:t>
                  </w:r>
                </w:p>
              </w:tc>
              <w:tc>
                <w:tcPr>
                  <w:tcW w:w="5024" w:type="dxa"/>
                </w:tcPr>
                <w:p w14:paraId="2423468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★至少提供1名主要产品的中级工程师一年驻场服务。</w:t>
                  </w:r>
                </w:p>
                <w:p w14:paraId="1BA966A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软件运维服务含定期对平台运行状态进行检查和分析，业务备份、对平台申报的故障提供技术支持，修复故障，定期对数据交换通道运行状态进行检查和分析，完成配置优化，需高度专业化运维；运维期间定期展开监测数据交换网络、主机和数据库的运行情况，及时上报问题；定期对平台硬件进行巡检。</w:t>
                  </w:r>
                </w:p>
              </w:tc>
            </w:tr>
          </w:tbl>
          <w:p w14:paraId="56F6C87E"/>
        </w:tc>
      </w:tr>
      <w:tr w14:paraId="767F927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 w14:paraId="74832AD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626" w:type="dxa"/>
          </w:tcPr>
          <w:p w14:paraId="2257414E"/>
        </w:tc>
        <w:tc>
          <w:tcPr>
            <w:tcW w:w="7034" w:type="dxa"/>
          </w:tcPr>
          <w:p w14:paraId="553BA60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三、运维服务目标</w:t>
            </w:r>
          </w:p>
          <w:p w14:paraId="68F9970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1.稳定性：监测系统运行状态，保证系统各类运行指标符合相关规定保障信息系统全年稳定运行，减少系统中断次数及中断时长，确保业务连续性。</w:t>
            </w:r>
          </w:p>
          <w:p w14:paraId="42513B6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.高效性：优化系统性能，提升响应速度，及时处理各类运维需求及故障，缩短故障解决周期，提升用户体验；熟悉服务内各系统的硬件状态，迅速而准确地定位各类故障，每日开展硬件设备巡检并记录。安全性：落实安全防护措施，防范网络攻击、数据泄露等安全风险，保障系统及数据安全合规，符合相关安全标准；</w:t>
            </w:r>
          </w:p>
          <w:p w14:paraId="0A99FAF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3.规范性：建立适配招标单位工作的规范化的运维服务流程，形成完整的运维文档，实现运维工作可追溯、可管控；</w:t>
            </w:r>
          </w:p>
          <w:p w14:paraId="7F945C6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4.可扩展性：结合招标人业务发展及信息化建设规划，提供灵活的运维服务支持，适配系统升级、扩容等需求，确保运维服务的可持续性。</w:t>
            </w:r>
          </w:p>
          <w:p w14:paraId="6440E24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.审查各系统每日日志情况和日志质量，包括用户访问日志和系统接口日志，保障平台采集的日志质量，实现日志数据每日更新。开展安全审计日志信息分析研判工作，主动发现涉嫌违规查询使用公安应用的人员，并将分析结果形成报告上报。</w:t>
            </w:r>
          </w:p>
          <w:p w14:paraId="5EF8291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6.定期进行数据备份，防止突发情况数据丢失。</w:t>
            </w:r>
          </w:p>
          <w:p w14:paraId="14963CA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7.及时处理工作中出现的各种问题。</w:t>
            </w:r>
          </w:p>
          <w:p w14:paraId="3002076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8.在保证系统运行质量的情况下，提高维护效率，降低维护成本。</w:t>
            </w:r>
          </w:p>
        </w:tc>
      </w:tr>
      <w:tr w14:paraId="4D660DE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 w14:paraId="6673FB3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626" w:type="dxa"/>
          </w:tcPr>
          <w:p w14:paraId="72F8F27B"/>
        </w:tc>
        <w:tc>
          <w:tcPr>
            <w:tcW w:w="7034" w:type="dxa"/>
          </w:tcPr>
          <w:p w14:paraId="7607094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四、运维服务范围</w:t>
            </w:r>
          </w:p>
          <w:p w14:paraId="4E2D280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本次运维服务范围涵盖招标人指定的所有信息系统及相关设备。PKI/PMI 系统仅提供日常运维，严禁本项目预算列支超范围服务。</w:t>
            </w:r>
          </w:p>
        </w:tc>
      </w:tr>
      <w:tr w14:paraId="275A23E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 w14:paraId="1095E44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626" w:type="dxa"/>
          </w:tcPr>
          <w:p w14:paraId="2F893745"/>
        </w:tc>
        <w:tc>
          <w:tcPr>
            <w:tcW w:w="7034" w:type="dxa"/>
          </w:tcPr>
          <w:p w14:paraId="1D34BEA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五、服务期限</w:t>
            </w:r>
          </w:p>
          <w:p w14:paraId="6EFBBC3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本次运维服务期限为1年，自合同签订之日起计算。第1个年度服务期满后，经招标人认定合格，可根据实际需求协商在第2个年度续签合同；第2个年度服务期满后，经招标人认定合格，可根据实际需求协商，在第3个年度续签合同。续签期限不超过叁年，具体续签条件另行约定。</w:t>
            </w:r>
          </w:p>
        </w:tc>
      </w:tr>
      <w:tr w14:paraId="49E1381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 w14:paraId="59CD012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626" w:type="dxa"/>
          </w:tcPr>
          <w:p w14:paraId="7784C280"/>
        </w:tc>
        <w:tc>
          <w:tcPr>
            <w:tcW w:w="7034" w:type="dxa"/>
          </w:tcPr>
          <w:p w14:paraId="11895A3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六、总体服务要求</w:t>
            </w:r>
          </w:p>
          <w:p w14:paraId="5BBA821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.投标人需成立专门的驻场运维团队，团队人员配置需满足招标文件要求，人员稳定，不得随意更换，如需更换，需提前书面报备招标人，经招标人同意后方可更换，且更换人员的资质、能力不得低于原人员标准；</w:t>
            </w:r>
          </w:p>
          <w:p w14:paraId="77DA64B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2.执行5×8小时驻场工作，确保各类故障及运维需求能够及时响应、快速处置，严格遵守故障响应及解决时限要求，日常执行7×24小时保障工作机制；</w:t>
            </w:r>
          </w:p>
          <w:p w14:paraId="4064B53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3.运维服务过程中，需严格保护招标人的商业秘密、数据信息及系统安全，不得泄露、篡改、滥用相关信息，签订保密协议，承担保密责任；</w:t>
            </w:r>
          </w:p>
          <w:p w14:paraId="65DCFF2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4.按照标准化流程开展运维工作，建立完整的运维日志、故障记录、处理报告等文档，定期提交运维服务报告，接受招标人的监督、检查；</w:t>
            </w:r>
          </w:p>
          <w:p w14:paraId="4599EAD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5.配合招标人完成各类信息化检查、审计、升级改造等工作，提供技术支持与协助；</w:t>
            </w:r>
          </w:p>
          <w:p w14:paraId="0719AB6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6.运维服务费用包含所有人工、材料、设备、税费等相关费用，招标人不再额外支付其他费用。</w:t>
            </w:r>
          </w:p>
        </w:tc>
      </w:tr>
      <w:tr w14:paraId="2399B7C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 w14:paraId="471CCA2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626" w:type="dxa"/>
          </w:tcPr>
          <w:p w14:paraId="2ACEB7FA"/>
        </w:tc>
        <w:tc>
          <w:tcPr>
            <w:tcW w:w="7034" w:type="dxa"/>
          </w:tcPr>
          <w:p w14:paraId="716B62E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七、具体运维服务要求</w:t>
            </w:r>
          </w:p>
          <w:p w14:paraId="00A5CB3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1.日常巡检：每日对系统硬件运行情况进行巡检，检查硬件运行状态、资源使用情况等，发现异常及时报告并记录，形成巡检日报，每周汇总提交招标人；</w:t>
            </w:r>
          </w:p>
          <w:p w14:paraId="5B14139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2.设备监控：建立硬件设备监控体系，实时监控设备运行状态、资源占用情况（如CPU、内存、磁盘空间等），设置预警机制，当设备出现异常时及时发出预警并处理。</w:t>
            </w:r>
          </w:p>
          <w:p w14:paraId="116871C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.故障处理：接到应用系统故障报修后，按照故障处理流程及时响应，快速排查故障原因，采取有效措施解决故障，确保系统尽快恢复正常运行，故障解决后提交故障处理报告，详细说明故障原因、处理过程、解决结果及预防措施；</w:t>
            </w:r>
          </w:p>
          <w:p w14:paraId="1DF0453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.数据备份与恢复：制定完善的数据备份策略，定期对应用系统数据进行备份（包括全量备份、增量备份），备份数据存储安全、可追溯，定期对备份数据进行恢复测试，确保备份有效，若发生数据丢失、损坏等情况，能够快速恢复数据，减少损失；</w:t>
            </w:r>
          </w:p>
          <w:p w14:paraId="14160C0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5.功能优化与调整：根据招标人业务需求变化，对应用系统的部分功能进行优化、调整（不涉及重大功能开发），确保满足业务开展需求。</w:t>
            </w:r>
          </w:p>
          <w:p w14:paraId="4AE4516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6.数据库巡检：每日对数据库进行巡检，检查数据库运行状态、日志信息、连接数、锁状态、存储空间等，发现异常及时处理并记录，形成处理报告，每周汇总提交招标人；</w:t>
            </w:r>
          </w:p>
          <w:p w14:paraId="18504CC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7.安全加固：对数据库进行安全加固，设置合理的用户权限、密码策略，定期进行安全扫描，防范数据库注入、数据泄露等安全风险，确保数据库安全运行；</w:t>
            </w:r>
          </w:p>
          <w:p w14:paraId="2510A80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8.版本更新与补丁升级：根据系统厂商发布的版本更新及安全补丁，结合招标人实际需求，制定更新、升级方案，经招标人同意后实施，更新、升级前做好数据备份，确保升级过程安全。</w:t>
            </w:r>
          </w:p>
          <w:p w14:paraId="018C6BB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9.漏洞扫描与修复：定期对系统、设备、应用进行安全漏洞扫描（每月至少一次），识别安全漏洞，提出修复方案，经招标人同意后实施修复，修复后进行验证，确保漏洞已消除，每月提交漏洞扫描报告；</w:t>
            </w:r>
          </w:p>
          <w:p w14:paraId="58792C1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10.安全事件处置：建立安全事件应急处置机制，接到安全事件（如网络攻击、数据泄露等）报告后，立即启动应急响应，快速处置安全事件，降低安全风险，事后进行复盘分析，提出改进措施，提交安全事件处置报告；</w:t>
            </w:r>
          </w:p>
          <w:p w14:paraId="206D08D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数据安全与隐私保护：严格落实数据安全保护措施，对敏感数据进行加密处理，规范数据访问权限，防范数据泄露、篡改、滥用等行为，符合相关数据安全及隐私保护法规要求；</w:t>
            </w:r>
          </w:p>
        </w:tc>
      </w:tr>
      <w:tr w14:paraId="765A635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 w14:paraId="77F36C6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626" w:type="dxa"/>
          </w:tcPr>
          <w:p w14:paraId="2BF171C2"/>
        </w:tc>
        <w:tc>
          <w:tcPr>
            <w:tcW w:w="7034" w:type="dxa"/>
          </w:tcPr>
          <w:p w14:paraId="41C33E9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八、运维管理与技术支持</w:t>
            </w:r>
          </w:p>
          <w:p w14:paraId="1C022FF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1.驻场服务：投标人需派遣不少于</w:t>
            </w:r>
            <w:r>
              <w:rPr>
                <w:rFonts w:ascii="仿宋_GB2312" w:hAnsi="仿宋_GB2312" w:eastAsia="仿宋_GB2312" w:cs="仿宋_GB2312"/>
                <w:u w:val="single"/>
              </w:rPr>
              <w:t xml:space="preserve"> 8 </w:t>
            </w:r>
            <w:r>
              <w:rPr>
                <w:rFonts w:ascii="仿宋_GB2312" w:hAnsi="仿宋_GB2312" w:eastAsia="仿宋_GB2312" w:cs="仿宋_GB2312"/>
              </w:rPr>
              <w:t>名驻场运维人员，驻场地点为招标人指定地点，负责日常运维工作、用户咨询解答、故障现场处理等，驻场人员需遵守招标人的规章制度，保持良好的工作状态；</w:t>
            </w:r>
          </w:p>
          <w:p w14:paraId="6E9E319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2.技术支持：提供7×24小时技术支持服务，用户可通过电话、邮件、在线咨询等方式提交运维需求及故障报修，投标人需在规定时间内响应，确保问题得到及时处理；</w:t>
            </w:r>
          </w:p>
          <w:p w14:paraId="1186142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.运维报告：定期提交运维服务报告，包括巡检日志、故障处理报告、周报告、月度总结报告等，所有文档需规范、完整、可追溯，定期提交给招标人归档；细化按月提交运维服务报告、巡检记录，故障处理报告等。</w:t>
            </w:r>
          </w:p>
          <w:p w14:paraId="1B24012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4.沟通协调：建立不定期沟通机制，每月至少一次与招标人相关负责人召开沟通会议，汇报运维工作情况，听取招标人的意见及需求，及时调整运维服务方案。</w:t>
            </w:r>
          </w:p>
        </w:tc>
      </w:tr>
      <w:tr w14:paraId="0CAB743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 w14:paraId="0094B0F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9</w:t>
            </w:r>
          </w:p>
        </w:tc>
        <w:tc>
          <w:tcPr>
            <w:tcW w:w="626" w:type="dxa"/>
          </w:tcPr>
          <w:p w14:paraId="6531A8C7"/>
        </w:tc>
        <w:tc>
          <w:tcPr>
            <w:tcW w:w="7034" w:type="dxa"/>
          </w:tcPr>
          <w:p w14:paraId="4447438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九、应急响应要求</w:t>
            </w:r>
          </w:p>
          <w:p w14:paraId="5CCF3C6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1.响应时限：执行7×24小时保障工作机制，接到故障或应急事件报修后，一级故障（系统全面中断、数据丢失等严重影响业务开展的故障）需在</w:t>
            </w:r>
            <w:r>
              <w:rPr>
                <w:rFonts w:ascii="仿宋_GB2312" w:hAnsi="仿宋_GB2312" w:eastAsia="仿宋_GB2312" w:cs="仿宋_GB2312"/>
                <w:u w:val="single"/>
              </w:rPr>
              <w:t xml:space="preserve"> 20 </w:t>
            </w:r>
            <w:r>
              <w:rPr>
                <w:rFonts w:ascii="仿宋_GB2312" w:hAnsi="仿宋_GB2312" w:eastAsia="仿宋_GB2312" w:cs="仿宋_GB2312"/>
              </w:rPr>
              <w:t>分钟内响应，</w:t>
            </w:r>
            <w:r>
              <w:rPr>
                <w:rFonts w:ascii="仿宋_GB2312" w:hAnsi="仿宋_GB2312" w:eastAsia="仿宋_GB2312" w:cs="仿宋_GB2312"/>
                <w:u w:val="single"/>
              </w:rPr>
              <w:t xml:space="preserve">  48  </w:t>
            </w:r>
            <w:r>
              <w:rPr>
                <w:rFonts w:ascii="仿宋_GB2312" w:hAnsi="仿宋_GB2312" w:eastAsia="仿宋_GB2312" w:cs="仿宋_GB2312"/>
              </w:rPr>
              <w:t>小时内解决；二级故障（系统部分功能异常、网络卡顿等影响部分业务开展的故障）需在</w:t>
            </w:r>
            <w:r>
              <w:rPr>
                <w:rFonts w:ascii="仿宋_GB2312" w:hAnsi="仿宋_GB2312" w:eastAsia="仿宋_GB2312" w:cs="仿宋_GB2312"/>
                <w:u w:val="single"/>
              </w:rPr>
              <w:t xml:space="preserve"> 1 </w:t>
            </w:r>
            <w:r>
              <w:rPr>
                <w:rFonts w:ascii="仿宋_GB2312" w:hAnsi="仿宋_GB2312" w:eastAsia="仿宋_GB2312" w:cs="仿宋_GB2312"/>
              </w:rPr>
              <w:t>小时内响应，</w:t>
            </w:r>
            <w:r>
              <w:rPr>
                <w:rFonts w:ascii="仿宋_GB2312" w:hAnsi="仿宋_GB2312" w:eastAsia="仿宋_GB2312" w:cs="仿宋_GB2312"/>
                <w:u w:val="single"/>
              </w:rPr>
              <w:t xml:space="preserve"> 24 </w:t>
            </w:r>
            <w:r>
              <w:rPr>
                <w:rFonts w:ascii="仿宋_GB2312" w:hAnsi="仿宋_GB2312" w:eastAsia="仿宋_GB2312" w:cs="仿宋_GB2312"/>
              </w:rPr>
              <w:t>小时内解决；三级故障（一般咨询、轻微异常等不影响业务开展的故障）需在</w:t>
            </w:r>
            <w:r>
              <w:rPr>
                <w:rFonts w:ascii="仿宋_GB2312" w:hAnsi="仿宋_GB2312" w:eastAsia="仿宋_GB2312" w:cs="仿宋_GB2312"/>
                <w:u w:val="single"/>
              </w:rPr>
              <w:t xml:space="preserve"> 1 </w:t>
            </w:r>
            <w:r>
              <w:rPr>
                <w:rFonts w:ascii="仿宋_GB2312" w:hAnsi="仿宋_GB2312" w:eastAsia="仿宋_GB2312" w:cs="仿宋_GB2312"/>
              </w:rPr>
              <w:t>小时内响应，</w:t>
            </w:r>
            <w:r>
              <w:rPr>
                <w:rFonts w:ascii="仿宋_GB2312" w:hAnsi="仿宋_GB2312" w:eastAsia="仿宋_GB2312" w:cs="仿宋_GB2312"/>
                <w:u w:val="single"/>
              </w:rPr>
              <w:t xml:space="preserve"> 2 </w:t>
            </w:r>
            <w:r>
              <w:rPr>
                <w:rFonts w:ascii="仿宋_GB2312" w:hAnsi="仿宋_GB2312" w:eastAsia="仿宋_GB2312" w:cs="仿宋_GB2312"/>
              </w:rPr>
              <w:t>小时内解决；</w:t>
            </w:r>
          </w:p>
          <w:p w14:paraId="3B8B74E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2.应急处置：建立应急处置预案，针对各类可能发生的应急事件制定详细的处置流程，应急事件发生后，立即启动预案，组织专业人员进行处置，确保尽快恢复系统正常运行，降低损失；</w:t>
            </w:r>
          </w:p>
        </w:tc>
      </w:tr>
      <w:tr w14:paraId="7B3C429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 w14:paraId="7327184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10</w:t>
            </w:r>
          </w:p>
        </w:tc>
        <w:tc>
          <w:tcPr>
            <w:tcW w:w="626" w:type="dxa"/>
          </w:tcPr>
          <w:p w14:paraId="0AE153BB"/>
        </w:tc>
        <w:tc>
          <w:tcPr>
            <w:tcW w:w="7034" w:type="dxa"/>
          </w:tcPr>
          <w:p w14:paraId="31A9BC7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十、运维团队要求</w:t>
            </w:r>
          </w:p>
          <w:p w14:paraId="79B3489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.运维团队整体要求：团队成员均须具备相应的技术资质及运维经验，熟悉相关系统及设备的运维工作，能够熟练处理各类故障及运维需求，提供驻场人员简历、资质证书、在职证明或社保证明复印件并加盖公章；</w:t>
            </w:r>
          </w:p>
          <w:p w14:paraId="17505F7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2.项目经理（1名）要求：负责统筹运维服务工作，协调团队资源，对接招标人，提供项目经理资质证书、在职证明或社保证明复印件并加盖公章；</w:t>
            </w:r>
          </w:p>
          <w:p w14:paraId="58FD543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3.团队稳定性：运维团队人员需稳定，合同期内不得随意更换，如需更换，需提前</w:t>
            </w:r>
            <w:r>
              <w:rPr>
                <w:rFonts w:ascii="仿宋_GB2312" w:hAnsi="仿宋_GB2312" w:eastAsia="仿宋_GB2312" w:cs="仿宋_GB2312"/>
                <w:u w:val="single"/>
              </w:rPr>
              <w:t xml:space="preserve"> 15 </w:t>
            </w:r>
            <w:r>
              <w:rPr>
                <w:rFonts w:ascii="仿宋_GB2312" w:hAnsi="仿宋_GB2312" w:eastAsia="仿宋_GB2312" w:cs="仿宋_GB2312"/>
              </w:rPr>
              <w:t>天书面报备招标人，经招标人同意后方可更换，且更换人员的资质、能力不得低于原人员标准，否则招标人有权终止合同。更换人员后须提供上岗资质复核、离岗权限注销、人员稳定性考核等。</w:t>
            </w:r>
          </w:p>
        </w:tc>
      </w:tr>
    </w:tbl>
    <w:p w14:paraId="015AC4F7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EA0384"/>
    <w:rsid w:val="3EEA0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2026-06-12T06:41:00Z</dcterms:created>
  <dc:creator>WPS_1564808538</dc:creator>
  <cp:lastModifiedBy>WPS_1564808538</cp:lastModifiedBy>
  <dcterms:modified xsi:type="dcterms:W3CDTF">2026-06-12T06:42:12Z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18B61B9E831F4E36AD5E73E0D18C137D_11</vt:lpwstr>
  </property>
  <property fmtid="{D5CDD505-2E9C-101B-9397-08002B2CF9AE}" pid="4" name="KSOTemplateDocerSaveRecord">
    <vt:lpwstr>eyJoZGlkIjoiOWRkYWJjMGI3NGU0YmE5NTE3ZDEwOTc3YWU0ODhlZjkiLCJ1c2VySWQiOiI2MjY1MTc1NzQifQ==</vt:lpwstr>
  </property>
</Properties>
</file>