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版本号：ZCSP-渭南市-2026-0011020260514001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“爱上渭南的100个理由”短视频大赛项目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ZCSP-渭南市-2026-00110</w:t>
      </w:r>
      <w:r>
        <w:br/>
      </w:r>
      <w:r>
        <w:br/>
      </w:r>
      <w:r>
        <w:br/>
      </w:r>
    </w:p>
    <w:p>
      <w:pPr>
        <w:pStyle w:val="null3"/>
        <w:jc w:val="center"/>
        <w:outlineLvl w:val="2"/>
      </w:pPr>
      <w:r>
        <w:rPr>
          <w:rFonts w:ascii="仿宋_GB2312" w:hAnsi="仿宋_GB2312" w:cs="仿宋_GB2312" w:eastAsia="仿宋_GB2312"/>
          <w:sz w:val="28"/>
          <w:b/>
        </w:rPr>
        <w:t>中共渭南市委宣传部</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中共渭南市委宣传部</w:t>
      </w:r>
      <w:r>
        <w:rPr>
          <w:rFonts w:ascii="仿宋_GB2312" w:hAnsi="仿宋_GB2312" w:cs="仿宋_GB2312" w:eastAsia="仿宋_GB2312"/>
        </w:rPr>
        <w:t>委托，拟对</w:t>
      </w:r>
      <w:r>
        <w:rPr>
          <w:rFonts w:ascii="仿宋_GB2312" w:hAnsi="仿宋_GB2312" w:cs="仿宋_GB2312" w:eastAsia="仿宋_GB2312"/>
        </w:rPr>
        <w:t>“爱上渭南的100个理由”短视频大赛项目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“爱上渭南的100个理由”短视频大赛项目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为贯彻落实文化强势战略，充分展现渭南历史文化、自然风貌、发展活力与文明底色，全方位提升渭南的知名度、美誉度和影响力，计划启动“爱上渭南的100个理由”短视频大赛。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采购包1（“爱上渭南的100个理由”短视频大赛项目）：属于专门面向中小企业采购。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1、主体资格证明文件：供应商应具备独立承担民事责任能力的法人、其他组织或自然人，提供合法有效的统一社会信用代码的营业执照副本或相关证明（自然人提供身份证复印件）</w:t>
      </w:r>
    </w:p>
    <w:p>
      <w:pPr>
        <w:pStyle w:val="null3"/>
      </w:pPr>
      <w:r>
        <w:rPr>
          <w:rFonts w:ascii="仿宋_GB2312" w:hAnsi="仿宋_GB2312" w:cs="仿宋_GB2312" w:eastAsia="仿宋_GB2312"/>
        </w:rPr>
        <w:t>2、具有良好的商业信誉和健全的财务会计制度以及有依法缴纳税收和社会保障资金的良好记录（提供相关证明及材料）：①财务状况报告：提供具有财务审计资质单位出具的 2024 年或2025年度完整的财务审计报告，应当包含报告正文、资产负债表、利润表、现金流量表及所有者权益变动表、附注和会计师事务所营业执照，2 个注册会计师的签字和盖章（成立时间至开标时间资格证明材料不足一年的可提供成立后任意时段的资产负债表）或投标文件递交截止时间前六个月内其基本账户银行出具的资信证明（附基本账户证明）或政府采购信用担保机构出具的投标担保函；②税收缴纳证明：提供投标文件递交截止时间前一年内任意一个月的缴费凭据（依法免税的供应商应提供相关文件证明）；③社会保障资金缴纳证明：提供响应文件递交截止时间前一年内任意一个月的社保缴费凭据或社保机构开具的社会保险参保缴费情况证明（依法不需要缴纳社会保障资金的供应商应提供相关证明）；注：按照陕西省财政厅关于进一步优化政府采购营商环境有关事项的通知（陕财办采〔2023〕4 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null3"/>
      </w:pPr>
      <w:r>
        <w:rPr>
          <w:rFonts w:ascii="仿宋_GB2312" w:hAnsi="仿宋_GB2312" w:cs="仿宋_GB2312" w:eastAsia="仿宋_GB2312"/>
        </w:rPr>
        <w:t>3、具有履行本合同所必需的设备和专业技术能力的说明及承诺：提供具有履行本合同所必需的设备和专业技术能力的说明及承诺（格式自拟，加盖供应商公章）</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5、法定代表人或委托代理人：供应商应授权合法的人员参加投标全过程，其中法定代表人直接参加的，须出具法人身份证，并与营业执照上信息一致。法定代表人授权代表参加投标的，须出具法定代表人授权书、授权代表身份证及递交响应文件截止之日前连续3个月社保缴纳证明</w:t>
      </w:r>
    </w:p>
    <w:p>
      <w:pPr>
        <w:pStyle w:val="null3"/>
      </w:pPr>
      <w:r>
        <w:rPr>
          <w:rFonts w:ascii="仿宋_GB2312" w:hAnsi="仿宋_GB2312" w:cs="仿宋_GB2312" w:eastAsia="仿宋_GB2312"/>
        </w:rPr>
        <w:t>6、企业信誉：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pPr>
      <w:r>
        <w:rPr>
          <w:rFonts w:ascii="仿宋_GB2312" w:hAnsi="仿宋_GB2312" w:cs="仿宋_GB2312" w:eastAsia="仿宋_GB2312"/>
        </w:rPr>
        <w:t>7、竞争性磋商保证金：按规定缴纳竞争性磋商保证金</w:t>
      </w:r>
    </w:p>
    <w:p>
      <w:pPr>
        <w:pStyle w:val="null3"/>
      </w:pPr>
      <w:r>
        <w:rPr>
          <w:rFonts w:ascii="仿宋_GB2312" w:hAnsi="仿宋_GB2312" w:cs="仿宋_GB2312" w:eastAsia="仿宋_GB2312"/>
        </w:rPr>
        <w:t>8、供应商控股关系：单位负责人为同一人或者存在直接控股、管理关系的不同供应商，不得参加同一合同项下的政府采购活动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9、是否接受联合体：本项目不接受联合体投标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中共渭南市委宣传部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临渭区朝阳大街21号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中共渭南市委宣传部经办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13892599242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 计价格【2002】1980号）及《国家发改委关于降低部分建设项目收费标准规范收费行为等有 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中共渭南市委宣传部</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中共渭南市委宣传部</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中共渭南市委宣传部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地址：陕西省渭南市临渭区海兴城南门</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为贯彻落实文化强势战略，充分展现渭南历史文化、自然风貌、发展活力与文明底色，全方位提升渭南的知名度、美誉度和影响力，计划启动“爱上渭南的100个理由”短视频大赛。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爱上渭南的100个理由 短视频大赛项目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标的名称：爱上渭南的100个理由 短视频大赛项目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为充分展现渭南的历史文化、自然风貌、发展活力与文明底色，激发社会各界人士发现渭南之美、传播渭南之韵、共建文明渭南的热情，拟策划举办“爱上渭南的100个理由”短视频大赛。</w:t>
            </w:r>
            <w:r>
              <w:br/>
            </w:r>
            <w:r>
              <w:rPr>
                <w:rFonts w:ascii="仿宋_GB2312" w:hAnsi="仿宋_GB2312" w:cs="仿宋_GB2312" w:eastAsia="仿宋_GB2312"/>
              </w:rPr>
              <w:t xml:space="preserve"> 一、活动背景</w:t>
            </w:r>
            <w:r>
              <w:br/>
            </w:r>
            <w:r>
              <w:rPr>
                <w:rFonts w:ascii="仿宋_GB2312" w:hAnsi="仿宋_GB2312" w:cs="仿宋_GB2312" w:eastAsia="仿宋_GB2312"/>
              </w:rPr>
              <w:t xml:space="preserve"> 本次活动旨在通过大众化、可视化、情感化的传播方式，深度挖掘渭南城市品牌内涵，提升渭南的知名度、美誉度和影响力，汇聚推动高质量发展的强大精神力量。</w:t>
            </w:r>
            <w:r>
              <w:br/>
            </w:r>
            <w:r>
              <w:rPr>
                <w:rFonts w:ascii="仿宋_GB2312" w:hAnsi="仿宋_GB2312" w:cs="仿宋_GB2312" w:eastAsia="仿宋_GB2312"/>
              </w:rPr>
              <w:t xml:space="preserve"> 二、活动主题</w:t>
            </w:r>
            <w:r>
              <w:br/>
            </w:r>
            <w:r>
              <w:rPr>
                <w:rFonts w:ascii="仿宋_GB2312" w:hAnsi="仿宋_GB2312" w:cs="仿宋_GB2312" w:eastAsia="仿宋_GB2312"/>
              </w:rPr>
              <w:t xml:space="preserve"> 主题：爱上渭南的100个理由</w:t>
            </w:r>
            <w:r>
              <w:br/>
            </w:r>
            <w:r>
              <w:rPr>
                <w:rFonts w:ascii="仿宋_GB2312" w:hAnsi="仿宋_GB2312" w:cs="仿宋_GB2312" w:eastAsia="仿宋_GB2312"/>
              </w:rPr>
              <w:t xml:space="preserve"> 内容：鼓励所有参赛者从“历史人文、自然风光、非遗技艺、风味美食、奋斗身影、发展新貌”等多维度全视角，用镜头捕捉最能代表渭南特色、触动个人心灵的短视频画面，阐释独特的“渭南情怀”与“爱上渭南”的理由。</w:t>
            </w:r>
            <w:r>
              <w:br/>
            </w:r>
            <w:r>
              <w:rPr>
                <w:rFonts w:ascii="仿宋_GB2312" w:hAnsi="仿宋_GB2312" w:cs="仿宋_GB2312" w:eastAsia="仿宋_GB2312"/>
              </w:rPr>
              <w:t xml:space="preserve"> 三、参赛对象</w:t>
            </w:r>
            <w:r>
              <w:br/>
            </w:r>
            <w:r>
              <w:rPr>
                <w:rFonts w:ascii="仿宋_GB2312" w:hAnsi="仿宋_GB2312" w:cs="仿宋_GB2312" w:eastAsia="仿宋_GB2312"/>
              </w:rPr>
              <w:t xml:space="preserve"> 面向全社会广泛征集，个人、团队、机构、单位均可参赛。重点鼓励渭南本地市民、在外渭南籍人士、在渭工作学习创业者、来渭游客、网络自媒体创作者、大中专院校学生等群体积极参与。</w:t>
            </w:r>
            <w:r>
              <w:br/>
            </w:r>
            <w:r>
              <w:rPr>
                <w:rFonts w:ascii="仿宋_GB2312" w:hAnsi="仿宋_GB2312" w:cs="仿宋_GB2312" w:eastAsia="仿宋_GB2312"/>
              </w:rPr>
              <w:t xml:space="preserve"> 四、活动时间安排（拟定）</w:t>
            </w:r>
            <w:r>
              <w:br/>
            </w:r>
            <w:r>
              <w:rPr>
                <w:rFonts w:ascii="仿宋_GB2312" w:hAnsi="仿宋_GB2312" w:cs="仿宋_GB2312" w:eastAsia="仿宋_GB2312"/>
              </w:rPr>
              <w:t xml:space="preserve"> 1.大赛启动：2026年6月上旬线上发布“爱上渭南的100个理由”短视频大赛启动。</w:t>
            </w:r>
            <w:r>
              <w:br/>
            </w:r>
            <w:r>
              <w:rPr>
                <w:rFonts w:ascii="仿宋_GB2312" w:hAnsi="仿宋_GB2312" w:cs="仿宋_GB2312" w:eastAsia="仿宋_GB2312"/>
              </w:rPr>
              <w:t xml:space="preserve"> 2.作品征集：2026年6月—2026年9月（共4个月）。</w:t>
            </w:r>
            <w:r>
              <w:br/>
            </w:r>
            <w:r>
              <w:rPr>
                <w:rFonts w:ascii="仿宋_GB2312" w:hAnsi="仿宋_GB2312" w:cs="仿宋_GB2312" w:eastAsia="仿宋_GB2312"/>
              </w:rPr>
              <w:t xml:space="preserve"> 3.专家评审：2026年9月底，成立评审领导小组进行专家评审。</w:t>
            </w:r>
            <w:r>
              <w:br/>
            </w:r>
            <w:r>
              <w:rPr>
                <w:rFonts w:ascii="仿宋_GB2312" w:hAnsi="仿宋_GB2312" w:cs="仿宋_GB2312" w:eastAsia="仿宋_GB2312"/>
              </w:rPr>
              <w:t xml:space="preserve"> 4.结果公示：2026年10月上旬对评选出的短视频进行公示，评选出100个优秀短视频。</w:t>
            </w:r>
            <w:r>
              <w:br/>
            </w:r>
            <w:r>
              <w:rPr>
                <w:rFonts w:ascii="仿宋_GB2312" w:hAnsi="仿宋_GB2312" w:cs="仿宋_GB2312" w:eastAsia="仿宋_GB2312"/>
              </w:rPr>
              <w:t xml:space="preserve"> 5.发布展播：对获奖作品在中央级网络媒体发布，并在抖音、市级各媒体、渭南文明网等主流短视频平台进行全方位展播推介。</w:t>
            </w:r>
            <w:r>
              <w:br/>
            </w:r>
            <w:r>
              <w:rPr>
                <w:rFonts w:ascii="仿宋_GB2312" w:hAnsi="仿宋_GB2312" w:cs="仿宋_GB2312" w:eastAsia="仿宋_GB2312"/>
              </w:rPr>
              <w:t xml:space="preserve"> 五、作品要求</w:t>
            </w:r>
            <w:r>
              <w:br/>
            </w:r>
            <w:r>
              <w:rPr>
                <w:rFonts w:ascii="仿宋_GB2312" w:hAnsi="仿宋_GB2312" w:cs="仿宋_GB2312" w:eastAsia="仿宋_GB2312"/>
              </w:rPr>
              <w:t xml:space="preserve"> 1.内容导向：紧扣主题，内容真实、健康、积极向上，富有创意和感染力。展现渭南正面形象，传递正能量。不得含有违法违规内容。</w:t>
            </w:r>
            <w:r>
              <w:br/>
            </w:r>
            <w:r>
              <w:rPr>
                <w:rFonts w:ascii="仿宋_GB2312" w:hAnsi="仿宋_GB2312" w:cs="仿宋_GB2312" w:eastAsia="仿宋_GB2312"/>
              </w:rPr>
              <w:t xml:space="preserve"> 2.作品形式：短视频。体裁不限，纪实、宣传片、Vlog、动画、情景短剧、音乐MV等均可。</w:t>
            </w:r>
            <w:r>
              <w:br/>
            </w:r>
            <w:r>
              <w:rPr>
                <w:rFonts w:ascii="仿宋_GB2312" w:hAnsi="仿宋_GB2312" w:cs="仿宋_GB2312" w:eastAsia="仿宋_GB2312"/>
              </w:rPr>
              <w:t xml:space="preserve"> 3.技术规格：视频格式为MP4、MOV等通用格式，分辨率不低于1920*1080，画面清晰，声音清楚。时长控制在90秒至180秒以内，提倡精炼。作品须添加中文简体字幕。</w:t>
            </w:r>
            <w:r>
              <w:br/>
            </w:r>
            <w:r>
              <w:rPr>
                <w:rFonts w:ascii="仿宋_GB2312" w:hAnsi="仿宋_GB2312" w:cs="仿宋_GB2312" w:eastAsia="仿宋_GB2312"/>
              </w:rPr>
              <w:t xml:space="preserve"> 4.版权与原创：作品必须为原创，作者拥有完整版权；若使用他人素材（如音乐、图片），需获得合法授权，避免版权纠纷，抄袭作品主办单位将追责；主办单位拥有获奖作品的非商业性公益宣传使用权（包括展播、汇编、文创制作等），不另付稿酬；作者拥有作品署名权，主办单位使用作品时需注明。在报名环节设置“版权承诺书”在线签署，明确违规责任。同步设立版权争议快速处理通道，配备专人对接，降低法律风险。</w:t>
            </w:r>
            <w:r>
              <w:br/>
            </w:r>
            <w:r>
              <w:rPr>
                <w:rFonts w:ascii="仿宋_GB2312" w:hAnsi="仿宋_GB2312" w:cs="仿宋_GB2312" w:eastAsia="仿宋_GB2312"/>
              </w:rPr>
              <w:t xml:space="preserve"> 六、评审与奖项设置</w:t>
            </w:r>
            <w:r>
              <w:br/>
            </w:r>
            <w:r>
              <w:rPr>
                <w:rFonts w:ascii="仿宋_GB2312" w:hAnsi="仿宋_GB2312" w:cs="仿宋_GB2312" w:eastAsia="仿宋_GB2312"/>
              </w:rPr>
              <w:t xml:space="preserve"> 1.评审机制：主办单位对投稿作品进行主题符合性、内容合规性审核后，由评审领导小组，对入围作品进行集中评审，确定最终奖项。</w:t>
            </w:r>
            <w:r>
              <w:br/>
            </w:r>
            <w:r>
              <w:rPr>
                <w:rFonts w:ascii="仿宋_GB2312" w:hAnsi="仿宋_GB2312" w:cs="仿宋_GB2312" w:eastAsia="仿宋_GB2312"/>
              </w:rPr>
              <w:t xml:space="preserve"> 2.奖项设置（拟设）：一等奖1名、二等奖5名、三等奖10名、优秀作品奖84名、优秀组织奖5个，以获奖证书+奖杯+渭南文旅大礼包的方式进行鼓励。</w:t>
            </w:r>
            <w:r>
              <w:br/>
            </w:r>
            <w:r>
              <w:rPr>
                <w:rFonts w:ascii="仿宋_GB2312" w:hAnsi="仿宋_GB2312" w:cs="仿宋_GB2312" w:eastAsia="仿宋_GB2312"/>
              </w:rPr>
              <w:t xml:space="preserve"> 七、宣传推广</w:t>
            </w:r>
            <w:r>
              <w:br/>
            </w:r>
            <w:r>
              <w:rPr>
                <w:rFonts w:ascii="仿宋_GB2312" w:hAnsi="仿宋_GB2312" w:cs="仿宋_GB2312" w:eastAsia="仿宋_GB2312"/>
              </w:rPr>
              <w:t xml:space="preserve"> 联动央级媒体、市级媒体、县级融媒体中心及抖音等新媒体平台想成传播矩阵，广泛宣传推广，全方位提升渭南的知名度、美誉度和影响力。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在项目执行过程中，所有资料（包括不限于后期制作、汇总报告、相关文件资料等）均符合采购人要求。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待项目完成且经甲方验收所有资料符合甲方要求后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需落实的政府采购政策： （1）《财政部 发展改革委 生态环境部 市场监管总局关于调整优化节能产品、环境标志产品政府采购执行机制的通知》（财库〔2019〕9号）； （2）《政府采购促进中小企业发展管理办法》（财库〔2020〕46号）； （3）《财政部司法部关于政府采购支持监狱企业发展有关问题的通知》（财库〔2014〕68号）； （4）《三部门联合发布关于促进残疾人就业政府采购政策的通知》（财库〔2017〕141号）； （5）陕西省财政厅关于印发《陕西省中小企业政府采购信用融资办法》（陕财办采〔2018〕23号）； （6）《关于运用政府采购政策支持乡村产业振兴的通知》（财库〔2021〕19号）； （7）《财政部住房和城乡建设部关于政府采购支持绿色建材促进建筑品质提升试点工作的通知》（财库〔2020〕31号）； （8）《陕西省财政厅关于进一步加强政府绿色采购有关问题的通知》（陕财办采〔2021〕29号）； （9）《财政部关于在政府采购活动中落实平等对待内外资企业有关政策的通知》（财库〔2021〕35号）； （10）《国务院办公厅关于在政府采购中实施本国产品标准及相关政策的通知》（国办发〔2025〕34号）政策； （11）《关于推动解决政府采购异常低价问题的通知》财库〔2026〕2号； （12）其他需要落实的政府采购政策。 （13）若享受以上政策优惠的企业，提供相应声明函或财政部会同有关部门规定的有关证明文件。如有最新颁布的政府采购政策，按最新的文件执行。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关于符合本国产品标准的声明函.docx 服务内容及服务邀请应答表 服务方案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供应商应具备独立承担民事责任能力的法人、其他组织或自然人，提供合法有效的统一社会信用代码的营业执照副本或相关证明（自然人提供身份证复印件）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具有良好的商业信誉和健全的财务会计制度以及有依法缴纳税收和社会保障资金的良好记录（提供相关证明及材料）</w:t>
            </w:r>
          </w:p>
        </w:tc>
        <w:tc>
          <w:tcPr>
            <w:tcW w:type="dxa" w:w="3322"/>
          </w:tcPr>
          <w:p>
            <w:pPr>
              <w:pStyle w:val="null3"/>
            </w:pPr>
            <w:r>
              <w:rPr>
                <w:rFonts w:ascii="仿宋_GB2312" w:hAnsi="仿宋_GB2312" w:cs="仿宋_GB2312" w:eastAsia="仿宋_GB2312"/>
              </w:rPr>
              <w:t>①财务状况报告：提供具有财务审计资质单位出具的 2024 年或2025年度完整的财务审计报告，应当包含报告正文、资产负债表、利润表、现金流量表及所有者权益变动表、附注和会计师事务所营业执照，2 个注册会计师的签字和盖章（成立时间至开标时间资格证明材料不足一年的可提供成立后任意时段的资产负债表）或投标文件递交截止时间前六个月内其基本账户银行出具的资信证明（附基本账户证明）或政府采购信用担保机构出具的投标担保函；②税收缴纳证明：提供投标文件递交截止时间前一年内任意一个月的缴费凭据（依法免税的供应商应提供相关文件证明）；③社会保障资金缴纳证明：提供响应文件递交截止时间前一年内任意一个月的社保缴费凭据或社保机构开具的社会保险参保缴费情况证明（依法不需要缴纳社会保障资金的供应商应提供相关证明）；注：按照陕西省财政厅关于进一步优化政府采购营商环境有关事项的通知（陕财办采〔2023〕4 号）中对供应商参与政府采购活动建立“承诺+信用管理”的准入管理制度要求，以上①②③三项内容若采用承诺制，供应商可根据本招标文件格式要求出具承诺函，成交供应商的承诺函同成交结果一并公示。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法定代表人或委托代理人</w:t>
            </w:r>
          </w:p>
        </w:tc>
        <w:tc>
          <w:tcPr>
            <w:tcW w:type="dxa" w:w="3322"/>
          </w:tcPr>
          <w:p>
            <w:pPr>
              <w:pStyle w:val="null3"/>
            </w:pPr>
            <w:r>
              <w:rPr>
                <w:rFonts w:ascii="仿宋_GB2312" w:hAnsi="仿宋_GB2312" w:cs="仿宋_GB2312" w:eastAsia="仿宋_GB2312"/>
              </w:rPr>
              <w:t>供应商应授权合法的人员参加投标全过程，其中法定代表人直接参加的，须出具法人身份证，并与营业执照上信息一致。法定代表人授权代表参加投标的，须出具法定代表人授权书、授权代表身份证及递交响应文件截止之日前连续3个月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竞争性磋商保证金</w:t>
            </w:r>
          </w:p>
        </w:tc>
        <w:tc>
          <w:tcPr>
            <w:tcW w:type="dxa" w:w="3322"/>
          </w:tcPr>
          <w:p>
            <w:pPr>
              <w:pStyle w:val="null3"/>
            </w:pPr>
            <w:r>
              <w:rPr>
                <w:rFonts w:ascii="仿宋_GB2312" w:hAnsi="仿宋_GB2312" w:cs="仿宋_GB2312" w:eastAsia="仿宋_GB2312"/>
              </w:rPr>
              <w:t>按规定缴纳竞争性磋商保证金</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按照磋商文件要求签字、盖章</w:t>
            </w:r>
          </w:p>
        </w:tc>
        <w:tc>
          <w:tcPr>
            <w:tcW w:type="dxa" w:w="1661"/>
          </w:tcPr>
          <w:p>
            <w:pPr>
              <w:pStyle w:val="null3"/>
            </w:pPr>
            <w:r>
              <w:rPr>
                <w:rFonts w:ascii="仿宋_GB2312" w:hAnsi="仿宋_GB2312" w:cs="仿宋_GB2312" w:eastAsia="仿宋_GB2312"/>
              </w:rPr>
              <w:t>服务分项报价表.docx 关于符合本国产品标准的声明函.docx 服务内容及服务邀请应答表 中小企业声明函 商务应答表 报价表 资格证明文件.docx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只能有一个有效报价，不得提交选择性报价，且报价不超过磋商文件规定的采购预算或最高限价</w:t>
            </w:r>
          </w:p>
        </w:tc>
        <w:tc>
          <w:tcPr>
            <w:tcW w:type="dxa" w:w="1661"/>
          </w:tcPr>
          <w:p>
            <w:pPr>
              <w:pStyle w:val="null3"/>
            </w:pPr>
            <w:r>
              <w:rPr>
                <w:rFonts w:ascii="仿宋_GB2312" w:hAnsi="仿宋_GB2312" w:cs="仿宋_GB2312" w:eastAsia="仿宋_GB2312"/>
              </w:rPr>
              <w:t>响应文件封面 服务分项报价表.docx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响应文件封面 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评审得分相同的，按照最后报价由低到高的顺序推荐。评审得分且最后报价相同的，按照技术指标优劣顺序推荐。评审得分且最后报价且技术指标得分均相同的，由磋商小组无记名投票决定。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1、评审内容：投标人根据本项目特点，提供服务方案。具体包括：①项目整体策划；②活动实施流程；③宣传推广方案；④作品评审方案；⑤人员管理方案；⑥质量保证方案； 2.评审标准：每具有一项得5分，最多得 30分。在此基础上，服务方案中存在缺陷的，每 1 项中每有 1 处扣 1 分，每项最多扣5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1、评审内容：投标人根据本项目特点，提供人员配备。具体包括：①配置清单；②岗位的分配；③团队成员的稳定性及替补机制；④人员组织架构。 2、评审标准：每具有一项得 4 分，最多得 16 分。在此基础上，人员配备中存在缺陷的，每 1 项中每有 1 处扣 1 分，每项最多扣 4 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1、评审内容：投标人根据本项目特点，提供保障方案。具体包括：①实施与风险管控；②成果交付与售后；③本地化服务能力；④安全管理措施。 2、评审标准：每具有一项得4 分，最多得16分。在此基础上，管理措施中存在缺陷的，每 1 项中每有 1 处扣 1 分，每项最多扣4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突发事件处理预案</w:t>
            </w:r>
          </w:p>
        </w:tc>
        <w:tc>
          <w:tcPr>
            <w:tcW w:type="dxa" w:w="2492"/>
          </w:tcPr>
          <w:p>
            <w:pPr>
              <w:pStyle w:val="null3"/>
            </w:pPr>
            <w:r>
              <w:rPr>
                <w:rFonts w:ascii="仿宋_GB2312" w:hAnsi="仿宋_GB2312" w:cs="仿宋_GB2312" w:eastAsia="仿宋_GB2312"/>
              </w:rPr>
              <w:t>1、评审内容：投标人根据本项目特点，提供突发事件处理预案。具体包括：①突发事件应急处理小组及人员分工；②突发事件防范措施；③可能突发的事件及处理方法；④突发事件应急措施。 2、评审标准：每具有一项得3 分，最多得12分。在此基础上，突发事件处理预案中存在缺陷的，每 1 项中每有 1 处扣 1 分，每项最多扣3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2024 年 5月至今类似业绩，每提供 1个得2 分，最多得6分。 注：提供项目合同复印件并加盖供应商公章（内容至少包括签订合同的首页、签字盖章页及采购标的明细页）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