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00" w:lineRule="exact"/>
        <w:rPr>
          <w:rFonts w:hint="eastAsia" w:ascii="仿宋" w:hAnsi="仿宋" w:eastAsia="仿宋" w:cs="仿宋"/>
          <w:b/>
          <w:color w:val="auto"/>
          <w:sz w:val="30"/>
          <w:szCs w:val="30"/>
          <w:lang w:val="en-US" w:eastAsia="zh-CN"/>
        </w:rPr>
      </w:pPr>
      <w:r>
        <w:rPr>
          <w:rFonts w:hint="eastAsia" w:ascii="仿宋" w:hAnsi="仿宋" w:eastAsia="仿宋" w:cs="仿宋"/>
          <w:b/>
          <w:color w:val="auto"/>
          <w:sz w:val="30"/>
          <w:szCs w:val="30"/>
        </w:rPr>
        <w:t>项目编号：HTZB2026-AK-027</w:t>
      </w: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pStyle w:val="20"/>
        <w:adjustRightInd w:val="0"/>
        <w:snapToGrid w:val="0"/>
        <w:spacing w:line="360" w:lineRule="auto"/>
        <w:rPr>
          <w:rFonts w:hint="eastAsia" w:ascii="仿宋" w:hAnsi="仿宋" w:eastAsia="仿宋" w:cs="仿宋"/>
          <w:color w:val="auto"/>
          <w:spacing w:val="4"/>
          <w:sz w:val="42"/>
        </w:rPr>
      </w:pPr>
      <w:bookmarkStart w:id="13" w:name="_GoBack"/>
      <w:bookmarkEnd w:id="13"/>
    </w:p>
    <w:p>
      <w:pPr>
        <w:pStyle w:val="20"/>
        <w:adjustRightInd w:val="0"/>
        <w:snapToGrid w:val="0"/>
        <w:spacing w:line="360" w:lineRule="auto"/>
        <w:rPr>
          <w:rFonts w:hint="eastAsia" w:ascii="仿宋" w:hAnsi="仿宋" w:eastAsia="仿宋" w:cs="仿宋"/>
          <w:color w:val="auto"/>
          <w:spacing w:val="4"/>
          <w:sz w:val="44"/>
          <w:szCs w:val="44"/>
        </w:rPr>
      </w:pPr>
    </w:p>
    <w:p>
      <w:pPr>
        <w:adjustRightInd w:val="0"/>
        <w:snapToGrid w:val="0"/>
        <w:spacing w:line="360" w:lineRule="auto"/>
        <w:jc w:val="center"/>
        <w:rPr>
          <w:rFonts w:hint="eastAsia" w:ascii="仿宋" w:hAnsi="仿宋" w:eastAsia="仿宋" w:cs="仿宋"/>
          <w:b/>
          <w:color w:val="auto"/>
          <w:sz w:val="36"/>
          <w:szCs w:val="36"/>
        </w:rPr>
      </w:pPr>
      <w:bookmarkStart w:id="0" w:name="OLE_LINK2"/>
    </w:p>
    <w:p>
      <w:pPr>
        <w:adjustRightInd w:val="0"/>
        <w:snapToGrid w:val="0"/>
        <w:spacing w:line="360" w:lineRule="auto"/>
        <w:jc w:val="center"/>
        <w:rPr>
          <w:rFonts w:hint="eastAsia" w:ascii="仿宋" w:hAnsi="仿宋" w:eastAsia="仿宋" w:cs="仿宋"/>
          <w:b/>
          <w:color w:val="auto"/>
          <w:sz w:val="36"/>
          <w:szCs w:val="36"/>
        </w:rPr>
      </w:pPr>
    </w:p>
    <w:bookmarkEnd w:id="0"/>
    <w:p>
      <w:pPr>
        <w:widowControl w:val="0"/>
        <w:spacing w:line="360" w:lineRule="auto"/>
        <w:jc w:val="center"/>
        <w:rPr>
          <w:rFonts w:hint="eastAsia" w:ascii="仿宋" w:hAnsi="仿宋" w:eastAsia="仿宋" w:cs="仿宋"/>
          <w:b/>
          <w:color w:val="auto"/>
          <w:sz w:val="44"/>
          <w:szCs w:val="44"/>
          <w:lang w:eastAsia="zh-CN"/>
        </w:rPr>
      </w:pPr>
      <w:r>
        <w:rPr>
          <w:rFonts w:hint="eastAsia" w:ascii="仿宋" w:hAnsi="仿宋" w:eastAsia="仿宋" w:cs="仿宋"/>
          <w:b/>
          <w:color w:val="auto"/>
          <w:sz w:val="44"/>
          <w:szCs w:val="44"/>
          <w:lang w:eastAsia="zh-CN"/>
        </w:rPr>
        <w:t>平利县职业教育中心新校区餐厅改造项目</w:t>
      </w:r>
    </w:p>
    <w:p>
      <w:pPr>
        <w:widowControl w:val="0"/>
        <w:spacing w:line="360" w:lineRule="auto"/>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竞争性磋商文件</w:t>
      </w:r>
    </w:p>
    <w:p>
      <w:pPr>
        <w:adjustRightInd w:val="0"/>
        <w:snapToGrid w:val="0"/>
        <w:spacing w:line="360" w:lineRule="auto"/>
        <w:jc w:val="center"/>
        <w:rPr>
          <w:rFonts w:hint="eastAsia" w:ascii="仿宋" w:hAnsi="仿宋" w:eastAsia="仿宋" w:cs="仿宋"/>
          <w:b/>
          <w:color w:val="auto"/>
          <w:sz w:val="44"/>
          <w:szCs w:val="44"/>
        </w:rPr>
      </w:pPr>
    </w:p>
    <w:p>
      <w:pPr>
        <w:adjustRightInd w:val="0"/>
        <w:snapToGrid w:val="0"/>
        <w:spacing w:line="360" w:lineRule="auto"/>
        <w:jc w:val="center"/>
        <w:rPr>
          <w:rFonts w:hint="eastAsia" w:ascii="仿宋" w:hAnsi="仿宋" w:eastAsia="仿宋" w:cs="仿宋"/>
          <w:b/>
          <w:color w:val="auto"/>
          <w:sz w:val="44"/>
          <w:szCs w:val="44"/>
        </w:rPr>
      </w:pPr>
    </w:p>
    <w:p>
      <w:pPr>
        <w:adjustRightInd w:val="0"/>
        <w:snapToGrid w:val="0"/>
        <w:spacing w:line="360" w:lineRule="auto"/>
        <w:ind w:firstLine="1548" w:firstLineChars="445"/>
        <w:rPr>
          <w:rFonts w:hint="eastAsia" w:ascii="仿宋" w:hAnsi="仿宋" w:eastAsia="仿宋" w:cs="仿宋"/>
          <w:b/>
          <w:color w:val="auto"/>
          <w:spacing w:val="-6"/>
          <w:sz w:val="36"/>
          <w:szCs w:val="36"/>
        </w:rPr>
      </w:pPr>
    </w:p>
    <w:p>
      <w:pPr>
        <w:adjustRightInd w:val="0"/>
        <w:snapToGrid w:val="0"/>
        <w:spacing w:line="360" w:lineRule="auto"/>
        <w:rPr>
          <w:rFonts w:hint="eastAsia" w:ascii="仿宋" w:hAnsi="仿宋" w:eastAsia="仿宋" w:cs="仿宋"/>
          <w:b/>
          <w:color w:val="auto"/>
          <w:sz w:val="30"/>
        </w:rPr>
      </w:pPr>
    </w:p>
    <w:p>
      <w:pPr>
        <w:keepNext w:val="0"/>
        <w:keepLines w:val="0"/>
        <w:pageBreakBefore w:val="0"/>
        <w:widowControl/>
        <w:kinsoku/>
        <w:wordWrap/>
        <w:overflowPunct/>
        <w:topLinePunct w:val="0"/>
        <w:autoSpaceDE/>
        <w:autoSpaceDN/>
        <w:bidi w:val="0"/>
        <w:adjustRightInd/>
        <w:snapToGrid/>
        <w:spacing w:line="480" w:lineRule="auto"/>
        <w:ind w:firstLine="2560" w:firstLineChars="800"/>
        <w:jc w:val="both"/>
        <w:textAlignment w:val="auto"/>
        <w:rPr>
          <w:rFonts w:hint="eastAsia" w:ascii="仿宋" w:hAnsi="仿宋" w:eastAsia="仿宋" w:cs="仿宋"/>
          <w:b/>
          <w:bCs/>
          <w:color w:val="auto"/>
          <w:sz w:val="32"/>
          <w:szCs w:val="20"/>
          <w:lang w:val="en-US" w:eastAsia="zh-CN"/>
        </w:rPr>
      </w:pPr>
    </w:p>
    <w:p>
      <w:pPr>
        <w:keepNext w:val="0"/>
        <w:keepLines w:val="0"/>
        <w:pageBreakBefore w:val="0"/>
        <w:widowControl/>
        <w:kinsoku/>
        <w:wordWrap/>
        <w:overflowPunct/>
        <w:topLinePunct w:val="0"/>
        <w:autoSpaceDE/>
        <w:autoSpaceDN/>
        <w:bidi w:val="0"/>
        <w:adjustRightInd/>
        <w:snapToGrid/>
        <w:spacing w:line="480" w:lineRule="auto"/>
        <w:ind w:firstLine="2560" w:firstLineChars="800"/>
        <w:jc w:val="both"/>
        <w:textAlignment w:val="auto"/>
        <w:rPr>
          <w:rFonts w:hint="eastAsia" w:ascii="仿宋" w:hAnsi="仿宋" w:eastAsia="仿宋" w:cs="仿宋"/>
          <w:b/>
          <w:bCs/>
          <w:color w:val="auto"/>
          <w:sz w:val="32"/>
          <w:szCs w:val="20"/>
        </w:rPr>
      </w:pPr>
      <w:r>
        <w:rPr>
          <w:rFonts w:hint="eastAsia" w:ascii="仿宋" w:hAnsi="仿宋" w:eastAsia="仿宋" w:cs="仿宋"/>
          <w:b/>
          <w:bCs/>
          <w:color w:val="auto"/>
          <w:sz w:val="32"/>
          <w:szCs w:val="20"/>
          <w:lang w:val="en-US" w:eastAsia="zh-CN"/>
        </w:rPr>
        <w:t>采 购 人：平利县职业教育中心</w:t>
      </w:r>
    </w:p>
    <w:p>
      <w:pPr>
        <w:keepNext w:val="0"/>
        <w:keepLines w:val="0"/>
        <w:pageBreakBefore w:val="0"/>
        <w:widowControl/>
        <w:kinsoku/>
        <w:wordWrap/>
        <w:overflowPunct/>
        <w:topLinePunct w:val="0"/>
        <w:autoSpaceDE/>
        <w:autoSpaceDN/>
        <w:bidi w:val="0"/>
        <w:adjustRightInd/>
        <w:snapToGrid/>
        <w:spacing w:line="480" w:lineRule="auto"/>
        <w:ind w:firstLine="2560" w:firstLineChars="800"/>
        <w:jc w:val="both"/>
        <w:textAlignment w:val="auto"/>
        <w:rPr>
          <w:rFonts w:hint="eastAsia" w:ascii="仿宋" w:hAnsi="仿宋" w:eastAsia="仿宋" w:cs="仿宋"/>
          <w:b/>
          <w:color w:val="auto"/>
          <w:sz w:val="32"/>
          <w:szCs w:val="32"/>
          <w:lang w:val="zh-CN"/>
        </w:rPr>
      </w:pPr>
      <w:r>
        <w:rPr>
          <w:rFonts w:hint="eastAsia" w:ascii="仿宋" w:hAnsi="仿宋" w:eastAsia="仿宋" w:cs="仿宋"/>
          <w:b/>
          <w:bCs/>
          <w:color w:val="auto"/>
          <w:sz w:val="32"/>
          <w:szCs w:val="20"/>
          <w:lang w:val="en-US" w:eastAsia="zh-CN"/>
        </w:rPr>
        <w:t>代理机构：宏泰项目管理有限公司</w:t>
      </w:r>
    </w:p>
    <w:p>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仿宋" w:hAnsi="仿宋" w:eastAsia="仿宋" w:cs="仿宋"/>
          <w:b/>
          <w:color w:val="auto"/>
          <w:sz w:val="32"/>
          <w:szCs w:val="32"/>
        </w:rPr>
      </w:pPr>
      <w:r>
        <w:rPr>
          <w:rFonts w:hint="eastAsia" w:ascii="仿宋" w:hAnsi="仿宋" w:eastAsia="仿宋" w:cs="仿宋"/>
          <w:b/>
          <w:color w:val="auto"/>
          <w:sz w:val="32"/>
          <w:szCs w:val="32"/>
          <w:lang w:val="zh-CN"/>
        </w:rPr>
        <w:t>二0二</w:t>
      </w:r>
      <w:r>
        <w:rPr>
          <w:rFonts w:hint="eastAsia" w:ascii="仿宋" w:hAnsi="仿宋" w:eastAsia="仿宋" w:cs="仿宋"/>
          <w:b/>
          <w:color w:val="auto"/>
          <w:sz w:val="32"/>
          <w:szCs w:val="32"/>
          <w:lang w:val="en-US" w:eastAsia="zh-CN"/>
        </w:rPr>
        <w:t>六</w:t>
      </w:r>
      <w:r>
        <w:rPr>
          <w:rFonts w:hint="eastAsia" w:ascii="仿宋" w:hAnsi="仿宋" w:eastAsia="仿宋" w:cs="仿宋"/>
          <w:b/>
          <w:color w:val="auto"/>
          <w:sz w:val="32"/>
          <w:szCs w:val="32"/>
          <w:lang w:val="zh-CN"/>
        </w:rPr>
        <w:t>年</w:t>
      </w:r>
      <w:r>
        <w:rPr>
          <w:rFonts w:hint="eastAsia" w:ascii="仿宋" w:hAnsi="仿宋" w:eastAsia="仿宋" w:cs="仿宋"/>
          <w:b/>
          <w:color w:val="auto"/>
          <w:sz w:val="32"/>
          <w:szCs w:val="32"/>
          <w:lang w:val="en-US" w:eastAsia="zh-CN"/>
        </w:rPr>
        <w:t>十</w:t>
      </w:r>
      <w:r>
        <w:rPr>
          <w:rFonts w:hint="eastAsia" w:ascii="仿宋" w:hAnsi="仿宋" w:eastAsia="仿宋" w:cs="仿宋"/>
          <w:b/>
          <w:color w:val="auto"/>
          <w:sz w:val="32"/>
          <w:szCs w:val="32"/>
          <w:lang w:val="zh-CN"/>
        </w:rPr>
        <w:t>月</w:t>
      </w:r>
    </w:p>
    <w:p>
      <w:pPr>
        <w:ind w:firstLine="3024" w:firstLineChars="945"/>
        <w:rPr>
          <w:rFonts w:hint="eastAsia" w:ascii="仿宋" w:hAnsi="仿宋" w:eastAsia="仿宋" w:cs="仿宋"/>
          <w:b/>
          <w:color w:val="auto"/>
          <w:sz w:val="32"/>
          <w:szCs w:val="32"/>
        </w:rPr>
      </w:pPr>
    </w:p>
    <w:p>
      <w:pPr>
        <w:adjustRightInd w:val="0"/>
        <w:snapToGrid w:val="0"/>
        <w:spacing w:line="600" w:lineRule="exact"/>
        <w:jc w:val="center"/>
        <w:rPr>
          <w:rFonts w:hint="eastAsia" w:ascii="仿宋" w:hAnsi="仿宋" w:eastAsia="仿宋" w:cs="仿宋"/>
          <w:b/>
          <w:color w:val="auto"/>
          <w:sz w:val="44"/>
          <w:szCs w:val="44"/>
        </w:rPr>
      </w:pPr>
    </w:p>
    <w:p>
      <w:pPr>
        <w:adjustRightInd w:val="0"/>
        <w:snapToGrid w:val="0"/>
        <w:spacing w:line="600" w:lineRule="exact"/>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目  录</w:t>
      </w:r>
    </w:p>
    <w:p>
      <w:pPr>
        <w:adjustRightInd w:val="0"/>
        <w:snapToGrid w:val="0"/>
        <w:spacing w:line="600" w:lineRule="exact"/>
        <w:jc w:val="center"/>
        <w:rPr>
          <w:rFonts w:hint="eastAsia" w:ascii="仿宋" w:hAnsi="仿宋" w:eastAsia="仿宋" w:cs="仿宋"/>
          <w:b/>
          <w:color w:val="auto"/>
          <w:sz w:val="30"/>
        </w:rPr>
      </w:pPr>
    </w:p>
    <w:p>
      <w:pPr>
        <w:adjustRightInd w:val="0"/>
        <w:snapToGrid w:val="0"/>
        <w:spacing w:line="360" w:lineRule="auto"/>
        <w:rPr>
          <w:rFonts w:hint="eastAsia" w:ascii="仿宋" w:hAnsi="仿宋" w:eastAsia="仿宋" w:cs="仿宋"/>
          <w:color w:val="auto"/>
          <w:sz w:val="30"/>
          <w:szCs w:val="30"/>
        </w:rPr>
      </w:pPr>
    </w:p>
    <w:p>
      <w:pPr>
        <w:adjustRightInd w:val="0"/>
        <w:snapToGrid w:val="0"/>
        <w:spacing w:line="360" w:lineRule="auto"/>
        <w:ind w:firstLine="2538" w:firstLineChars="846"/>
        <w:rPr>
          <w:rFonts w:hint="eastAsia" w:ascii="仿宋" w:hAnsi="仿宋" w:eastAsia="仿宋" w:cs="仿宋"/>
          <w:b/>
          <w:color w:val="auto"/>
          <w:sz w:val="30"/>
          <w:szCs w:val="30"/>
        </w:rPr>
      </w:pPr>
      <w:r>
        <w:rPr>
          <w:rFonts w:hint="eastAsia" w:ascii="仿宋" w:hAnsi="仿宋" w:eastAsia="仿宋" w:cs="仿宋"/>
          <w:b/>
          <w:color w:val="auto"/>
          <w:sz w:val="30"/>
          <w:szCs w:val="30"/>
        </w:rPr>
        <w:t>第一部分    磋商公告</w:t>
      </w:r>
    </w:p>
    <w:p>
      <w:pPr>
        <w:adjustRightInd w:val="0"/>
        <w:snapToGrid w:val="0"/>
        <w:spacing w:line="360" w:lineRule="auto"/>
        <w:jc w:val="center"/>
        <w:rPr>
          <w:rFonts w:hint="eastAsia" w:ascii="仿宋" w:hAnsi="仿宋" w:eastAsia="仿宋" w:cs="仿宋"/>
          <w:b/>
          <w:color w:val="auto"/>
          <w:sz w:val="30"/>
          <w:szCs w:val="30"/>
        </w:rPr>
      </w:pPr>
    </w:p>
    <w:p>
      <w:pPr>
        <w:adjustRightInd w:val="0"/>
        <w:snapToGrid w:val="0"/>
        <w:spacing w:line="360" w:lineRule="auto"/>
        <w:ind w:firstLine="2538" w:firstLineChars="846"/>
        <w:rPr>
          <w:rFonts w:hint="eastAsia" w:ascii="仿宋" w:hAnsi="仿宋" w:eastAsia="仿宋" w:cs="仿宋"/>
          <w:b/>
          <w:color w:val="auto"/>
          <w:sz w:val="30"/>
          <w:szCs w:val="30"/>
        </w:rPr>
      </w:pPr>
      <w:r>
        <w:rPr>
          <w:rFonts w:hint="eastAsia" w:ascii="仿宋" w:hAnsi="仿宋" w:eastAsia="仿宋" w:cs="仿宋"/>
          <w:b/>
          <w:color w:val="auto"/>
          <w:sz w:val="30"/>
          <w:szCs w:val="30"/>
        </w:rPr>
        <w:t>第二部分    磋商须知</w:t>
      </w:r>
    </w:p>
    <w:p>
      <w:pPr>
        <w:adjustRightInd w:val="0"/>
        <w:snapToGrid w:val="0"/>
        <w:spacing w:line="360" w:lineRule="auto"/>
        <w:jc w:val="center"/>
        <w:rPr>
          <w:rFonts w:hint="eastAsia" w:ascii="仿宋" w:hAnsi="仿宋" w:eastAsia="仿宋" w:cs="仿宋"/>
          <w:b/>
          <w:color w:val="auto"/>
          <w:sz w:val="30"/>
          <w:szCs w:val="30"/>
        </w:rPr>
      </w:pPr>
    </w:p>
    <w:p>
      <w:pPr>
        <w:adjustRightInd w:val="0"/>
        <w:snapToGrid w:val="0"/>
        <w:spacing w:line="360" w:lineRule="auto"/>
        <w:ind w:firstLine="2538" w:firstLineChars="846"/>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第三部分    </w:t>
      </w:r>
      <w:r>
        <w:rPr>
          <w:rFonts w:hint="eastAsia" w:ascii="仿宋" w:hAnsi="仿宋" w:eastAsia="仿宋" w:cs="仿宋"/>
          <w:b/>
          <w:bCs/>
          <w:color w:val="auto"/>
          <w:sz w:val="30"/>
          <w:szCs w:val="30"/>
        </w:rPr>
        <w:t>工程范围及质量验收标准</w:t>
      </w:r>
    </w:p>
    <w:p>
      <w:pPr>
        <w:adjustRightInd w:val="0"/>
        <w:snapToGrid w:val="0"/>
        <w:spacing w:line="360" w:lineRule="auto"/>
        <w:jc w:val="center"/>
        <w:rPr>
          <w:rFonts w:hint="eastAsia" w:ascii="仿宋" w:hAnsi="仿宋" w:eastAsia="仿宋" w:cs="仿宋"/>
          <w:b/>
          <w:color w:val="auto"/>
          <w:sz w:val="30"/>
          <w:szCs w:val="30"/>
        </w:rPr>
      </w:pPr>
    </w:p>
    <w:p>
      <w:pPr>
        <w:adjustRightInd w:val="0"/>
        <w:snapToGrid w:val="0"/>
        <w:spacing w:line="360" w:lineRule="auto"/>
        <w:ind w:firstLine="2538" w:firstLineChars="846"/>
        <w:rPr>
          <w:rFonts w:hint="eastAsia" w:ascii="仿宋" w:hAnsi="仿宋" w:eastAsia="仿宋" w:cs="仿宋"/>
          <w:b/>
          <w:color w:val="auto"/>
          <w:sz w:val="30"/>
          <w:szCs w:val="30"/>
        </w:rPr>
      </w:pPr>
      <w:r>
        <w:rPr>
          <w:rFonts w:hint="eastAsia" w:ascii="仿宋" w:hAnsi="仿宋" w:eastAsia="仿宋" w:cs="仿宋"/>
          <w:b/>
          <w:color w:val="auto"/>
          <w:sz w:val="30"/>
          <w:szCs w:val="30"/>
        </w:rPr>
        <w:t>第四部分    商务要求</w:t>
      </w:r>
    </w:p>
    <w:p>
      <w:pPr>
        <w:adjustRightInd w:val="0"/>
        <w:snapToGrid w:val="0"/>
        <w:spacing w:line="360" w:lineRule="auto"/>
        <w:jc w:val="center"/>
        <w:rPr>
          <w:rFonts w:hint="eastAsia" w:ascii="仿宋" w:hAnsi="仿宋" w:eastAsia="仿宋" w:cs="仿宋"/>
          <w:b/>
          <w:color w:val="auto"/>
          <w:sz w:val="30"/>
          <w:szCs w:val="30"/>
        </w:rPr>
      </w:pPr>
    </w:p>
    <w:p>
      <w:pPr>
        <w:spacing w:line="360" w:lineRule="auto"/>
        <w:ind w:right="-1" w:firstLine="2538" w:firstLineChars="846"/>
        <w:outlineLvl w:val="9"/>
        <w:rPr>
          <w:rFonts w:hint="eastAsia" w:ascii="仿宋" w:hAnsi="仿宋" w:eastAsia="仿宋" w:cs="仿宋"/>
          <w:b/>
          <w:color w:val="auto"/>
          <w:sz w:val="30"/>
          <w:szCs w:val="30"/>
        </w:rPr>
      </w:pPr>
      <w:r>
        <w:rPr>
          <w:rFonts w:hint="eastAsia" w:ascii="仿宋" w:hAnsi="仿宋" w:eastAsia="仿宋" w:cs="仿宋"/>
          <w:b/>
          <w:color w:val="auto"/>
          <w:sz w:val="30"/>
          <w:szCs w:val="30"/>
        </w:rPr>
        <w:t>第五部分    合同主要条款（参考）</w:t>
      </w:r>
    </w:p>
    <w:p>
      <w:pPr>
        <w:spacing w:line="360" w:lineRule="auto"/>
        <w:ind w:right="-1"/>
        <w:jc w:val="center"/>
        <w:outlineLvl w:val="9"/>
        <w:rPr>
          <w:rFonts w:hint="eastAsia" w:ascii="仿宋" w:hAnsi="仿宋" w:eastAsia="仿宋" w:cs="仿宋"/>
          <w:b/>
          <w:color w:val="auto"/>
          <w:sz w:val="30"/>
          <w:szCs w:val="30"/>
        </w:rPr>
      </w:pPr>
    </w:p>
    <w:p>
      <w:pPr>
        <w:spacing w:line="360" w:lineRule="auto"/>
        <w:ind w:right="-1" w:firstLine="2538" w:firstLineChars="846"/>
        <w:outlineLvl w:val="9"/>
        <w:rPr>
          <w:rFonts w:hint="eastAsia" w:ascii="仿宋" w:hAnsi="仿宋" w:eastAsia="仿宋" w:cs="仿宋"/>
          <w:b/>
          <w:color w:val="auto"/>
          <w:sz w:val="30"/>
          <w:szCs w:val="30"/>
        </w:rPr>
      </w:pPr>
      <w:r>
        <w:rPr>
          <w:rFonts w:hint="eastAsia" w:ascii="仿宋" w:hAnsi="仿宋" w:eastAsia="仿宋" w:cs="仿宋"/>
          <w:b/>
          <w:color w:val="auto"/>
          <w:sz w:val="30"/>
          <w:szCs w:val="30"/>
        </w:rPr>
        <w:t>第六部分    磋商响应文件（格式）</w:t>
      </w:r>
    </w:p>
    <w:p>
      <w:pPr>
        <w:spacing w:line="360" w:lineRule="auto"/>
        <w:ind w:firstLine="2835" w:firstLineChars="945"/>
        <w:rPr>
          <w:rFonts w:hint="eastAsia" w:ascii="仿宋" w:hAnsi="仿宋" w:eastAsia="仿宋" w:cs="仿宋"/>
          <w:color w:val="auto"/>
          <w:sz w:val="30"/>
          <w:szCs w:val="30"/>
        </w:rPr>
      </w:pPr>
    </w:p>
    <w:p>
      <w:pPr>
        <w:spacing w:line="360" w:lineRule="auto"/>
        <w:ind w:firstLine="2268" w:firstLineChars="945"/>
        <w:rPr>
          <w:rFonts w:hint="eastAsia" w:ascii="仿宋" w:hAnsi="仿宋" w:eastAsia="仿宋" w:cs="仿宋"/>
          <w:color w:val="auto"/>
        </w:rPr>
      </w:pPr>
    </w:p>
    <w:p>
      <w:pPr>
        <w:spacing w:line="360" w:lineRule="auto"/>
        <w:ind w:firstLine="2268" w:firstLineChars="945"/>
        <w:rPr>
          <w:rFonts w:hint="eastAsia" w:ascii="仿宋" w:hAnsi="仿宋" w:eastAsia="仿宋" w:cs="仿宋"/>
          <w:color w:val="auto"/>
        </w:rPr>
      </w:pPr>
    </w:p>
    <w:p>
      <w:pPr>
        <w:ind w:firstLine="2268" w:firstLineChars="945"/>
        <w:rPr>
          <w:rFonts w:hint="eastAsia" w:ascii="仿宋" w:hAnsi="仿宋" w:eastAsia="仿宋" w:cs="仿宋"/>
          <w:color w:val="auto"/>
        </w:rPr>
      </w:pPr>
    </w:p>
    <w:p>
      <w:pPr>
        <w:ind w:firstLine="2268" w:firstLineChars="945"/>
        <w:rPr>
          <w:rFonts w:hint="eastAsia" w:ascii="仿宋" w:hAnsi="仿宋" w:eastAsia="仿宋" w:cs="仿宋"/>
          <w:color w:val="auto"/>
        </w:rPr>
      </w:pPr>
    </w:p>
    <w:p>
      <w:pPr>
        <w:ind w:firstLine="2268" w:firstLineChars="945"/>
        <w:rPr>
          <w:rFonts w:hint="eastAsia" w:ascii="仿宋" w:hAnsi="仿宋" w:eastAsia="仿宋" w:cs="仿宋"/>
          <w:color w:val="auto"/>
        </w:rPr>
      </w:pPr>
    </w:p>
    <w:p>
      <w:pPr>
        <w:rPr>
          <w:rFonts w:hint="eastAsia" w:ascii="仿宋" w:hAnsi="仿宋" w:eastAsia="仿宋" w:cs="仿宋"/>
          <w:color w:val="auto"/>
        </w:rPr>
      </w:pPr>
    </w:p>
    <w:p>
      <w:pPr>
        <w:keepNext w:val="0"/>
        <w:keepLines w:val="0"/>
        <w:pageBreakBefore w:val="0"/>
        <w:widowControl/>
        <w:kinsoku/>
        <w:wordWrap/>
        <w:overflowPunct/>
        <w:topLinePunct w:val="0"/>
        <w:autoSpaceDE/>
        <w:autoSpaceDN/>
        <w:bidi w:val="0"/>
        <w:spacing w:line="440" w:lineRule="exact"/>
        <w:jc w:val="center"/>
        <w:textAlignment w:val="auto"/>
        <w:outlineLvl w:val="0"/>
        <w:rPr>
          <w:rFonts w:hint="eastAsia" w:ascii="仿宋" w:hAnsi="仿宋" w:eastAsia="仿宋" w:cs="仿宋"/>
          <w:b/>
          <w:color w:val="auto"/>
          <w:sz w:val="36"/>
          <w:szCs w:val="36"/>
        </w:rPr>
      </w:pPr>
    </w:p>
    <w:p>
      <w:pPr>
        <w:keepNext w:val="0"/>
        <w:keepLines w:val="0"/>
        <w:pageBreakBefore w:val="0"/>
        <w:widowControl/>
        <w:kinsoku/>
        <w:wordWrap/>
        <w:overflowPunct/>
        <w:topLinePunct w:val="0"/>
        <w:autoSpaceDE/>
        <w:autoSpaceDN/>
        <w:bidi w:val="0"/>
        <w:spacing w:line="440" w:lineRule="exact"/>
        <w:jc w:val="center"/>
        <w:textAlignment w:val="auto"/>
        <w:outlineLvl w:val="0"/>
        <w:rPr>
          <w:rFonts w:hint="eastAsia" w:ascii="仿宋" w:hAnsi="仿宋" w:eastAsia="仿宋" w:cs="仿宋"/>
          <w:b/>
          <w:color w:val="auto"/>
          <w:sz w:val="36"/>
          <w:szCs w:val="36"/>
        </w:rPr>
      </w:pPr>
    </w:p>
    <w:p>
      <w:pPr>
        <w:keepNext w:val="0"/>
        <w:keepLines w:val="0"/>
        <w:pageBreakBefore w:val="0"/>
        <w:widowControl/>
        <w:kinsoku/>
        <w:wordWrap/>
        <w:overflowPunct/>
        <w:topLinePunct w:val="0"/>
        <w:autoSpaceDE/>
        <w:autoSpaceDN/>
        <w:bidi w:val="0"/>
        <w:spacing w:line="440" w:lineRule="exact"/>
        <w:jc w:val="center"/>
        <w:textAlignment w:val="auto"/>
        <w:outlineLvl w:val="0"/>
        <w:rPr>
          <w:rFonts w:hint="eastAsia" w:ascii="仿宋" w:hAnsi="仿宋" w:eastAsia="仿宋" w:cs="仿宋"/>
          <w:b/>
          <w:color w:val="auto"/>
          <w:sz w:val="36"/>
          <w:szCs w:val="36"/>
        </w:rPr>
      </w:pPr>
      <w:r>
        <w:rPr>
          <w:rFonts w:hint="eastAsia" w:ascii="仿宋" w:hAnsi="仿宋" w:eastAsia="仿宋" w:cs="仿宋"/>
          <w:b/>
          <w:color w:val="auto"/>
          <w:sz w:val="36"/>
          <w:szCs w:val="36"/>
        </w:rPr>
        <w:t>特别提醒</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napToGrid w:val="0"/>
          <w:color w:val="auto"/>
        </w:rPr>
      </w:pPr>
      <w:r>
        <w:rPr>
          <w:rFonts w:hint="eastAsia" w:ascii="仿宋" w:hAnsi="仿宋" w:eastAsia="仿宋" w:cs="仿宋"/>
          <w:b/>
          <w:bCs/>
          <w:snapToGrid w:val="0"/>
          <w:color w:val="auto"/>
        </w:rPr>
        <w:t>1、本项目采用不见面开标系统：电子化投标方式投标，投标人须使用数字认证证书（CA锁）对磋商响应文件进行签章、加密、递交及开标时签到、解密等相关招投标事宜。开标时投标人须携带数字认证证书（CA锁），如因投标人自身原因未正确使用数字认证证书（CA锁）造成无法解密磋商响应文件，按无效投标对待。</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napToGrid w:val="0"/>
          <w:color w:val="auto"/>
        </w:rPr>
      </w:pPr>
      <w:r>
        <w:rPr>
          <w:rFonts w:hint="eastAsia" w:ascii="仿宋" w:hAnsi="仿宋" w:eastAsia="仿宋" w:cs="仿宋"/>
          <w:b/>
          <w:bCs/>
          <w:snapToGrid w:val="0"/>
          <w:color w:val="auto"/>
        </w:rPr>
        <w:t>2、不见面开标系统：打开登录页面网址选择点击右上角“登录”，选择“投标人”身份，插入CA锁，选择新驱动（多CA互认系统）登录，输入密码后，点击“登录”：（http://219.145.206.209/BidOpeningHall/bidopeninghallaction/hall/login），</w:t>
      </w:r>
    </w:p>
    <w:p>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仿宋" w:hAnsi="仿宋" w:eastAsia="仿宋" w:cs="仿宋"/>
          <w:b/>
          <w:bCs/>
          <w:snapToGrid w:val="0"/>
          <w:color w:val="auto"/>
        </w:rPr>
      </w:pPr>
      <w:r>
        <w:rPr>
          <w:rFonts w:hint="eastAsia" w:ascii="仿宋" w:hAnsi="仿宋" w:eastAsia="仿宋" w:cs="仿宋"/>
          <w:b/>
          <w:bCs/>
          <w:snapToGrid w:val="0"/>
          <w:color w:val="auto"/>
        </w:rPr>
        <w:t>投标人登录之后可以看到当前投标人今日开标项目：1、选择要开标的项目，点击进入，页面首先阅读开标流程，点击“我已阅读”进入开标大厅，点击“取消”返回项目列表页面。</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napToGrid w:val="0"/>
          <w:color w:val="auto"/>
        </w:rPr>
      </w:pPr>
      <w:r>
        <w:rPr>
          <w:rFonts w:hint="eastAsia" w:ascii="仿宋" w:hAnsi="仿宋" w:eastAsia="仿宋" w:cs="仿宋"/>
          <w:b/>
          <w:bCs/>
          <w:snapToGrid w:val="0"/>
          <w:color w:val="auto"/>
        </w:rPr>
        <w:t>3、开标签到</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napToGrid w:val="0"/>
          <w:color w:val="auto"/>
        </w:rPr>
      </w:pPr>
      <w:r>
        <w:rPr>
          <w:rFonts w:hint="eastAsia" w:ascii="仿宋" w:hAnsi="仿宋" w:eastAsia="仿宋" w:cs="仿宋"/>
          <w:b/>
          <w:bCs/>
          <w:snapToGrid w:val="0"/>
          <w:color w:val="auto"/>
        </w:rPr>
        <w:t>投标人等待开标时需要签到，等候开标。请在开标前完成签到，开标时间到了之后就不能签到；点击页面上“签到”按钮进行签到，开标前60分钟可以签到。签到成功之后，按钮灰化，无需再次签到，同时第一个座位图右下角出现绿色√。</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napToGrid w:val="0"/>
          <w:color w:val="auto"/>
        </w:rPr>
      </w:pPr>
      <w:r>
        <w:rPr>
          <w:rFonts w:hint="eastAsia" w:ascii="仿宋" w:hAnsi="仿宋" w:eastAsia="仿宋" w:cs="仿宋"/>
          <w:b/>
          <w:bCs/>
          <w:snapToGrid w:val="0"/>
          <w:color w:val="auto"/>
        </w:rPr>
        <w:t xml:space="preserve">4、评审过程中，磋商小组要求供应商提交多轮（最后）磋商报价时，供应商须登录全国公共资源交易平台（陕西省）在交易系统中提交多轮（最后）报价，并用数字认证证书（CA 锁）签章。 </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napToGrid w:val="0"/>
          <w:color w:val="auto"/>
        </w:rPr>
      </w:pPr>
      <w:r>
        <w:rPr>
          <w:rFonts w:hint="eastAsia" w:ascii="仿宋" w:hAnsi="仿宋" w:eastAsia="仿宋" w:cs="仿宋"/>
          <w:b/>
          <w:bCs/>
          <w:snapToGrid w:val="0"/>
          <w:color w:val="auto"/>
        </w:rPr>
        <w:t>5、注意事项</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napToGrid w:val="0"/>
          <w:color w:val="auto"/>
        </w:rPr>
      </w:pPr>
      <w:r>
        <w:rPr>
          <w:rFonts w:hint="eastAsia" w:ascii="仿宋" w:hAnsi="仿宋" w:eastAsia="仿宋" w:cs="仿宋"/>
          <w:b/>
          <w:bCs/>
          <w:snapToGrid w:val="0"/>
          <w:color w:val="auto"/>
        </w:rPr>
        <w:t>（1）为顺利实现不见面开标系统的远程交互，建议投标人配置的软硬件设施有：高配置电脑、高速稳定的网络、电源（不间断）、CA锁、音视频设备（话筒、耳麦、高清摄像头、音响），</w:t>
      </w:r>
      <w:r>
        <w:rPr>
          <w:rFonts w:hint="eastAsia" w:ascii="仿宋" w:hAnsi="仿宋" w:eastAsia="仿宋" w:cs="仿宋"/>
          <w:b/>
          <w:bCs/>
          <w:snapToGrid w:val="0"/>
          <w:color w:val="auto"/>
          <w:u w:val="single"/>
        </w:rPr>
        <w:t>浏览器要求使用IE11浏览器</w:t>
      </w:r>
      <w:r>
        <w:rPr>
          <w:rFonts w:hint="eastAsia" w:ascii="仿宋" w:hAnsi="仿宋" w:eastAsia="仿宋" w:cs="仿宋"/>
          <w:b/>
          <w:bCs/>
          <w:snapToGrid w:val="0"/>
          <w:color w:val="auto"/>
        </w:rPr>
        <w:t>，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napToGrid w:val="0"/>
          <w:color w:val="auto"/>
        </w:rPr>
      </w:pPr>
      <w:r>
        <w:rPr>
          <w:rFonts w:hint="eastAsia" w:ascii="仿宋" w:hAnsi="仿宋" w:eastAsia="仿宋" w:cs="仿宋"/>
          <w:b/>
          <w:bCs/>
          <w:snapToGrid w:val="0"/>
          <w:color w:val="auto"/>
        </w:rPr>
        <w:t>（2）建议投标人在开标前半小时登录不见面开标大厅，并及时签到（开标前60分钟即可签到），遇到问题及时联系客服4009280095。</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napToGrid w:val="0"/>
          <w:color w:val="auto"/>
          <w:szCs w:val="22"/>
        </w:rPr>
      </w:pPr>
      <w:r>
        <w:rPr>
          <w:rFonts w:hint="eastAsia" w:ascii="仿宋" w:hAnsi="仿宋" w:eastAsia="仿宋" w:cs="仿宋"/>
          <w:b/>
          <w:bCs/>
          <w:snapToGrid w:val="0"/>
          <w:color w:val="auto"/>
          <w:szCs w:val="22"/>
        </w:rPr>
        <w:t>（3）投标人需注意CA锁一定要提前准备好，并确保CA锁为制作投标文件的CA锁。</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napToGrid w:val="0"/>
          <w:color w:val="auto"/>
          <w:szCs w:val="22"/>
        </w:rPr>
      </w:pPr>
      <w:r>
        <w:rPr>
          <w:rFonts w:hint="eastAsia" w:ascii="仿宋" w:hAnsi="仿宋" w:eastAsia="仿宋" w:cs="仿宋"/>
          <w:b/>
          <w:bCs/>
          <w:snapToGrid w:val="0"/>
          <w:color w:val="auto"/>
          <w:szCs w:val="22"/>
        </w:rPr>
        <w:t>（4）及时关注右侧公告及互动栏目信息。</w:t>
      </w:r>
    </w:p>
    <w:p>
      <w:pPr>
        <w:pStyle w:val="14"/>
        <w:bidi w:val="0"/>
        <w:rPr>
          <w:rFonts w:hint="eastAsia"/>
        </w:rPr>
      </w:pPr>
    </w:p>
    <w:p>
      <w:pPr>
        <w:pStyle w:val="61"/>
        <w:keepNext w:val="0"/>
        <w:keepLines w:val="0"/>
        <w:pageBreakBefore w:val="0"/>
        <w:numPr>
          <w:ilvl w:val="0"/>
          <w:numId w:val="0"/>
        </w:numPr>
        <w:tabs>
          <w:tab w:val="right" w:pos="4860"/>
        </w:tabs>
        <w:kinsoku/>
        <w:overflowPunct/>
        <w:topLinePunct w:val="0"/>
        <w:autoSpaceDE/>
        <w:autoSpaceDN/>
        <w:bidi w:val="0"/>
        <w:adjustRightInd w:val="0"/>
        <w:snapToGrid w:val="0"/>
        <w:spacing w:line="440" w:lineRule="exact"/>
        <w:jc w:val="center"/>
        <w:textAlignment w:val="auto"/>
        <w:outlineLvl w:val="0"/>
        <w:rPr>
          <w:rFonts w:hint="eastAsia" w:ascii="仿宋" w:hAnsi="仿宋" w:eastAsia="仿宋" w:cs="仿宋"/>
          <w:b/>
          <w:color w:val="auto"/>
          <w:sz w:val="28"/>
          <w:szCs w:val="28"/>
          <w:lang w:eastAsia="zh-CN"/>
        </w:rPr>
      </w:pPr>
    </w:p>
    <w:p>
      <w:pPr>
        <w:pStyle w:val="61"/>
        <w:keepNext w:val="0"/>
        <w:keepLines w:val="0"/>
        <w:pageBreakBefore w:val="0"/>
        <w:numPr>
          <w:ilvl w:val="0"/>
          <w:numId w:val="0"/>
        </w:numPr>
        <w:tabs>
          <w:tab w:val="right" w:pos="4860"/>
        </w:tabs>
        <w:kinsoku/>
        <w:overflowPunct/>
        <w:topLinePunct w:val="0"/>
        <w:autoSpaceDE/>
        <w:autoSpaceDN/>
        <w:bidi w:val="0"/>
        <w:adjustRightInd w:val="0"/>
        <w:snapToGrid w:val="0"/>
        <w:spacing w:line="440" w:lineRule="exact"/>
        <w:jc w:val="center"/>
        <w:textAlignment w:val="auto"/>
        <w:outlineLvl w:val="0"/>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第一部分</w:t>
      </w:r>
      <w:r>
        <w:rPr>
          <w:rFonts w:hint="eastAsia" w:ascii="仿宋" w:hAnsi="仿宋" w:eastAsia="仿宋" w:cs="仿宋"/>
          <w:b/>
          <w:color w:val="auto"/>
          <w:sz w:val="28"/>
          <w:szCs w:val="28"/>
        </w:rPr>
        <w:t xml:space="preserve">  磋商公告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40" w:lineRule="exact"/>
        <w:ind w:left="0" w:right="0"/>
        <w:jc w:val="left"/>
        <w:textAlignment w:val="auto"/>
        <w:rPr>
          <w:rFonts w:hint="eastAsia" w:ascii="仿宋" w:hAnsi="仿宋" w:eastAsia="仿宋" w:cs="仿宋"/>
          <w:b w:val="0"/>
          <w:bCs w:val="0"/>
          <w:color w:val="auto"/>
          <w:sz w:val="24"/>
          <w:szCs w:val="24"/>
        </w:rPr>
      </w:pPr>
      <w:r>
        <w:rPr>
          <w:rStyle w:val="29"/>
          <w:rFonts w:hint="eastAsia" w:ascii="仿宋" w:hAnsi="仿宋" w:eastAsia="仿宋" w:cs="仿宋"/>
          <w:b/>
          <w:bCs/>
          <w:i w:val="0"/>
          <w:iCs w:val="0"/>
          <w:caps w:val="0"/>
          <w:color w:val="auto"/>
          <w:spacing w:val="0"/>
          <w:sz w:val="24"/>
          <w:szCs w:val="24"/>
          <w:shd w:val="clear" w:fill="FFFFFF"/>
        </w:rPr>
        <w:t>项目概况</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新校区餐厅改造项目采购项目的潜在供应商应在全国公共资源交易平台（陕西省 安康市）获取采购文件，并于 2026年10月28日 14时00分 （北京时间）前提交响应文件。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29"/>
          <w:rFonts w:hint="eastAsia" w:ascii="仿宋" w:hAnsi="仿宋" w:eastAsia="仿宋" w:cs="仿宋"/>
          <w:b/>
          <w:bCs/>
          <w:i w:val="0"/>
          <w:iCs w:val="0"/>
          <w:caps w:val="0"/>
          <w:color w:val="auto"/>
          <w:spacing w:val="0"/>
          <w:sz w:val="24"/>
          <w:szCs w:val="24"/>
          <w:shd w:val="clear" w:fill="FFFFFF"/>
        </w:rPr>
        <w:t>一、项目基本情况</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项目编号：HTZB2026-AK-027</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项目名称：新校区餐厅改造项目</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采购方式：竞争性磋商</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预算金额：1,297,241.66元</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采购需求：</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合同包1(平利县职业教育中心新校区餐厅改造项目):</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合同包预算金额：1,297,241.66元</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合同包最高限价：1,297,241.66元</w:t>
      </w:r>
    </w:p>
    <w:tbl>
      <w:tblPr>
        <w:tblStyle w:val="26"/>
        <w:tblW w:w="5454" w:type="pct"/>
        <w:tblInd w:w="-19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27"/>
        <w:gridCol w:w="1871"/>
        <w:gridCol w:w="2571"/>
        <w:gridCol w:w="1298"/>
        <w:gridCol w:w="1749"/>
        <w:gridCol w:w="184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品目号</w:t>
            </w:r>
          </w:p>
        </w:tc>
        <w:tc>
          <w:tcPr>
            <w:tcW w:w="9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品目名称</w:t>
            </w:r>
          </w:p>
        </w:tc>
        <w:tc>
          <w:tcPr>
            <w:tcW w:w="12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采购标的</w:t>
            </w:r>
          </w:p>
        </w:tc>
        <w:tc>
          <w:tcPr>
            <w:tcW w:w="6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数量（单位）</w:t>
            </w:r>
          </w:p>
        </w:tc>
        <w:tc>
          <w:tcPr>
            <w:tcW w:w="8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技术规格、参数及要求</w:t>
            </w:r>
          </w:p>
        </w:tc>
        <w:tc>
          <w:tcPr>
            <w:tcW w:w="9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17" w:hRule="atLeast"/>
        </w:trPr>
        <w:tc>
          <w:tcPr>
            <w:tcW w:w="4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1-1</w:t>
            </w:r>
          </w:p>
        </w:tc>
        <w:tc>
          <w:tcPr>
            <w:tcW w:w="9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其他业务用房施工</w:t>
            </w:r>
          </w:p>
        </w:tc>
        <w:tc>
          <w:tcPr>
            <w:tcW w:w="12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平利县职业教育中心新校区餐厅改造项目</w:t>
            </w:r>
          </w:p>
        </w:tc>
        <w:tc>
          <w:tcPr>
            <w:tcW w:w="6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1(项)</w:t>
            </w:r>
          </w:p>
        </w:tc>
        <w:tc>
          <w:tcPr>
            <w:tcW w:w="8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详见采购文件</w:t>
            </w:r>
          </w:p>
        </w:tc>
        <w:tc>
          <w:tcPr>
            <w:tcW w:w="9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1,297,241.66</w:t>
            </w:r>
          </w:p>
        </w:tc>
      </w:tr>
    </w:tbl>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本合同包不接受联合体投标</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合同履行期限：详见文件。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29"/>
          <w:rFonts w:hint="eastAsia" w:ascii="仿宋" w:hAnsi="仿宋" w:eastAsia="仿宋" w:cs="仿宋"/>
          <w:b/>
          <w:bCs/>
          <w:i w:val="0"/>
          <w:iCs w:val="0"/>
          <w:caps w:val="0"/>
          <w:color w:val="auto"/>
          <w:spacing w:val="0"/>
          <w:sz w:val="24"/>
          <w:szCs w:val="24"/>
          <w:shd w:val="clear" w:fill="FFFFFF"/>
        </w:rPr>
        <w:t>二、申请人的资格要求：</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1.满足《中华人民共和国政府采购法》第二十二条规定;</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2.落实政府采购政策需满足的资格要求：</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合同包1(平利县职业教育中心新校区餐厅改造项目)落实政府采购政策需满足的资格要求如下:</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（1）《政府采购促进中小企业发展管理办法》（财库〔2020〕46号）；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（2）《财政部关于进一步加大政府采购支持中小企业力度的通知》（财库〔2022〕19号）；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（3）陕西省财政厅《关于进一步加强政府绿色采购有关问题的通知》陕财办采〔2021〕29号；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（4）《财政部环保总局关于环境标志产品政府采购实施的意见》（财库〔2006〕90号）；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（5）《财政部国家发展改革委关于印发〈节能产品政府采购实施意见〉的通知》（财库〔2004〕185号）；《国务院办公厅关于建立政府强制采购节能产品制度的通知》（国办发〔2007〕51号）；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（6）《财政部 司法部关于政府采购支持监狱企业发展有关问题的通知》（财库〔2014〕68号）；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（7）《三部门联合发布关于促进残疾人就业政府采购政策的通知》（财库〔2017〕141号）；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（8）陕西省财政厅关于印发《陕西省中小企业政府采购信用融资办法》（陕财办采〔2018〕23号）；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9）财政部、发展改革委、生态环境部、市场监管总局《关于调整优化节能产品环境标志产品政府采购执行机制的通知》（财库〔2019〕9号）；《关于运用政府采购政策支持乡村产业振兴的通知》（财库〔2021〕19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（10）其他需要落实的政府采购政策。</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3.本项目的特定资格要求：</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合同包1(平利县职业教育中心新校区餐厅改造项目)特定资格要求如下:</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（1）具有独立承担民事责任能力的法人或其他组织，并出具合法有效的营业执照或事业单位法人证书等国家规定的相关证明；</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（2）法定代表人授权书及被授权人身份证复印件(法定代表人参加只需提供身份证复印件）；</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3）投标人须具备建筑工程施工总承包三级（含三级）及以上资质，并具有相应的安全生产许可证，拟派项目经理（负责人）须具备建筑工程二级（含二级）及以上注册建造师执业资格和有效的安全生产考核合格证书，且未担任其他在建工程项目的项目经理。 </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4）提供2025年度经审计的财务报告（成立时间提交响应文件截止时间不足一年的可提供成立后任意时段的资产负债表、损益表、现金流量表、所有者权益及附注说明）或开标前六个月内其基本账户银行出具的资信证明；</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（5）提供截止至开标时间前6个月任意一个月的社会保障资金缴存单据或社保机构开具的社会保险参保缴费情况证明，依法不需要缴纳社会保障资金的应提供相关证明文件；</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（6）提供截止至开标时间前6个月任意一个月的纳税证明或完税证明，纳税证明或完税证明上应有代收机构或税务机关的公章，依法免税的应提供相关证明文件；</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（7）参加政府采购活动近三年内，在经营活动中没有重大违法记录声明；</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8）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rPr>
        <w:t>（9）本项目专门面向中小企业采购，供应商需提供《中小企业声明函》；</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（10）本项目不接受联合体投标。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29"/>
          <w:rFonts w:hint="eastAsia" w:ascii="仿宋" w:hAnsi="仿宋" w:eastAsia="仿宋" w:cs="仿宋"/>
          <w:b/>
          <w:bCs/>
          <w:i w:val="0"/>
          <w:iCs w:val="0"/>
          <w:caps w:val="0"/>
          <w:color w:val="auto"/>
          <w:spacing w:val="0"/>
          <w:sz w:val="24"/>
          <w:szCs w:val="24"/>
          <w:shd w:val="clear" w:fill="FFFFFF"/>
        </w:rPr>
        <w:t>三、获取采购文件</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时间： 2026年10月14日 至 2026年10月20日 ，每天上午 09:00:00 至 12:00:00 ，下午 14:00:00 至 18:00:00 （北京时间）</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途径：全国公共资源交易平台（陕西省 安康市）</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lang w:val="en-US" w:eastAsia="zh-CN"/>
        </w:rPr>
      </w:pPr>
      <w:r>
        <w:rPr>
          <w:rFonts w:hint="eastAsia" w:ascii="仿宋" w:hAnsi="仿宋" w:eastAsia="仿宋" w:cs="仿宋"/>
          <w:i w:val="0"/>
          <w:iCs w:val="0"/>
          <w:caps w:val="0"/>
          <w:color w:val="auto"/>
          <w:spacing w:val="0"/>
          <w:sz w:val="24"/>
          <w:szCs w:val="24"/>
          <w:shd w:val="clear" w:fill="FFFFFF"/>
        </w:rPr>
        <w:t>方式：</w:t>
      </w:r>
      <w:r>
        <w:rPr>
          <w:rFonts w:hint="eastAsia" w:ascii="仿宋" w:hAnsi="仿宋" w:eastAsia="仿宋" w:cs="仿宋"/>
          <w:i w:val="0"/>
          <w:iCs w:val="0"/>
          <w:caps w:val="0"/>
          <w:color w:val="auto"/>
          <w:spacing w:val="0"/>
          <w:sz w:val="24"/>
          <w:szCs w:val="24"/>
          <w:shd w:val="clear" w:fill="FFFFFF"/>
          <w:lang w:val="en-US" w:eastAsia="zh-CN"/>
        </w:rPr>
        <w:t>在线获取</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售价： 0元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29"/>
          <w:rFonts w:hint="eastAsia" w:ascii="仿宋" w:hAnsi="仿宋" w:eastAsia="仿宋" w:cs="仿宋"/>
          <w:b/>
          <w:bCs/>
          <w:i w:val="0"/>
          <w:iCs w:val="0"/>
          <w:caps w:val="0"/>
          <w:color w:val="auto"/>
          <w:spacing w:val="0"/>
          <w:sz w:val="24"/>
          <w:szCs w:val="24"/>
          <w:shd w:val="clear" w:fill="FFFFFF"/>
        </w:rPr>
        <w:t>四、响应文件提交</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截止时间： 2026年10月28日 14时00分00秒 （北京时间）</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地点：全国公共资源交易平台（陕西省 安康市）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29"/>
          <w:rFonts w:hint="eastAsia" w:ascii="仿宋" w:hAnsi="仿宋" w:eastAsia="仿宋" w:cs="仿宋"/>
          <w:b/>
          <w:bCs/>
          <w:i w:val="0"/>
          <w:iCs w:val="0"/>
          <w:caps w:val="0"/>
          <w:color w:val="auto"/>
          <w:spacing w:val="0"/>
          <w:sz w:val="24"/>
          <w:szCs w:val="24"/>
          <w:shd w:val="clear" w:fill="FFFFFF"/>
        </w:rPr>
        <w:t>五、开启</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时间： 2026年10月28日 14时00分00秒 （北京时间）</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地点：安康市公共资源交易中心不见面开标大厅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29"/>
          <w:rFonts w:hint="eastAsia" w:ascii="仿宋" w:hAnsi="仿宋" w:eastAsia="仿宋" w:cs="仿宋"/>
          <w:b/>
          <w:bCs/>
          <w:i w:val="0"/>
          <w:iCs w:val="0"/>
          <w:caps w:val="0"/>
          <w:color w:val="auto"/>
          <w:spacing w:val="0"/>
          <w:sz w:val="24"/>
          <w:szCs w:val="24"/>
          <w:shd w:val="clear" w:fill="FFFFFF"/>
        </w:rPr>
        <w:t>六、公告期限</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自本公告发布之日起3个工作日。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29"/>
          <w:rFonts w:hint="eastAsia" w:ascii="仿宋" w:hAnsi="仿宋" w:eastAsia="仿宋" w:cs="仿宋"/>
          <w:b/>
          <w:bCs/>
          <w:i w:val="0"/>
          <w:iCs w:val="0"/>
          <w:caps w:val="0"/>
          <w:color w:val="auto"/>
          <w:spacing w:val="0"/>
          <w:sz w:val="24"/>
          <w:szCs w:val="24"/>
          <w:shd w:val="clear" w:fill="FFFFFF"/>
        </w:rPr>
        <w:t>七、其他补充事宜</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注：1.请供应商按照陕西省财政厅关于政府采购供应商注册登记有关事项的通知中的要求，通过陕西省政府采购网（http://www.ccgp-shaanxi.gov.cn/）注册登记加入陕西省政府采购供应商库；2.使用捆绑省交易平台的CA锁登录电子交易平台，登录安康市公共资源交易中心（http://ak.sxggzyjy.cn/ ），选择有意向的项目点击“我要投标”完善相关信息并在采购文件获取时间内将法人委托书（备注经办人联系电话及电子邮箱）、报名成功回执单、营业执照复印件一套加盖红色鲜章发送至采购代理机构邮箱(3381308375@qq.com)，并联系采购代理机构完成相关流程。3.下载文件：供应商登录安康市公共资源交易中心（http://ak.sxggzyjy.cn/），选择“交易乙方”身份进入投标人界面下载文件，未在规定时间内下载文件的将会影响后续开评标活动，如未进行线上操作，导致无法参与投标的，责任自负。4.本项目采用电子化投标及远程不见面开标方式；电子招标文件技术支持：4009280095、4009980000。</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29"/>
          <w:rFonts w:hint="eastAsia" w:ascii="仿宋" w:hAnsi="仿宋" w:eastAsia="仿宋" w:cs="仿宋"/>
          <w:b/>
          <w:bCs/>
          <w:i w:val="0"/>
          <w:iCs w:val="0"/>
          <w:caps w:val="0"/>
          <w:color w:val="auto"/>
          <w:spacing w:val="0"/>
          <w:sz w:val="24"/>
          <w:szCs w:val="24"/>
          <w:shd w:val="clear" w:fill="FFFFFF"/>
        </w:rPr>
        <w:t>八、对本次招标提出询问，请按以下方式联系。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1.采购人信息</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名称：平利县职业教育中心</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地址：平利县工业园区391号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联系方式：15319852466</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2.采购代理机构信息</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名称：宏泰项目管理有限公司</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地址：平利县城关镇莲花巷19号</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联系方式：18009153148</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3.项目联系方式</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项目联系人：文娅青</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电话：18009153148</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center"/>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lang w:val="en-US" w:eastAsia="zh-CN"/>
        </w:rPr>
        <w:t xml:space="preserve">                                            </w:t>
      </w:r>
      <w:r>
        <w:rPr>
          <w:rFonts w:hint="eastAsia" w:ascii="仿宋" w:hAnsi="仿宋" w:eastAsia="仿宋" w:cs="仿宋"/>
          <w:i w:val="0"/>
          <w:iCs w:val="0"/>
          <w:caps w:val="0"/>
          <w:color w:val="auto"/>
          <w:spacing w:val="0"/>
          <w:sz w:val="24"/>
          <w:szCs w:val="24"/>
          <w:shd w:val="clear" w:fill="FFFFFF"/>
        </w:rPr>
        <w:t>宏泰项目管理有限公司</w:t>
      </w:r>
    </w:p>
    <w:p>
      <w:pPr>
        <w:keepNext w:val="0"/>
        <w:keepLines w:val="0"/>
        <w:pageBreakBefore w:val="0"/>
        <w:widowControl w:val="0"/>
        <w:kinsoku/>
        <w:wordWrap/>
        <w:overflowPunct/>
        <w:topLinePunct w:val="0"/>
        <w:autoSpaceDE/>
        <w:autoSpaceDN/>
        <w:bidi w:val="0"/>
        <w:adjustRightInd/>
        <w:snapToGrid/>
        <w:spacing w:line="440" w:lineRule="exact"/>
        <w:ind w:firstLine="6480" w:firstLineChars="2700"/>
        <w:jc w:val="both"/>
        <w:textAlignment w:val="auto"/>
        <w:rPr>
          <w:rFonts w:hint="eastAsia" w:ascii="仿宋" w:hAnsi="仿宋" w:eastAsia="仿宋" w:cs="仿宋"/>
          <w:color w:val="auto"/>
          <w:kern w:val="2"/>
          <w:sz w:val="24"/>
          <w:szCs w:val="24"/>
          <w:lang w:val="en-US" w:eastAsia="zh-CN"/>
        </w:rPr>
      </w:pPr>
      <w:r>
        <w:rPr>
          <w:rFonts w:hint="eastAsia" w:ascii="仿宋" w:hAnsi="仿宋" w:eastAsia="仿宋" w:cs="仿宋"/>
          <w:i w:val="0"/>
          <w:iCs w:val="0"/>
          <w:caps w:val="0"/>
          <w:color w:val="auto"/>
          <w:spacing w:val="0"/>
          <w:sz w:val="24"/>
          <w:szCs w:val="24"/>
          <w:shd w:val="clear" w:fill="FFFFFF"/>
          <w:lang w:val="en-US" w:eastAsia="zh-CN"/>
        </w:rPr>
        <w:t>2026年10月14日</w:t>
      </w:r>
    </w:p>
    <w:p>
      <w:pPr>
        <w:keepNext w:val="0"/>
        <w:keepLines w:val="0"/>
        <w:pageBreakBefore w:val="0"/>
        <w:widowControl w:val="0"/>
        <w:kinsoku/>
        <w:wordWrap/>
        <w:overflowPunct/>
        <w:topLinePunct w:val="0"/>
        <w:autoSpaceDE/>
        <w:autoSpaceDN/>
        <w:bidi w:val="0"/>
        <w:adjustRightInd/>
        <w:snapToGrid/>
        <w:spacing w:line="30" w:lineRule="atLeast"/>
        <w:jc w:val="both"/>
        <w:textAlignment w:val="auto"/>
        <w:rPr>
          <w:rFonts w:hint="eastAsia" w:ascii="仿宋" w:hAnsi="仿宋" w:eastAsia="仿宋" w:cs="仿宋"/>
          <w:color w:val="auto"/>
          <w:kern w:val="2"/>
          <w:sz w:val="24"/>
          <w:szCs w:val="24"/>
          <w:lang w:val="en-US" w:eastAsia="zh-CN"/>
        </w:rPr>
      </w:pPr>
    </w:p>
    <w:p>
      <w:pPr>
        <w:rPr>
          <w:rFonts w:hint="eastAsia" w:ascii="仿宋" w:hAnsi="仿宋" w:eastAsia="仿宋" w:cs="仿宋"/>
          <w:b/>
          <w:color w:val="auto"/>
          <w:sz w:val="28"/>
          <w:szCs w:val="28"/>
        </w:rPr>
      </w:pP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pPr>
        <w:keepNext w:val="0"/>
        <w:keepLines w:val="0"/>
        <w:pageBreakBefore w:val="0"/>
        <w:widowControl/>
        <w:tabs>
          <w:tab w:val="right" w:pos="4860"/>
        </w:tabs>
        <w:kinsoku/>
        <w:wordWrap/>
        <w:overflowPunct/>
        <w:topLinePunct w:val="0"/>
        <w:autoSpaceDE/>
        <w:autoSpaceDN/>
        <w:bidi w:val="0"/>
        <w:adjustRightInd w:val="0"/>
        <w:snapToGrid w:val="0"/>
        <w:spacing w:line="440" w:lineRule="exact"/>
        <w:jc w:val="center"/>
        <w:textAlignment w:val="auto"/>
        <w:outlineLvl w:val="0"/>
        <w:rPr>
          <w:rFonts w:hint="eastAsia" w:ascii="仿宋" w:hAnsi="仿宋" w:eastAsia="仿宋" w:cs="仿宋"/>
          <w:b/>
          <w:color w:val="auto"/>
          <w:sz w:val="28"/>
          <w:szCs w:val="28"/>
        </w:rPr>
      </w:pPr>
      <w:r>
        <w:rPr>
          <w:rFonts w:hint="eastAsia" w:ascii="仿宋" w:hAnsi="仿宋" w:eastAsia="仿宋" w:cs="仿宋"/>
          <w:b/>
          <w:color w:val="auto"/>
          <w:sz w:val="28"/>
          <w:szCs w:val="28"/>
        </w:rPr>
        <w:t>第二部分  磋商须知</w:t>
      </w:r>
    </w:p>
    <w:p>
      <w:pPr>
        <w:keepNext w:val="0"/>
        <w:keepLines w:val="0"/>
        <w:pageBreakBefore w:val="0"/>
        <w:widowControl/>
        <w:kinsoku/>
        <w:wordWrap/>
        <w:overflowPunct/>
        <w:topLinePunct w:val="0"/>
        <w:autoSpaceDE/>
        <w:autoSpaceDN/>
        <w:bidi w:val="0"/>
        <w:adjustRightInd w:val="0"/>
        <w:snapToGrid w:val="0"/>
        <w:spacing w:line="440" w:lineRule="exact"/>
        <w:textAlignment w:val="auto"/>
        <w:outlineLvl w:val="1"/>
        <w:rPr>
          <w:rFonts w:hint="eastAsia" w:ascii="仿宋" w:hAnsi="仿宋" w:eastAsia="仿宋" w:cs="仿宋"/>
          <w:b/>
          <w:color w:val="auto"/>
        </w:rPr>
      </w:pPr>
      <w:r>
        <w:rPr>
          <w:rFonts w:hint="eastAsia" w:ascii="仿宋" w:hAnsi="仿宋" w:eastAsia="仿宋" w:cs="仿宋"/>
          <w:b/>
          <w:color w:val="auto"/>
          <w:sz w:val="28"/>
          <w:szCs w:val="28"/>
        </w:rPr>
        <w:t>一、总则</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30"/>
        </w:rPr>
      </w:pPr>
      <w:r>
        <w:rPr>
          <w:rFonts w:hint="eastAsia" w:ascii="仿宋" w:hAnsi="仿宋" w:eastAsia="仿宋" w:cs="仿宋"/>
          <w:color w:val="auto"/>
        </w:rPr>
        <w:t>本次采购依据《中华人民共和国政府采购法》、《政府采购竞争性磋商采购方式管理暂行办法》（财库〔2014〕214 号)、《中华人民共和国政府采购法实施条例》</w:t>
      </w:r>
      <w:r>
        <w:rPr>
          <w:rFonts w:hint="eastAsia" w:ascii="仿宋" w:hAnsi="仿宋" w:eastAsia="仿宋" w:cs="仿宋"/>
          <w:color w:val="auto"/>
          <w:lang w:eastAsia="zh-CN"/>
        </w:rPr>
        <w:t>等</w:t>
      </w:r>
      <w:r>
        <w:rPr>
          <w:rFonts w:hint="eastAsia" w:ascii="仿宋" w:hAnsi="仿宋" w:eastAsia="仿宋" w:cs="仿宋"/>
          <w:color w:val="auto"/>
        </w:rPr>
        <w:t>有关法律法规执行。</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1．名词解释</w:t>
      </w:r>
    </w:p>
    <w:p>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hint="eastAsia" w:ascii="仿宋" w:hAnsi="仿宋" w:eastAsia="仿宋" w:cs="仿宋"/>
          <w:color w:val="auto"/>
          <w:lang w:eastAsia="zh-CN"/>
        </w:rPr>
      </w:pPr>
      <w:r>
        <w:rPr>
          <w:rFonts w:hint="eastAsia" w:ascii="仿宋" w:hAnsi="仿宋" w:eastAsia="仿宋" w:cs="仿宋"/>
          <w:color w:val="auto"/>
        </w:rPr>
        <w:t>1.1 采购单位：</w:t>
      </w:r>
      <w:r>
        <w:rPr>
          <w:rFonts w:hint="eastAsia" w:ascii="仿宋" w:hAnsi="仿宋" w:eastAsia="仿宋" w:cs="仿宋"/>
          <w:i w:val="0"/>
          <w:iCs w:val="0"/>
          <w:caps w:val="0"/>
          <w:color w:val="auto"/>
          <w:spacing w:val="0"/>
          <w:sz w:val="24"/>
          <w:szCs w:val="24"/>
          <w:shd w:val="clear" w:fill="FFFFFF"/>
        </w:rPr>
        <w:t>平利县职业教育中心</w:t>
      </w:r>
    </w:p>
    <w:p>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hint="eastAsia" w:ascii="仿宋" w:hAnsi="仿宋" w:eastAsia="仿宋" w:cs="仿宋"/>
          <w:color w:val="auto"/>
          <w:lang w:eastAsia="zh-CN"/>
        </w:rPr>
      </w:pPr>
      <w:r>
        <w:rPr>
          <w:rFonts w:hint="eastAsia" w:ascii="仿宋" w:hAnsi="仿宋" w:eastAsia="仿宋" w:cs="仿宋"/>
          <w:color w:val="auto"/>
        </w:rPr>
        <w:t>1.2 监督机构：</w:t>
      </w:r>
      <w:r>
        <w:rPr>
          <w:rFonts w:hint="eastAsia" w:ascii="仿宋" w:hAnsi="仿宋" w:eastAsia="仿宋" w:cs="仿宋"/>
          <w:color w:val="auto"/>
          <w:lang w:eastAsia="zh-CN"/>
        </w:rPr>
        <w:t>平利县财政局</w:t>
      </w:r>
    </w:p>
    <w:p>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lang w:eastAsia="zh-CN"/>
        </w:rPr>
      </w:pPr>
      <w:r>
        <w:rPr>
          <w:rFonts w:hint="eastAsia" w:ascii="仿宋" w:hAnsi="仿宋" w:eastAsia="仿宋" w:cs="仿宋"/>
          <w:color w:val="auto"/>
        </w:rPr>
        <w:t xml:space="preserve">    1.3 </w:t>
      </w:r>
      <w:r>
        <w:rPr>
          <w:rFonts w:hint="eastAsia" w:ascii="仿宋" w:hAnsi="仿宋" w:eastAsia="仿宋" w:cs="仿宋"/>
          <w:color w:val="auto"/>
          <w:lang w:eastAsia="zh-CN"/>
        </w:rPr>
        <w:t>代理机构</w:t>
      </w:r>
      <w:r>
        <w:rPr>
          <w:rFonts w:hint="eastAsia" w:ascii="仿宋" w:hAnsi="仿宋" w:eastAsia="仿宋" w:cs="仿宋"/>
          <w:color w:val="auto"/>
        </w:rPr>
        <w:t>：</w:t>
      </w:r>
      <w:r>
        <w:rPr>
          <w:rFonts w:hint="eastAsia" w:ascii="仿宋" w:hAnsi="仿宋" w:eastAsia="仿宋" w:cs="仿宋"/>
          <w:color w:val="auto"/>
          <w:lang w:eastAsia="zh-CN"/>
        </w:rPr>
        <w:t>宏泰项目管理有限公司</w:t>
      </w:r>
    </w:p>
    <w:p>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rPr>
      </w:pPr>
      <w:r>
        <w:rPr>
          <w:rFonts w:hint="eastAsia" w:ascii="仿宋" w:hAnsi="仿宋" w:eastAsia="仿宋" w:cs="仿宋"/>
          <w:color w:val="auto"/>
        </w:rPr>
        <w:t xml:space="preserve">    1.4 </w:t>
      </w:r>
      <w:r>
        <w:rPr>
          <w:rFonts w:hint="eastAsia" w:ascii="仿宋" w:hAnsi="仿宋" w:eastAsia="仿宋" w:cs="仿宋"/>
          <w:color w:val="auto"/>
          <w:lang w:eastAsia="zh-CN"/>
        </w:rPr>
        <w:t>竞争性磋商文件</w:t>
      </w:r>
      <w:r>
        <w:rPr>
          <w:rFonts w:hint="eastAsia" w:ascii="仿宋" w:hAnsi="仿宋" w:eastAsia="仿宋" w:cs="仿宋"/>
          <w:color w:val="auto"/>
        </w:rPr>
        <w:t>：磋商文件与磋商响应文件的统称</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2．投标人</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2.1凡是依照《中华人民共和国公司法》注册、具有法人资格、符合《中华人民共和国政府采购法》第二十二条要求具备的条件、并具备国家规定的相关该行业必备资质，有能力提供本次磋商工程和服务的供应商均可投标。</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2.2资质要求：</w:t>
      </w:r>
    </w:p>
    <w:p>
      <w:pPr>
        <w:keepNext w:val="0"/>
        <w:keepLines w:val="0"/>
        <w:pageBreakBefore w:val="0"/>
        <w:widowControl/>
        <w:numPr>
          <w:ilvl w:val="0"/>
          <w:numId w:val="1"/>
        </w:numPr>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i w:val="0"/>
          <w:iCs w:val="0"/>
          <w:caps w:val="0"/>
          <w:color w:val="auto"/>
          <w:spacing w:val="0"/>
          <w:sz w:val="24"/>
          <w:szCs w:val="24"/>
          <w:shd w:val="clear" w:fill="FFFFFF"/>
          <w:lang w:val="en-US" w:eastAsia="zh-CN" w:bidi="ar-SA"/>
        </w:rPr>
      </w:pPr>
      <w:r>
        <w:rPr>
          <w:rFonts w:hint="eastAsia" w:ascii="仿宋" w:hAnsi="仿宋" w:eastAsia="仿宋" w:cs="仿宋"/>
          <w:i w:val="0"/>
          <w:iCs w:val="0"/>
          <w:caps w:val="0"/>
          <w:color w:val="auto"/>
          <w:spacing w:val="0"/>
          <w:sz w:val="24"/>
          <w:szCs w:val="24"/>
          <w:shd w:val="clear" w:fill="FFFFFF"/>
          <w:lang w:val="en-US" w:eastAsia="zh-CN" w:bidi="ar-SA"/>
        </w:rPr>
        <w:t>具有独立承担民事责任能力的法人或其他组织，并出具合法有效的营业执照或事业单位法人证书等国家规定的相关证明；（2）法定代表人授权书及被授权人身份证复印件(法定代表人参加只需提供身份证复印件）；（3）投标人须具备建筑工程施工总承包三级（含三级）及以上资质，并具有相应的安全生产许可证，拟派项目经理（负责人）须具备建筑工程二级（含二级）及以上注册建造师执业资格和有效的安全生产考核合格证书，且未担任其他在建工程项目的项目经理。 （4）提供2025年度经审计的财务报告（成立时间提交响应文件截止时间不足一年的可提供成立后任意时段的资产负债表、损益表、现金流量表、所有者权益及附注说明）或开标前六个月内其基本账户银行出具的资信证明；（5）提供截止至开标时间前6个月任意一个月的社会保障资金缴存单据或社保机构开具的社会保险参保缴费情况证明，依法不需要缴纳社会保障资金的应提供相关证明文件；（6）提供截止至开标时间前6个月任意一个月的纳税证明或完税证明，纳税证明或完税证明上应有代收机构或税务机关的公章，依法免税的应提供相关证明文件；（7）参加政府采购活动近三年内，在经营活动中没有重大违法记录声明；（8）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9）本项目专门面向中小企业采购，供应商需提供《中小企业声明函》；（10）本项目不接受联合体投标。</w:t>
      </w:r>
    </w:p>
    <w:p>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color w:val="auto"/>
        </w:rPr>
      </w:pPr>
      <w:r>
        <w:rPr>
          <w:rFonts w:hint="eastAsia" w:ascii="仿宋" w:hAnsi="仿宋" w:eastAsia="仿宋" w:cs="仿宋"/>
          <w:b w:val="0"/>
          <w:bCs w:val="0"/>
          <w:color w:val="auto"/>
        </w:rPr>
        <w:t>以上内容资质均为必备资质，各供应商应按要求提供复印件加盖供应商红色公章，附在每份磋商响应文件中</w:t>
      </w:r>
      <w:r>
        <w:rPr>
          <w:rFonts w:hint="eastAsia" w:ascii="仿宋" w:hAnsi="仿宋" w:eastAsia="仿宋" w:cs="仿宋"/>
          <w:b w:val="0"/>
          <w:bCs w:val="0"/>
          <w:color w:val="auto"/>
          <w:lang w:eastAsia="zh-CN"/>
        </w:rPr>
        <w:t>，</w:t>
      </w:r>
      <w:r>
        <w:rPr>
          <w:rFonts w:hint="eastAsia" w:ascii="仿宋" w:hAnsi="仿宋" w:eastAsia="仿宋" w:cs="仿宋"/>
          <w:b w:val="0"/>
          <w:bCs w:val="0"/>
          <w:color w:val="auto"/>
        </w:rPr>
        <w:t>不符合磋商文件资质要求的，其磋商响应文件被视为无效标书，取消投标资格。</w:t>
      </w:r>
    </w:p>
    <w:p>
      <w:pPr>
        <w:keepNext w:val="0"/>
        <w:keepLines w:val="0"/>
        <w:pageBreakBefore w:val="0"/>
        <w:widowControl/>
        <w:kinsoku/>
        <w:wordWrap/>
        <w:overflowPunct/>
        <w:topLinePunct w:val="0"/>
        <w:autoSpaceDE/>
        <w:autoSpaceDN/>
        <w:bidi w:val="0"/>
        <w:adjustRightInd w:val="0"/>
        <w:snapToGrid w:val="0"/>
        <w:spacing w:line="440" w:lineRule="exact"/>
        <w:textAlignment w:val="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二、竞争性磋商文件</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color w:val="auto"/>
        </w:rPr>
        <w:t>1．竞争性磋商文件包括目录中所列的六部分，投标人应仔细阅读竞争性磋商文件中所有的事项、格式、条款和规范要求，在竞争性磋商响应文件中对竞争性磋商文件的</w:t>
      </w:r>
    </w:p>
    <w:p>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rPr>
      </w:pPr>
      <w:r>
        <w:rPr>
          <w:rFonts w:hint="eastAsia" w:ascii="仿宋" w:hAnsi="仿宋" w:eastAsia="仿宋" w:cs="仿宋"/>
          <w:color w:val="auto"/>
        </w:rPr>
        <w:t>各方面都作出实质性的响应，按照竞争性磋商文件的要求提交全部资料。</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2．竞争性磋商文件的澄清：任何要求对竞争性磋商文件进行澄清的投标人，均应在磋商响应文件递交截止期3日前以书面形式通知采购</w:t>
      </w:r>
      <w:r>
        <w:rPr>
          <w:rFonts w:hint="eastAsia" w:ascii="仿宋" w:hAnsi="仿宋" w:eastAsia="仿宋" w:cs="仿宋"/>
          <w:color w:val="auto"/>
          <w:lang w:eastAsia="zh-CN"/>
        </w:rPr>
        <w:t>代理机构（邮箱）</w:t>
      </w:r>
      <w:r>
        <w:rPr>
          <w:rFonts w:hint="eastAsia" w:ascii="仿宋" w:hAnsi="仿宋" w:eastAsia="仿宋" w:cs="仿宋"/>
          <w:color w:val="auto"/>
        </w:rPr>
        <w:t>，</w:t>
      </w:r>
      <w:r>
        <w:rPr>
          <w:rFonts w:hint="eastAsia" w:ascii="仿宋" w:hAnsi="仿宋" w:eastAsia="仿宋" w:cs="仿宋"/>
          <w:color w:val="auto"/>
          <w:lang w:eastAsia="zh-CN"/>
        </w:rPr>
        <w:t>采购代理</w:t>
      </w:r>
      <w:r>
        <w:rPr>
          <w:rFonts w:hint="eastAsia" w:ascii="仿宋" w:hAnsi="仿宋" w:eastAsia="仿宋" w:cs="仿宋"/>
          <w:color w:val="auto"/>
        </w:rPr>
        <w:t>机构对供应商所要求澄清的内容以书面形式予以答复。投标人在收到通知后立即以书面形式</w:t>
      </w:r>
      <w:r>
        <w:rPr>
          <w:rFonts w:hint="eastAsia" w:ascii="仿宋" w:hAnsi="仿宋" w:eastAsia="仿宋" w:cs="仿宋"/>
          <w:color w:val="auto"/>
          <w:lang w:eastAsia="zh-CN"/>
        </w:rPr>
        <w:t>（</w:t>
      </w:r>
      <w:r>
        <w:rPr>
          <w:rFonts w:hint="eastAsia" w:ascii="仿宋" w:hAnsi="仿宋" w:eastAsia="仿宋" w:cs="仿宋"/>
          <w:color w:val="auto"/>
        </w:rPr>
        <w:t>电子邮件</w:t>
      </w:r>
      <w:r>
        <w:rPr>
          <w:rFonts w:hint="eastAsia" w:ascii="仿宋" w:hAnsi="仿宋" w:eastAsia="仿宋" w:cs="仿宋"/>
          <w:color w:val="auto"/>
          <w:lang w:eastAsia="zh-CN"/>
        </w:rPr>
        <w:t>）</w:t>
      </w:r>
      <w:r>
        <w:rPr>
          <w:rFonts w:hint="eastAsia" w:ascii="仿宋" w:hAnsi="仿宋" w:eastAsia="仿宋" w:cs="仿宋"/>
          <w:color w:val="auto"/>
        </w:rPr>
        <w:t>予以确认。投标人未在规定的时间内要求对磋商文件澄清和提出疑问的，将视其为无异议。</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3．竞争性磋商文件的修改：</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3.1提交首次响应文件截止之日前，采购人或采购代理机构可以对已发出的磋商文件进行必要的澄清或者修改，澄清或者修改的内容作为磋商文件的组成部分。澄清或者修改的内容可能影响响应文件编制的，采购人或采购代理机构在提交首次响应文件截止时间5日前，以书面形式通知所有获取磋商文件的供应商；不足5日的，采购人或采购代理机构应当顺延提交首次响应文件截止时间。</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3.2竞争性磋商文件的修改以书面形式通知所有投标人，并作为竞争性磋商文件的补充，与其具有同等法律效力。</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3.3采购人或采购代理机构可以视采购具体情况，延长磋商文件提交截止时间和磋商时间，并将变更时间书面通知所有磋商文件收受人。</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4．投标人必须从</w:t>
      </w:r>
      <w:r>
        <w:rPr>
          <w:rFonts w:hint="eastAsia" w:ascii="仿宋" w:hAnsi="仿宋" w:eastAsia="仿宋" w:cs="仿宋"/>
          <w:color w:val="auto"/>
          <w:lang w:eastAsia="zh-CN"/>
        </w:rPr>
        <w:t>安康市公共资源交易平台获得</w:t>
      </w:r>
      <w:r>
        <w:rPr>
          <w:rFonts w:hint="eastAsia" w:ascii="仿宋" w:hAnsi="仿宋" w:eastAsia="仿宋" w:cs="仿宋"/>
          <w:color w:val="auto"/>
        </w:rPr>
        <w:t>文件，投标人自行转让或复制竞争性磋商文件视为无效。文件仅作为本次竞争性磋商使用。</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color w:val="auto"/>
        </w:rPr>
        <w:t>5．本文件的解释权归采购人及代理机构。</w:t>
      </w:r>
    </w:p>
    <w:p>
      <w:pPr>
        <w:keepNext w:val="0"/>
        <w:keepLines w:val="0"/>
        <w:pageBreakBefore w:val="0"/>
        <w:widowControl/>
        <w:kinsoku/>
        <w:wordWrap/>
        <w:overflowPunct/>
        <w:topLinePunct w:val="0"/>
        <w:autoSpaceDE/>
        <w:autoSpaceDN/>
        <w:bidi w:val="0"/>
        <w:adjustRightInd w:val="0"/>
        <w:snapToGrid w:val="0"/>
        <w:spacing w:line="440" w:lineRule="exact"/>
        <w:textAlignment w:val="auto"/>
        <w:outlineLvl w:val="1"/>
        <w:rPr>
          <w:rFonts w:hint="eastAsia" w:ascii="仿宋" w:hAnsi="仿宋" w:eastAsia="仿宋" w:cs="仿宋"/>
          <w:b/>
          <w:color w:val="auto"/>
        </w:rPr>
      </w:pPr>
      <w:r>
        <w:rPr>
          <w:rFonts w:hint="eastAsia" w:ascii="仿宋" w:hAnsi="仿宋" w:eastAsia="仿宋" w:cs="仿宋"/>
          <w:b/>
          <w:color w:val="auto"/>
          <w:sz w:val="28"/>
          <w:szCs w:val="28"/>
        </w:rPr>
        <w:t>三、磋商要求</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1．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做出实质性响应，其磋商将被拒绝。</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2．磋商费用：供应商应承担所有准备和参加磋商有关的全部费用。</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3．磋商响应文件的编制</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磋商响应文件必须根据磋商组织单位发售的磋商文件格式编写，对磋商文件做出实质性响应。具体内容包括：</w:t>
      </w:r>
    </w:p>
    <w:p>
      <w:pPr>
        <w:keepNext w:val="0"/>
        <w:keepLines w:val="0"/>
        <w:pageBreakBefore w:val="0"/>
        <w:kinsoku/>
        <w:wordWrap/>
        <w:overflowPunct/>
        <w:topLinePunct w:val="0"/>
        <w:bidi w:val="0"/>
        <w:adjustRightInd w:val="0"/>
        <w:snapToGrid w:val="0"/>
        <w:spacing w:line="440" w:lineRule="exact"/>
        <w:textAlignment w:val="auto"/>
        <w:rPr>
          <w:rFonts w:hint="eastAsia" w:ascii="仿宋" w:hAnsi="仿宋" w:eastAsia="仿宋" w:cs="仿宋"/>
          <w:color w:val="auto"/>
        </w:rPr>
      </w:pPr>
      <w:r>
        <w:rPr>
          <w:rFonts w:hint="eastAsia" w:ascii="仿宋" w:hAnsi="仿宋" w:eastAsia="仿宋" w:cs="仿宋"/>
          <w:color w:val="auto"/>
        </w:rPr>
        <w:t xml:space="preserve">   （1）按照要求填写的磋商函格式。</w:t>
      </w:r>
    </w:p>
    <w:p>
      <w:pPr>
        <w:keepNext w:val="0"/>
        <w:keepLines w:val="0"/>
        <w:pageBreakBefore w:val="0"/>
        <w:kinsoku/>
        <w:wordWrap/>
        <w:overflowPunct/>
        <w:topLinePunct w:val="0"/>
        <w:bidi w:val="0"/>
        <w:adjustRightInd w:val="0"/>
        <w:snapToGrid w:val="0"/>
        <w:spacing w:line="440" w:lineRule="exact"/>
        <w:textAlignment w:val="auto"/>
        <w:rPr>
          <w:rFonts w:hint="eastAsia" w:ascii="仿宋" w:hAnsi="仿宋" w:eastAsia="仿宋" w:cs="仿宋"/>
          <w:color w:val="auto"/>
        </w:rPr>
      </w:pPr>
      <w:r>
        <w:rPr>
          <w:rFonts w:hint="eastAsia" w:ascii="仿宋" w:hAnsi="仿宋" w:eastAsia="仿宋" w:cs="仿宋"/>
          <w:color w:val="auto"/>
        </w:rPr>
        <w:t xml:space="preserve">   （2）磋商报价表。</w:t>
      </w:r>
    </w:p>
    <w:p>
      <w:pPr>
        <w:keepNext w:val="0"/>
        <w:keepLines w:val="0"/>
        <w:pageBreakBefore w:val="0"/>
        <w:kinsoku/>
        <w:wordWrap/>
        <w:overflowPunct/>
        <w:topLinePunct w:val="0"/>
        <w:bidi w:val="0"/>
        <w:adjustRightInd w:val="0"/>
        <w:snapToGrid w:val="0"/>
        <w:spacing w:line="440" w:lineRule="exact"/>
        <w:textAlignment w:val="auto"/>
        <w:rPr>
          <w:rFonts w:hint="eastAsia" w:ascii="仿宋" w:hAnsi="仿宋" w:eastAsia="仿宋" w:cs="仿宋"/>
          <w:color w:val="auto"/>
        </w:rPr>
      </w:pPr>
      <w:r>
        <w:rPr>
          <w:rFonts w:hint="eastAsia" w:ascii="仿宋" w:hAnsi="仿宋" w:eastAsia="仿宋" w:cs="仿宋"/>
          <w:color w:val="auto"/>
        </w:rPr>
        <w:t xml:space="preserve">   （3）供应商按要求提供的资格证明文件，证明参加磋商的供应商是合格的，成交后</w:t>
      </w:r>
    </w:p>
    <w:p>
      <w:pPr>
        <w:keepNext w:val="0"/>
        <w:keepLines w:val="0"/>
        <w:pageBreakBefore w:val="0"/>
        <w:kinsoku/>
        <w:wordWrap/>
        <w:overflowPunct/>
        <w:topLinePunct w:val="0"/>
        <w:bidi w:val="0"/>
        <w:adjustRightInd w:val="0"/>
        <w:snapToGrid w:val="0"/>
        <w:spacing w:line="440" w:lineRule="exact"/>
        <w:textAlignment w:val="auto"/>
        <w:rPr>
          <w:rFonts w:hint="eastAsia" w:ascii="仿宋" w:hAnsi="仿宋" w:eastAsia="仿宋" w:cs="仿宋"/>
          <w:color w:val="auto"/>
        </w:rPr>
      </w:pPr>
      <w:r>
        <w:rPr>
          <w:rFonts w:hint="eastAsia" w:ascii="仿宋" w:hAnsi="仿宋" w:eastAsia="仿宋" w:cs="仿宋"/>
          <w:color w:val="auto"/>
        </w:rPr>
        <w:t>有能力履行合同，且质量有保证等。</w:t>
      </w:r>
    </w:p>
    <w:p>
      <w:pPr>
        <w:keepNext w:val="0"/>
        <w:keepLines w:val="0"/>
        <w:pageBreakBefore w:val="0"/>
        <w:kinsoku/>
        <w:wordWrap/>
        <w:overflowPunct/>
        <w:topLinePunct w:val="0"/>
        <w:bidi w:val="0"/>
        <w:adjustRightInd w:val="0"/>
        <w:snapToGrid w:val="0"/>
        <w:spacing w:line="440" w:lineRule="exact"/>
        <w:textAlignment w:val="auto"/>
        <w:rPr>
          <w:rFonts w:hint="eastAsia" w:ascii="仿宋" w:hAnsi="仿宋" w:eastAsia="仿宋" w:cs="仿宋"/>
          <w:color w:val="auto"/>
        </w:rPr>
      </w:pPr>
      <w:r>
        <w:rPr>
          <w:rFonts w:hint="eastAsia" w:ascii="仿宋" w:hAnsi="仿宋" w:eastAsia="仿宋" w:cs="仿宋"/>
          <w:color w:val="auto"/>
        </w:rPr>
        <w:t xml:space="preserve">   （4）按要求提供的其它证明文件，证明供应商质量管理体系健全，售后服务有保障，且响应磋商文件的要求。</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4.磋商报价</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rPr>
      </w:pPr>
      <w:r>
        <w:rPr>
          <w:rFonts w:hint="eastAsia" w:ascii="仿宋" w:hAnsi="仿宋" w:eastAsia="仿宋" w:cs="仿宋"/>
          <w:color w:val="auto"/>
        </w:rPr>
        <w:t>（1）磋商报价为投标人完成磋商项目内容的全部合理费用。</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rPr>
      </w:pPr>
      <w:r>
        <w:rPr>
          <w:rFonts w:hint="eastAsia" w:ascii="仿宋" w:hAnsi="仿宋" w:eastAsia="仿宋" w:cs="仿宋"/>
          <w:color w:val="auto"/>
        </w:rPr>
        <w:t>（2）投标人应在磋商响应文件中进行完整报价，在磋商响应文件中的磋商报价表上按要求标明总价、</w:t>
      </w:r>
      <w:r>
        <w:rPr>
          <w:rFonts w:hint="eastAsia" w:ascii="仿宋" w:hAnsi="仿宋" w:eastAsia="仿宋" w:cs="仿宋"/>
          <w:color w:val="auto"/>
          <w:lang w:eastAsia="zh-CN"/>
        </w:rPr>
        <w:t>工期</w:t>
      </w:r>
      <w:r>
        <w:rPr>
          <w:rFonts w:hint="eastAsia" w:ascii="仿宋" w:hAnsi="仿宋" w:eastAsia="仿宋" w:cs="仿宋"/>
          <w:color w:val="auto"/>
        </w:rPr>
        <w:t>等项，任何有选择的报价磋商组织单位不予接受。</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rPr>
      </w:pPr>
      <w:r>
        <w:rPr>
          <w:rFonts w:hint="eastAsia" w:ascii="仿宋" w:hAnsi="仿宋" w:eastAsia="仿宋" w:cs="仿宋"/>
          <w:color w:val="auto"/>
        </w:rPr>
        <w:t>（3）凡因投标人对磋商文件阅读不深、理解不透、误解、疏漏、或因市场行情了解不清造成的后果和风险均由各投标人自负。</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rPr>
      </w:pPr>
      <w:r>
        <w:rPr>
          <w:rFonts w:hint="eastAsia" w:ascii="仿宋" w:hAnsi="仿宋" w:eastAsia="仿宋" w:cs="仿宋"/>
          <w:color w:val="auto"/>
        </w:rPr>
        <w:t>（4）报价货币：人民币。单位：元。</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b/>
          <w:color w:val="auto"/>
          <w:lang w:val="en-US" w:eastAsia="zh-CN"/>
        </w:rPr>
      </w:pPr>
      <w:r>
        <w:rPr>
          <w:rFonts w:hint="eastAsia" w:ascii="仿宋" w:hAnsi="仿宋" w:eastAsia="仿宋" w:cs="仿宋"/>
          <w:color w:val="auto"/>
        </w:rPr>
        <w:t>（5）</w:t>
      </w:r>
      <w:r>
        <w:rPr>
          <w:rFonts w:hint="eastAsia" w:ascii="仿宋" w:hAnsi="仿宋" w:eastAsia="仿宋" w:cs="仿宋"/>
          <w:b/>
          <w:color w:val="auto"/>
        </w:rPr>
        <w:t>本项目</w:t>
      </w:r>
      <w:r>
        <w:rPr>
          <w:rFonts w:hint="eastAsia" w:ascii="仿宋" w:hAnsi="仿宋" w:eastAsia="仿宋" w:cs="仿宋"/>
          <w:b/>
          <w:color w:val="auto"/>
          <w:lang w:eastAsia="zh-CN"/>
        </w:rPr>
        <w:t>最高限价</w:t>
      </w:r>
      <w:r>
        <w:rPr>
          <w:rFonts w:hint="eastAsia" w:ascii="仿宋" w:hAnsi="仿宋" w:eastAsia="仿宋" w:cs="仿宋"/>
          <w:b/>
          <w:color w:val="auto"/>
        </w:rPr>
        <w:t>为</w:t>
      </w:r>
      <w:r>
        <w:rPr>
          <w:rFonts w:hint="eastAsia" w:ascii="仿宋" w:hAnsi="仿宋" w:eastAsia="仿宋" w:cs="仿宋"/>
          <w:b/>
          <w:color w:val="auto"/>
          <w:lang w:val="en-US" w:eastAsia="zh-CN"/>
        </w:rPr>
        <w:t>壹佰贰拾玖万柒仟贰佰肆拾壹元陆角陆分（¥1,297,241.66元），投标报价大于或等于本采购预算则按无效投标处理。</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5．踏勘现场</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5.1 由投标人自行现场踏勘，投标人将需澄清的问题以书面形式提交，代理机构、采购方对投标人提出的问题或现场踏勘的问题进行答复，形成答疑纪要发送投标人。投标人承担踏勘现场所发生的所有费用。</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5.2 采购方和代理机构向投标人提供的有关现场的数据和资料，是现有的能被投标人利用的资料，采购方和代理机构对投标人做出的任何推论、理解和结论均不承担责任。</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5.3 经采购方允许，投标人可为踏勘目的进入项目现场，但投标人不得因此使采购方承担有关的责任和蒙受损失。投标人应承担踏勘现场的责任和风险。</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6．磋商文件的构成和格式</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6.1为了保证远程不见面开标顺利进行，供应商需使用配备音响和拾音设备的电脑提前一小时登录网络开标大厅，相关操作培训请关注（陕西省公共资源交易中心）通知公告栏目，相关操作流程详见全国公共资源交易平台（陕西省）网站【首页.服务指南.下载专区】中的《陕西省公共资源交易政府采购项目远程不见面开标操作手册（供应商版）》。</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6.2投标人应按照第六部分提供的格式编写磋商响应文件，不得缺少磋商文件要求填写的表格或提交的资料，但不限于格式所列部分。</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7．竞争性磋商文件有效期为自磋商之日起九十个日历日，成交供应商的磋商响应文件有效期延长至合同执行完毕。</w:t>
      </w:r>
    </w:p>
    <w:p>
      <w:pPr>
        <w:keepNext w:val="0"/>
        <w:keepLines w:val="0"/>
        <w:pageBreakBefore w:val="0"/>
        <w:kinsoku/>
        <w:wordWrap/>
        <w:overflowPunct/>
        <w:topLinePunct w:val="0"/>
        <w:bidi w:val="0"/>
        <w:adjustRightInd w:val="0"/>
        <w:snapToGrid w:val="0"/>
        <w:spacing w:line="440" w:lineRule="exact"/>
        <w:textAlignment w:val="auto"/>
        <w:outlineLvl w:val="1"/>
        <w:rPr>
          <w:rFonts w:hint="eastAsia" w:ascii="仿宋" w:hAnsi="仿宋" w:eastAsia="仿宋" w:cs="仿宋"/>
          <w:b/>
          <w:color w:val="auto"/>
        </w:rPr>
      </w:pPr>
      <w:r>
        <w:rPr>
          <w:rFonts w:hint="eastAsia" w:ascii="仿宋" w:hAnsi="仿宋" w:eastAsia="仿宋" w:cs="仿宋"/>
          <w:b/>
          <w:color w:val="auto"/>
          <w:sz w:val="28"/>
          <w:szCs w:val="28"/>
        </w:rPr>
        <w:t>四、磋商响应文件</w:t>
      </w:r>
      <w:r>
        <w:rPr>
          <w:rFonts w:hint="eastAsia" w:ascii="仿宋" w:hAnsi="仿宋" w:eastAsia="仿宋" w:cs="仿宋"/>
          <w:b/>
          <w:bCs/>
          <w:color w:val="auto"/>
          <w:sz w:val="28"/>
          <w:szCs w:val="28"/>
        </w:rPr>
        <w:t>的制作和递交</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b/>
          <w:color w:val="auto"/>
          <w:lang w:eastAsia="zh-CN"/>
        </w:rPr>
      </w:pPr>
      <w:r>
        <w:rPr>
          <w:rFonts w:hint="eastAsia" w:ascii="仿宋" w:hAnsi="仿宋" w:eastAsia="仿宋" w:cs="仿宋"/>
          <w:b/>
          <w:color w:val="auto"/>
        </w:rPr>
        <w:t>1.磋商响应文件的</w:t>
      </w:r>
      <w:r>
        <w:rPr>
          <w:rFonts w:hint="eastAsia" w:ascii="仿宋" w:hAnsi="仿宋" w:eastAsia="仿宋" w:cs="仿宋"/>
          <w:b/>
          <w:color w:val="auto"/>
          <w:lang w:eastAsia="zh-CN"/>
        </w:rPr>
        <w:t>要求</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1.1 文件内容均需编制目录和连续页码，目录页码所对应的内容必须与文件内容一致。</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1.2 报价文件必须加盖单位公章，由投标人法定代表人或经正式授权有约束力的授权人代表签字或盖章。</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1.3 报价文件除各供应商对错处做必要修改外，不得行间插字、涂改和增删，如有修改错漏处，必须由供应商法定代表人或其授权人代表签字和盖章。</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1.4报价文件中凡是需要法定代表人签字处必须由法定代表人签署。</w:t>
      </w:r>
    </w:p>
    <w:p>
      <w:pPr>
        <w:keepNext w:val="0"/>
        <w:keepLines w:val="0"/>
        <w:pageBreakBefore w:val="0"/>
        <w:kinsoku/>
        <w:wordWrap/>
        <w:overflowPunct/>
        <w:topLinePunct w:val="0"/>
        <w:bidi w:val="0"/>
        <w:adjustRightInd w:val="0"/>
        <w:snapToGrid w:val="0"/>
        <w:spacing w:line="440" w:lineRule="exact"/>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1.5响应文件不符合上述要求的，均作不合格处理。</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b/>
          <w:color w:val="auto"/>
        </w:rPr>
        <w:t>2.电子版文件的制作</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2.1本项目采用电子投标文件的方式。供应商在投标时须提供电子投标文件。</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 编制电子投标文件时，应使用最新发布的电子招标文件及专用制作工具进行编制。并使用数字认证证书（CA）对电子投标文件进行签署、加密、递交及开标时解密等相关操作。</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电子招标文件下载，供应商登录全国公共资源交易平台（陕西省）网站[电子交易平台-企业端]后，在[我的项目]中点击“项目流程-交易文件下载”下载电子招标文件（*.SXSZF）；注意：该项目如有变更文件，则应点击“项目流程&gt;答疑文件下载”下载更新后的电子招标文件（*.SXSCF），使用旧版电子招标文件制作的电子投标文件，系统将拒绝接收。</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（2）在标桥官网下载新点投标文件制作软件(陕西省公共资源)8.0.0.43.exe，或在投标人登录系统并下载招标文件时，点击下载该投标文件制作软件。软件操作手册详见全国公共资源交易平台（陕西省）网站[</w:t>
      </w:r>
      <w:r>
        <w:rPr>
          <w:rFonts w:hint="eastAsia" w:ascii="仿宋" w:hAnsi="仿宋" w:eastAsia="仿宋" w:cs="仿宋"/>
          <w:color w:val="auto"/>
          <w:sz w:val="24"/>
          <w:szCs w:val="24"/>
          <w:lang w:eastAsia="zh-CN"/>
        </w:rPr>
        <w:t>服务指南</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下载专区</w:t>
      </w:r>
      <w:r>
        <w:rPr>
          <w:rFonts w:hint="eastAsia" w:ascii="仿宋" w:hAnsi="仿宋" w:eastAsia="仿宋" w:cs="仿宋"/>
          <w:color w:val="auto"/>
          <w:sz w:val="24"/>
          <w:szCs w:val="24"/>
        </w:rPr>
        <w:t>]中的《关于陕西省公共资源交易平台多CA互认系统正式上线运行的通知</w:t>
      </w:r>
      <w:r>
        <w:rPr>
          <w:rFonts w:hint="eastAsia" w:ascii="仿宋" w:hAnsi="仿宋" w:eastAsia="仿宋" w:cs="仿宋"/>
          <w:color w:val="auto"/>
          <w:sz w:val="24"/>
          <w:szCs w:val="24"/>
          <w:lang w:val="en-US" w:eastAsia="zh-CN"/>
        </w:rPr>
        <w:t>-附件</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color w:val="auto"/>
          <w:sz w:val="24"/>
          <w:szCs w:val="24"/>
        </w:rPr>
        <w:t>在编制过程中，如有技术性问题，请先翻阅操作手册或致电软件开发商，技术支持热线：4009980000</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4009280095。</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b/>
          <w:color w:val="auto"/>
        </w:rPr>
        <w:t>3.关于响应文件递交与解密</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3.1.文件递交</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3.2文件开启与解密</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本项目采用远程不见面开标方式进行开标、磋商，代理机构在规定的时间和地点组织磋商，</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单位授权代表不到现场参加开标，须自行在各自办公场所，自备电脑在投标截止时间前登录不见面开标大厅，进行远程开标、磋商。</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为顺利实现不见面开标系统的远程交互，建议</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配置的软硬件设施有：高配置电脑、高速稳定的网络、电源（不间断）、CA锁、音视频设备（话筒、耳麦、高清摄像头、音响），</w:t>
      </w:r>
      <w:r>
        <w:rPr>
          <w:rFonts w:hint="eastAsia" w:ascii="仿宋" w:hAnsi="仿宋" w:eastAsia="仿宋" w:cs="仿宋"/>
          <w:b/>
          <w:bCs/>
          <w:color w:val="auto"/>
          <w:sz w:val="24"/>
          <w:szCs w:val="24"/>
        </w:rPr>
        <w:t>浏览器要求使用IE11浏览器，且电脑已经正确安装了陕西省公共资源CA驱动。</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（3）供应商</w:t>
      </w:r>
      <w:r>
        <w:rPr>
          <w:rFonts w:hint="eastAsia" w:ascii="仿宋" w:hAnsi="仿宋" w:eastAsia="仿宋" w:cs="仿宋"/>
          <w:color w:val="auto"/>
          <w:kern w:val="0"/>
          <w:sz w:val="24"/>
          <w:szCs w:val="24"/>
          <w:highlight w:val="none"/>
        </w:rPr>
        <w:t>需注意CA锁一定要提前准备好，并确保CA锁为制作投标文件的CA锁。</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b/>
          <w:bCs/>
          <w:color w:val="auto"/>
          <w:kern w:val="0"/>
          <w:sz w:val="24"/>
          <w:szCs w:val="24"/>
          <w:highlight w:val="none"/>
        </w:rPr>
        <w:t>开标时间到了之后就不能签到，建议</w:t>
      </w:r>
      <w:r>
        <w:rPr>
          <w:rFonts w:hint="eastAsia" w:ascii="仿宋" w:hAnsi="仿宋" w:eastAsia="仿宋" w:cs="仿宋"/>
          <w:b/>
          <w:bCs/>
          <w:color w:val="auto"/>
          <w:kern w:val="0"/>
          <w:sz w:val="24"/>
          <w:szCs w:val="24"/>
          <w:highlight w:val="none"/>
          <w:lang w:eastAsia="zh-CN"/>
        </w:rPr>
        <w:t>供应商</w:t>
      </w:r>
      <w:r>
        <w:rPr>
          <w:rFonts w:hint="eastAsia" w:ascii="仿宋" w:hAnsi="仿宋" w:eastAsia="仿宋" w:cs="仿宋"/>
          <w:b/>
          <w:bCs/>
          <w:color w:val="auto"/>
          <w:kern w:val="0"/>
          <w:sz w:val="24"/>
          <w:szCs w:val="24"/>
          <w:highlight w:val="none"/>
        </w:rPr>
        <w:t>在开标前半小时登录不见面开标大厅，并及时签到（开标前60分钟即可签到</w:t>
      </w:r>
      <w:r>
        <w:rPr>
          <w:rFonts w:hint="eastAsia" w:ascii="仿宋" w:hAnsi="仿宋" w:eastAsia="仿宋" w:cs="仿宋"/>
          <w:b/>
          <w:bCs/>
          <w:color w:val="auto"/>
          <w:kern w:val="0"/>
          <w:sz w:val="24"/>
          <w:szCs w:val="24"/>
          <w:highlight w:val="none"/>
          <w:lang w:eastAsia="zh-CN"/>
        </w:rPr>
        <w:t>，</w:t>
      </w:r>
      <w:r>
        <w:rPr>
          <w:rFonts w:hint="eastAsia" w:ascii="仿宋" w:hAnsi="仿宋" w:eastAsia="仿宋" w:cs="仿宋"/>
          <w:b/>
          <w:bCs/>
          <w:color w:val="auto"/>
          <w:kern w:val="0"/>
          <w:sz w:val="24"/>
          <w:szCs w:val="24"/>
          <w:highlight w:val="none"/>
          <w:lang w:val="en-US" w:eastAsia="zh-CN"/>
        </w:rPr>
        <w:t>网址：</w:t>
      </w:r>
      <w:r>
        <w:rPr>
          <w:rFonts w:hint="eastAsia" w:ascii="仿宋" w:hAnsi="仿宋" w:eastAsia="仿宋" w:cs="仿宋"/>
          <w:b/>
          <w:bCs/>
          <w:snapToGrid w:val="0"/>
          <w:color w:val="auto"/>
          <w:sz w:val="24"/>
        </w:rPr>
        <w:t>http://219.145.206.209/BidOpeningHall/bidopeninghallaction/hall/login</w:t>
      </w:r>
      <w:r>
        <w:rPr>
          <w:rFonts w:hint="eastAsia" w:ascii="仿宋" w:hAnsi="仿宋" w:eastAsia="仿宋" w:cs="仿宋"/>
          <w:b/>
          <w:bCs/>
          <w:color w:val="auto"/>
          <w:kern w:val="0"/>
          <w:sz w:val="24"/>
          <w:szCs w:val="24"/>
          <w:highlight w:val="none"/>
        </w:rPr>
        <w:t>），遇到问题及时联系客服4009280095。</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开标时，供应商须使用电子投标文件加密时所用的数字认证证书（CA 锁）在自备电脑上自行远程解密电子文件，由电子交易系统进行自动唱标。</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 xml:space="preserve">系统默认解密时长为 </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0 分钟，</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需在解密时间规定内完成</w:t>
      </w:r>
      <w:r>
        <w:rPr>
          <w:rFonts w:hint="eastAsia" w:ascii="仿宋" w:hAnsi="仿宋" w:eastAsia="仿宋" w:cs="仿宋"/>
          <w:color w:val="auto"/>
          <w:kern w:val="0"/>
          <w:sz w:val="24"/>
          <w:szCs w:val="24"/>
          <w:highlight w:val="none"/>
          <w:lang w:eastAsia="zh-CN"/>
        </w:rPr>
        <w:t>文件</w:t>
      </w:r>
      <w:r>
        <w:rPr>
          <w:rFonts w:hint="eastAsia" w:ascii="仿宋" w:hAnsi="仿宋" w:eastAsia="仿宋" w:cs="仿宋"/>
          <w:color w:val="auto"/>
          <w:kern w:val="0"/>
          <w:sz w:val="24"/>
          <w:szCs w:val="24"/>
          <w:highlight w:val="none"/>
        </w:rPr>
        <w:t>解密。所有</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解密完成后由</w:t>
      </w:r>
      <w:r>
        <w:rPr>
          <w:rFonts w:hint="eastAsia" w:ascii="仿宋" w:hAnsi="仿宋" w:eastAsia="仿宋" w:cs="仿宋"/>
          <w:color w:val="auto"/>
          <w:kern w:val="0"/>
          <w:sz w:val="24"/>
          <w:szCs w:val="24"/>
          <w:highlight w:val="none"/>
          <w:lang w:eastAsia="zh-CN"/>
        </w:rPr>
        <w:t>工作</w:t>
      </w:r>
      <w:r>
        <w:rPr>
          <w:rFonts w:hint="eastAsia" w:ascii="仿宋" w:hAnsi="仿宋" w:eastAsia="仿宋" w:cs="仿宋"/>
          <w:color w:val="auto"/>
          <w:kern w:val="0"/>
          <w:sz w:val="24"/>
          <w:szCs w:val="24"/>
          <w:highlight w:val="none"/>
        </w:rPr>
        <w:t>人员将响应文件导入开评标系统。</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磋商小组将分别与每位供应商远程进行磋商，请及时关注不见面开播大厅右侧公告及互动栏目信息。</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磋商结束后，供应商在自备电脑上用数字认证证书</w:t>
      </w:r>
      <w:r>
        <w:rPr>
          <w:rFonts w:hint="eastAsia" w:ascii="仿宋" w:hAnsi="仿宋" w:eastAsia="仿宋" w:cs="仿宋"/>
          <w:b/>
          <w:bCs/>
          <w:color w:val="auto"/>
          <w:kern w:val="0"/>
          <w:sz w:val="24"/>
          <w:szCs w:val="24"/>
          <w:highlight w:val="none"/>
        </w:rPr>
        <w:t>（CA主锁）</w:t>
      </w:r>
      <w:r>
        <w:rPr>
          <w:rFonts w:hint="eastAsia" w:ascii="仿宋" w:hAnsi="仿宋" w:eastAsia="仿宋" w:cs="仿宋"/>
          <w:color w:val="auto"/>
          <w:kern w:val="0"/>
          <w:sz w:val="24"/>
          <w:szCs w:val="24"/>
          <w:highlight w:val="none"/>
        </w:rPr>
        <w:t>登陆系统进行二次报价，系统按照评标规则自动排序。</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eastAsia="zh-CN"/>
        </w:rPr>
        <w:t>二次报价网上操作流程：</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a.</w:t>
      </w:r>
      <w:r>
        <w:rPr>
          <w:rFonts w:hint="eastAsia" w:ascii="仿宋" w:hAnsi="仿宋" w:eastAsia="仿宋" w:cs="仿宋"/>
          <w:color w:val="auto"/>
          <w:kern w:val="0"/>
          <w:sz w:val="24"/>
          <w:szCs w:val="24"/>
          <w:highlight w:val="none"/>
          <w:lang w:eastAsia="zh-CN"/>
        </w:rPr>
        <w:t>插入</w:t>
      </w:r>
      <w:r>
        <w:rPr>
          <w:rFonts w:hint="eastAsia" w:ascii="仿宋" w:hAnsi="仿宋" w:eastAsia="仿宋" w:cs="仿宋"/>
          <w:color w:val="auto"/>
          <w:kern w:val="0"/>
          <w:sz w:val="24"/>
          <w:szCs w:val="24"/>
          <w:highlight w:val="none"/>
          <w:lang w:val="en-US" w:eastAsia="zh-CN"/>
        </w:rPr>
        <w:t>CA锁，</w:t>
      </w:r>
      <w:r>
        <w:rPr>
          <w:rFonts w:hint="eastAsia" w:ascii="仿宋" w:hAnsi="仿宋" w:eastAsia="仿宋" w:cs="仿宋"/>
          <w:color w:val="auto"/>
          <w:kern w:val="0"/>
          <w:sz w:val="24"/>
          <w:szCs w:val="24"/>
          <w:highlight w:val="none"/>
          <w:lang w:eastAsia="zh-CN"/>
        </w:rPr>
        <w:t>登录陕西省公共资源交易平台网站（http://www.sxggzyjy.cn/）；</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b.</w:t>
      </w:r>
      <w:r>
        <w:rPr>
          <w:rFonts w:hint="eastAsia" w:ascii="仿宋" w:hAnsi="仿宋" w:eastAsia="仿宋" w:cs="仿宋"/>
          <w:color w:val="auto"/>
          <w:kern w:val="0"/>
          <w:sz w:val="24"/>
          <w:szCs w:val="24"/>
          <w:highlight w:val="none"/>
          <w:lang w:eastAsia="zh-CN"/>
        </w:rPr>
        <w:t>点击右上角我的项目，选择本次开标项目，点击项目流程；</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c.</w:t>
      </w:r>
      <w:r>
        <w:rPr>
          <w:rFonts w:hint="eastAsia" w:ascii="仿宋" w:hAnsi="仿宋" w:eastAsia="仿宋" w:cs="仿宋"/>
          <w:color w:val="auto"/>
          <w:kern w:val="0"/>
          <w:sz w:val="24"/>
          <w:szCs w:val="24"/>
          <w:highlight w:val="none"/>
          <w:lang w:eastAsia="zh-CN"/>
        </w:rPr>
        <w:t>点击网上报价；</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d.</w:t>
      </w:r>
      <w:r>
        <w:rPr>
          <w:rFonts w:hint="eastAsia" w:ascii="仿宋" w:hAnsi="仿宋" w:eastAsia="仿宋" w:cs="仿宋"/>
          <w:color w:val="auto"/>
          <w:kern w:val="0"/>
          <w:sz w:val="24"/>
          <w:szCs w:val="24"/>
          <w:highlight w:val="none"/>
          <w:lang w:eastAsia="zh-CN"/>
        </w:rPr>
        <w:t>报价：点击</w:t>
      </w:r>
      <w:r>
        <w:rPr>
          <w:rFonts w:hint="eastAsia" w:ascii="仿宋" w:hAnsi="仿宋" w:eastAsia="仿宋" w:cs="仿宋"/>
          <w:color w:val="auto"/>
          <w:kern w:val="0"/>
          <w:sz w:val="24"/>
          <w:szCs w:val="24"/>
          <w:highlight w:val="none"/>
        </w:rPr>
        <w:drawing>
          <wp:inline distT="0" distB="0" distL="114300" distR="114300">
            <wp:extent cx="220980" cy="220980"/>
            <wp:effectExtent l="0" t="0" r="7620" b="762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9"/>
                    <a:stretch>
                      <a:fillRect/>
                    </a:stretch>
                  </pic:blipFill>
                  <pic:spPr>
                    <a:xfrm>
                      <a:off x="0" y="0"/>
                      <a:ext cx="220980" cy="220980"/>
                    </a:xfrm>
                    <a:prstGeom prst="rect">
                      <a:avLst/>
                    </a:prstGeom>
                    <a:noFill/>
                    <a:ln>
                      <a:noFill/>
                    </a:ln>
                  </pic:spPr>
                </pic:pic>
              </a:graphicData>
            </a:graphic>
          </wp:inline>
        </w:drawing>
      </w:r>
      <w:r>
        <w:rPr>
          <w:rFonts w:hint="eastAsia" w:ascii="仿宋" w:hAnsi="仿宋" w:eastAsia="仿宋" w:cs="仿宋"/>
          <w:color w:val="auto"/>
          <w:kern w:val="0"/>
          <w:sz w:val="24"/>
          <w:szCs w:val="24"/>
          <w:highlight w:val="none"/>
          <w:lang w:eastAsia="zh-CN"/>
        </w:rPr>
        <w:t>报价，输入金额（注意大小写一致）；</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e.</w:t>
      </w:r>
      <w:r>
        <w:rPr>
          <w:rFonts w:hint="eastAsia" w:ascii="仿宋" w:hAnsi="仿宋" w:eastAsia="仿宋" w:cs="仿宋"/>
          <w:color w:val="auto"/>
          <w:kern w:val="0"/>
          <w:sz w:val="24"/>
          <w:szCs w:val="24"/>
          <w:highlight w:val="none"/>
          <w:lang w:eastAsia="zh-CN"/>
        </w:rPr>
        <w:t>签章查看：点击</w:t>
      </w:r>
      <w:r>
        <w:rPr>
          <w:rFonts w:hint="eastAsia" w:ascii="仿宋" w:hAnsi="仿宋" w:eastAsia="仿宋" w:cs="仿宋"/>
          <w:color w:val="auto"/>
          <w:kern w:val="0"/>
          <w:sz w:val="24"/>
          <w:szCs w:val="24"/>
          <w:highlight w:val="none"/>
        </w:rPr>
        <w:drawing>
          <wp:inline distT="0" distB="0" distL="114300" distR="114300">
            <wp:extent cx="269875" cy="281940"/>
            <wp:effectExtent l="0" t="0" r="15875" b="381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0"/>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仿宋" w:hAnsi="仿宋" w:eastAsia="仿宋" w:cs="仿宋"/>
          <w:color w:val="auto"/>
          <w:kern w:val="0"/>
          <w:sz w:val="24"/>
          <w:szCs w:val="24"/>
          <w:highlight w:val="none"/>
          <w:lang w:eastAsia="zh-CN"/>
        </w:rPr>
        <w:t>，选择单页签章，点击报价表右下角签章；</w:t>
      </w:r>
    </w:p>
    <w:p>
      <w:pPr>
        <w:pStyle w:val="10"/>
        <w:keepNext w:val="0"/>
        <w:keepLines w:val="0"/>
        <w:pageBreakBefore w:val="0"/>
        <w:numPr>
          <w:ilvl w:val="0"/>
          <w:numId w:val="0"/>
        </w:numPr>
        <w:kinsoku/>
        <w:wordWrap/>
        <w:overflowPunct/>
        <w:topLinePunct w:val="0"/>
        <w:autoSpaceDE/>
        <w:autoSpaceDN/>
        <w:bidi w:val="0"/>
        <w:spacing w:line="440" w:lineRule="exact"/>
        <w:ind w:firstLine="240" w:firstLineChars="1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确认无误如图：</w:t>
      </w:r>
      <w:r>
        <w:rPr>
          <w:rFonts w:hint="eastAsia" w:ascii="仿宋" w:hAnsi="仿宋" w:eastAsia="仿宋" w:cs="仿宋"/>
          <w:color w:val="auto"/>
          <w:sz w:val="24"/>
          <w:szCs w:val="24"/>
        </w:rPr>
        <w:drawing>
          <wp:inline distT="0" distB="0" distL="114300" distR="114300">
            <wp:extent cx="4067175" cy="685800"/>
            <wp:effectExtent l="0" t="0" r="9525" b="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11"/>
                    <a:stretch>
                      <a:fillRect/>
                    </a:stretch>
                  </pic:blipFill>
                  <pic:spPr>
                    <a:xfrm>
                      <a:off x="0" y="0"/>
                      <a:ext cx="4067175" cy="685800"/>
                    </a:xfrm>
                    <a:prstGeom prst="rect">
                      <a:avLst/>
                    </a:prstGeom>
                    <a:noFill/>
                    <a:ln>
                      <a:noFill/>
                    </a:ln>
                  </pic:spPr>
                </pic:pic>
              </a:graphicData>
            </a:graphic>
          </wp:inline>
        </w:drawing>
      </w:r>
    </w:p>
    <w:p>
      <w:pPr>
        <w:pStyle w:val="10"/>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sz w:val="24"/>
          <w:szCs w:val="24"/>
          <w:lang w:val="en-US" w:eastAsia="zh-CN"/>
        </w:rPr>
        <w:t>f.</w:t>
      </w:r>
      <w:r>
        <w:rPr>
          <w:rFonts w:hint="eastAsia" w:ascii="仿宋" w:hAnsi="仿宋" w:eastAsia="仿宋" w:cs="仿宋"/>
          <w:color w:val="auto"/>
          <w:sz w:val="24"/>
          <w:szCs w:val="24"/>
          <w:lang w:eastAsia="zh-CN"/>
        </w:rPr>
        <w:t>提交。</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）在</w:t>
      </w:r>
      <w:r>
        <w:rPr>
          <w:rFonts w:hint="eastAsia" w:ascii="仿宋" w:hAnsi="仿宋" w:eastAsia="仿宋" w:cs="仿宋"/>
          <w:color w:val="auto"/>
          <w:kern w:val="0"/>
          <w:sz w:val="24"/>
          <w:szCs w:val="24"/>
          <w:highlight w:val="none"/>
          <w:lang w:eastAsia="zh-CN"/>
        </w:rPr>
        <w:t>开启</w:t>
      </w:r>
      <w:r>
        <w:rPr>
          <w:rFonts w:hint="eastAsia" w:ascii="仿宋" w:hAnsi="仿宋" w:eastAsia="仿宋" w:cs="仿宋"/>
          <w:color w:val="auto"/>
          <w:kern w:val="0"/>
          <w:sz w:val="24"/>
          <w:szCs w:val="24"/>
          <w:highlight w:val="none"/>
        </w:rPr>
        <w:t>环节出现下列情况之一的，其电子投标文件视为无效文件：</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a.供应商拒绝对电子投标文件进行解密的；</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b.因供应商自身原因（如未带CA锁、或所带CA锁与制作电子投标文件使用的CA锁不一致、或沿用旧版招标文件编制投标文件等情形），导致在规定时间内无法解密投</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标文件的；</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c.上传的电子投标文件无法打开的；</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d.政府采购法律法规规定的其他无效情形。</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4</w:t>
      </w:r>
      <w:r>
        <w:rPr>
          <w:rFonts w:hint="eastAsia" w:ascii="仿宋" w:hAnsi="仿宋" w:eastAsia="仿宋" w:cs="仿宋"/>
          <w:b/>
          <w:bCs/>
          <w:color w:val="auto"/>
          <w:kern w:val="0"/>
          <w:sz w:val="24"/>
          <w:szCs w:val="24"/>
          <w:highlight w:val="none"/>
        </w:rPr>
        <w:t>.</w:t>
      </w:r>
      <w:r>
        <w:rPr>
          <w:rFonts w:hint="eastAsia" w:ascii="仿宋" w:hAnsi="仿宋" w:eastAsia="仿宋" w:cs="仿宋"/>
          <w:b/>
          <w:bCs/>
          <w:color w:val="auto"/>
          <w:kern w:val="0"/>
          <w:sz w:val="24"/>
          <w:szCs w:val="24"/>
          <w:highlight w:val="none"/>
          <w:lang w:val="en-US" w:eastAsia="zh-CN"/>
        </w:rPr>
        <w:t>电子版磋商响应文件的修改和撤回</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4.1</w:t>
      </w:r>
      <w:r>
        <w:rPr>
          <w:rFonts w:hint="eastAsia" w:ascii="仿宋" w:hAnsi="仿宋" w:eastAsia="仿宋" w:cs="仿宋"/>
          <w:color w:val="auto"/>
          <w:kern w:val="0"/>
          <w:sz w:val="24"/>
          <w:szCs w:val="24"/>
          <w:highlight w:val="none"/>
        </w:rPr>
        <w:t>在磋商响应文件递交截止期前，供应商可修改或撤回</w:t>
      </w:r>
      <w:r>
        <w:rPr>
          <w:rFonts w:hint="eastAsia" w:ascii="仿宋" w:hAnsi="仿宋" w:eastAsia="仿宋" w:cs="仿宋"/>
          <w:color w:val="auto"/>
          <w:kern w:val="0"/>
          <w:sz w:val="24"/>
          <w:szCs w:val="24"/>
          <w:highlight w:val="none"/>
          <w:lang w:eastAsia="zh-CN"/>
        </w:rPr>
        <w:t>其电子版</w:t>
      </w:r>
      <w:r>
        <w:rPr>
          <w:rFonts w:hint="eastAsia" w:ascii="仿宋" w:hAnsi="仿宋" w:eastAsia="仿宋" w:cs="仿宋"/>
          <w:color w:val="auto"/>
          <w:kern w:val="0"/>
          <w:sz w:val="24"/>
          <w:szCs w:val="24"/>
          <w:highlight w:val="none"/>
        </w:rPr>
        <w:t>磋商响应文件</w:t>
      </w:r>
      <w:r>
        <w:rPr>
          <w:rFonts w:hint="eastAsia" w:ascii="仿宋" w:hAnsi="仿宋" w:eastAsia="仿宋" w:cs="仿宋"/>
          <w:color w:val="auto"/>
          <w:kern w:val="0"/>
          <w:sz w:val="24"/>
          <w:szCs w:val="24"/>
          <w:highlight w:val="none"/>
          <w:lang w:eastAsia="zh-CN"/>
        </w:rPr>
        <w:t>。</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4.2</w:t>
      </w:r>
      <w:r>
        <w:rPr>
          <w:rFonts w:hint="eastAsia" w:ascii="仿宋" w:hAnsi="仿宋" w:eastAsia="仿宋" w:cs="仿宋"/>
          <w:color w:val="auto"/>
          <w:kern w:val="0"/>
          <w:sz w:val="24"/>
          <w:szCs w:val="24"/>
          <w:highlight w:val="none"/>
        </w:rPr>
        <w:t>磋商响应文件递交截止期后，供应商不得对其磋商响应文件做任何修改。</w:t>
      </w:r>
    </w:p>
    <w:p>
      <w:pPr>
        <w:keepNext w:val="0"/>
        <w:keepLines w:val="0"/>
        <w:pageBreakBefore w:val="0"/>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4.3</w:t>
      </w:r>
      <w:r>
        <w:rPr>
          <w:rFonts w:hint="eastAsia" w:ascii="仿宋" w:hAnsi="仿宋" w:eastAsia="仿宋" w:cs="仿宋"/>
          <w:color w:val="auto"/>
          <w:kern w:val="0"/>
          <w:sz w:val="24"/>
          <w:szCs w:val="24"/>
          <w:highlight w:val="none"/>
        </w:rPr>
        <w:t>在磋商响应文件递交截止期后到竞争性磋商文件规定的磋商响应文件有效期满之间的这段时间内，供应商不得撤回其磋商</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否则，按有关规定处罚。</w:t>
      </w:r>
    </w:p>
    <w:p>
      <w:pPr>
        <w:keepNext w:val="0"/>
        <w:keepLines w:val="0"/>
        <w:pageBreakBefore w:val="0"/>
        <w:kinsoku/>
        <w:wordWrap/>
        <w:overflowPunct/>
        <w:topLinePunct w:val="0"/>
        <w:bidi w:val="0"/>
        <w:adjustRightInd w:val="0"/>
        <w:snapToGrid w:val="0"/>
        <w:spacing w:line="440" w:lineRule="exact"/>
        <w:textAlignment w:val="auto"/>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lang w:val="zh-CN"/>
        </w:rPr>
        <w:t>五、磋商小组组成及职责</w:t>
      </w:r>
    </w:p>
    <w:p>
      <w:pPr>
        <w:keepNext w:val="0"/>
        <w:keepLines w:val="0"/>
        <w:pageBreakBefore w:val="0"/>
        <w:widowControl/>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zh-CN"/>
        </w:rPr>
        <w:t>．磋商小组组成：在磋商开始前，组建磋商小组，磋商小组由采购人代表及有关专家组成，</w:t>
      </w:r>
      <w:r>
        <w:rPr>
          <w:rFonts w:hint="eastAsia" w:ascii="仿宋" w:hAnsi="仿宋" w:eastAsia="仿宋" w:cs="仿宋"/>
          <w:color w:val="auto"/>
          <w:kern w:val="0"/>
          <w:sz w:val="24"/>
          <w:szCs w:val="24"/>
          <w:highlight w:val="none"/>
        </w:rPr>
        <w:t>评审专家从政府采购专家库中随机抽取产生</w:t>
      </w:r>
      <w:r>
        <w:rPr>
          <w:rFonts w:hint="eastAsia" w:ascii="仿宋" w:hAnsi="仿宋" w:eastAsia="仿宋" w:cs="仿宋"/>
          <w:color w:val="auto"/>
          <w:kern w:val="0"/>
          <w:sz w:val="24"/>
          <w:szCs w:val="24"/>
          <w:highlight w:val="none"/>
          <w:lang w:val="zh-CN"/>
        </w:rPr>
        <w:t>。</w:t>
      </w:r>
    </w:p>
    <w:p>
      <w:pPr>
        <w:keepNext w:val="0"/>
        <w:keepLines w:val="0"/>
        <w:pageBreakBefore w:val="0"/>
        <w:widowControl/>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lang w:val="zh-CN"/>
        </w:rPr>
        <w:t>磋商小组职责</w:t>
      </w:r>
    </w:p>
    <w:p>
      <w:pPr>
        <w:keepNext w:val="0"/>
        <w:keepLines w:val="0"/>
        <w:pageBreakBefore w:val="0"/>
        <w:widowControl/>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2.1 确认竞争性磋商文件。</w:t>
      </w:r>
    </w:p>
    <w:p>
      <w:pPr>
        <w:keepNext w:val="0"/>
        <w:keepLines w:val="0"/>
        <w:pageBreakBefore w:val="0"/>
        <w:widowControl/>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2.2 确定符合资质条件的供应商参加磋商。</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2.3 审查供应商的响应文件并做出评价。</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2.4 要求供应商解释或者澄清其响应文件。</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2.5 编写评审报告。</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2.6 告知采购人或代理机构在评审过程中发现供应商违法违规行为。</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3．确认磋商文件：磋商小组对磋商文件进行审阅，无异议进行签字确认；有异议进行修改，修改后经采购人确认后，磋商小组确认，以文字形式通知供应商。</w:t>
      </w:r>
    </w:p>
    <w:p>
      <w:pPr>
        <w:keepNext w:val="0"/>
        <w:keepLines w:val="0"/>
        <w:pageBreakBefore w:val="0"/>
        <w:widowControl/>
        <w:kinsoku/>
        <w:wordWrap/>
        <w:overflowPunct/>
        <w:topLinePunct w:val="0"/>
        <w:autoSpaceDE w:val="0"/>
        <w:autoSpaceDN w:val="0"/>
        <w:bidi w:val="0"/>
        <w:adjustRightInd w:val="0"/>
        <w:snapToGrid w:val="0"/>
        <w:spacing w:line="440" w:lineRule="exact"/>
        <w:textAlignment w:val="auto"/>
        <w:outlineLvl w:val="1"/>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六、磋商与评审</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磋商的全过程分为磋商的全过程分为资格性审查、符合性审查、磋商过程、最后报价、最终评审等阶段。最后报价采取集中报价形式。通过资质审查合格的各磋商单位，只有在磋商响应文件及磋商承诺符合磋商文件要求和满足技术、商务需要的才有最终报价和评审的机会。磋商小组按其最终承诺和报价内容，推荐成交候选单位排序。</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44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sz w:val="24"/>
          <w:szCs w:val="24"/>
          <w:lang w:val="zh-CN" w:eastAsia="zh-CN" w:bidi="ar-SA"/>
        </w:rPr>
        <w:t>1.</w:t>
      </w:r>
      <w:r>
        <w:rPr>
          <w:rFonts w:hint="eastAsia" w:ascii="仿宋" w:hAnsi="仿宋" w:eastAsia="仿宋" w:cs="仿宋"/>
          <w:color w:val="auto"/>
          <w:lang w:val="zh-CN"/>
        </w:rPr>
        <w:t>资格性审查</w:t>
      </w:r>
    </w:p>
    <w:p>
      <w:pPr>
        <w:pStyle w:val="10"/>
        <w:keepNext w:val="0"/>
        <w:keepLines w:val="0"/>
        <w:pageBreakBefore w:val="0"/>
        <w:kinsoku/>
        <w:wordWrap/>
        <w:overflowPunct/>
        <w:topLinePunct w:val="0"/>
        <w:bidi w:val="0"/>
        <w:spacing w:line="44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小组对本次</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所要求的必备资</w:t>
      </w:r>
      <w:r>
        <w:rPr>
          <w:rFonts w:hint="eastAsia" w:ascii="仿宋" w:hAnsi="仿宋" w:eastAsia="仿宋" w:cs="仿宋"/>
          <w:color w:val="auto"/>
          <w:sz w:val="24"/>
          <w:szCs w:val="24"/>
          <w:lang w:val="en-US" w:eastAsia="zh-CN"/>
        </w:rPr>
        <w:t>格</w:t>
      </w:r>
      <w:r>
        <w:rPr>
          <w:rFonts w:hint="eastAsia" w:ascii="仿宋" w:hAnsi="仿宋" w:eastAsia="仿宋" w:cs="仿宋"/>
          <w:color w:val="auto"/>
          <w:sz w:val="24"/>
          <w:szCs w:val="24"/>
        </w:rPr>
        <w:t>证明及相关文件进行审查，缺其中一项或某项达不到</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文件要求，均按无效文件处理。</w:t>
      </w:r>
    </w:p>
    <w:tbl>
      <w:tblPr>
        <w:tblStyle w:val="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1156"/>
        <w:gridCol w:w="1906"/>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3" w:hRule="atLeast"/>
          <w:jc w:val="center"/>
        </w:trPr>
        <w:tc>
          <w:tcPr>
            <w:tcW w:w="63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内容</w:t>
            </w:r>
          </w:p>
        </w:tc>
        <w:tc>
          <w:tcPr>
            <w:tcW w:w="103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审查因素</w:t>
            </w:r>
          </w:p>
        </w:tc>
        <w:tc>
          <w:tcPr>
            <w:tcW w:w="333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630" w:type="pct"/>
            <w:vMerge w:val="restart"/>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资格审查标准</w:t>
            </w:r>
          </w:p>
        </w:tc>
        <w:tc>
          <w:tcPr>
            <w:tcW w:w="103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主体资格证明</w:t>
            </w:r>
          </w:p>
        </w:tc>
        <w:tc>
          <w:tcPr>
            <w:tcW w:w="333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vertAlign w:val="baseline"/>
              </w:rPr>
              <w:t>具有独立承担民事责任能力的法人或其他组织，并出具合法有效的营业执照或事业单位法人证书等国家规定的相关证明；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53" w:hRule="atLeast"/>
          <w:jc w:val="center"/>
        </w:trPr>
        <w:tc>
          <w:tcPr>
            <w:tcW w:w="630"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color w:val="auto"/>
                <w:sz w:val="24"/>
                <w:szCs w:val="24"/>
              </w:rPr>
            </w:pPr>
          </w:p>
        </w:tc>
        <w:tc>
          <w:tcPr>
            <w:tcW w:w="103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授权委托书</w:t>
            </w:r>
          </w:p>
        </w:tc>
        <w:tc>
          <w:tcPr>
            <w:tcW w:w="333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投标供应商应授权合法的人员参加投标：法定代表人直接参加投标，须出具法定代表人</w:t>
            </w:r>
            <w:r>
              <w:rPr>
                <w:rFonts w:hint="eastAsia" w:ascii="仿宋" w:hAnsi="仿宋" w:eastAsia="仿宋" w:cs="仿宋"/>
                <w:color w:val="auto"/>
                <w:sz w:val="24"/>
                <w:szCs w:val="24"/>
                <w:lang w:val="en-US" w:eastAsia="zh-CN"/>
              </w:rPr>
              <w:t>证明书</w:t>
            </w:r>
            <w:r>
              <w:rPr>
                <w:rFonts w:hint="eastAsia" w:ascii="仿宋" w:hAnsi="仿宋" w:eastAsia="仿宋" w:cs="仿宋"/>
                <w:color w:val="auto"/>
                <w:sz w:val="24"/>
                <w:szCs w:val="24"/>
              </w:rPr>
              <w:t>；法定代表人授权代表参加投标，须出具法定代表人授权书及授权代表身份证（非法人投标供应商参照执行）；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6" w:hRule="atLeast"/>
          <w:jc w:val="center"/>
        </w:trPr>
        <w:tc>
          <w:tcPr>
            <w:tcW w:w="630" w:type="pct"/>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color w:val="auto"/>
                <w:sz w:val="24"/>
                <w:szCs w:val="24"/>
              </w:rPr>
            </w:pPr>
          </w:p>
        </w:tc>
        <w:tc>
          <w:tcPr>
            <w:tcW w:w="103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资质</w:t>
            </w:r>
            <w:r>
              <w:rPr>
                <w:rFonts w:hint="eastAsia" w:ascii="仿宋" w:hAnsi="仿宋" w:eastAsia="仿宋" w:cs="仿宋"/>
                <w:color w:val="auto"/>
                <w:sz w:val="24"/>
                <w:szCs w:val="24"/>
                <w:lang w:val="en-US" w:eastAsia="zh-CN"/>
              </w:rPr>
              <w:t>要求</w:t>
            </w:r>
          </w:p>
        </w:tc>
        <w:tc>
          <w:tcPr>
            <w:tcW w:w="333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hint="eastAsia" w:ascii="仿宋" w:hAnsi="仿宋" w:eastAsia="仿宋" w:cs="仿宋"/>
                <w:color w:val="auto"/>
                <w:sz w:val="24"/>
                <w:szCs w:val="24"/>
                <w:lang w:eastAsia="zh-CN"/>
              </w:rPr>
            </w:pPr>
            <w:r>
              <w:rPr>
                <w:rFonts w:hint="eastAsia" w:ascii="仿宋" w:hAnsi="仿宋" w:eastAsia="仿宋" w:cs="仿宋"/>
                <w:i w:val="0"/>
                <w:iCs w:val="0"/>
                <w:caps w:val="0"/>
                <w:color w:val="auto"/>
                <w:spacing w:val="0"/>
                <w:sz w:val="24"/>
                <w:szCs w:val="24"/>
                <w:shd w:val="clear" w:fill="FFFFFF"/>
              </w:rPr>
              <w:t>投标人须具备建筑工程施工总承包三级（含三级）及以上资质，并具有相应的安全生产许可证，拟派项目经理（负责人）须具备建筑工程二级（含二级）及以上注册建造师执业资格和有效的安全生产考核合格证书，且未担任其他在建工程项目的项目经理</w:t>
            </w:r>
            <w:r>
              <w:rPr>
                <w:rFonts w:hint="eastAsia" w:ascii="仿宋" w:hAnsi="仿宋" w:eastAsia="仿宋" w:cs="仿宋"/>
                <w:i w:val="0"/>
                <w:iCs w:val="0"/>
                <w:caps w:val="0"/>
                <w:color w:val="auto"/>
                <w:spacing w:val="0"/>
                <w:sz w:val="24"/>
                <w:szCs w:val="24"/>
                <w:shd w:val="clear"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630"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p>
        </w:tc>
        <w:tc>
          <w:tcPr>
            <w:tcW w:w="103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财务状况</w:t>
            </w:r>
          </w:p>
        </w:tc>
        <w:tc>
          <w:tcPr>
            <w:tcW w:w="333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提供2025年度经审计的完整财务报告(成立时间至首次递交响应文件截止时间不足一年的，可提供成立后任意时段的资产负债表），或开标前六个月内其基本存款账户开户银行出具的资信证明；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630"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p>
        </w:tc>
        <w:tc>
          <w:tcPr>
            <w:tcW w:w="103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缴纳社保要求</w:t>
            </w:r>
          </w:p>
        </w:tc>
        <w:tc>
          <w:tcPr>
            <w:tcW w:w="333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提供截止至开标时间前6个月任意一个月的社会保障资金缴存单据或社保机构开具的社会保险参保缴费情况证明，依法不需要缴纳社会保障资金的应提供相关证明文件；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630"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p>
        </w:tc>
        <w:tc>
          <w:tcPr>
            <w:tcW w:w="103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缴纳税收要求</w:t>
            </w:r>
          </w:p>
        </w:tc>
        <w:tc>
          <w:tcPr>
            <w:tcW w:w="333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提供截止至开标时间前6个月任意一个月的纳税证明或完税证明，纳税证明或完税证明上应有代收机构或税务机关的公章，依法免税的应提供相关证明文件；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630"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p>
        </w:tc>
        <w:tc>
          <w:tcPr>
            <w:tcW w:w="1038"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无重大违法纪录</w:t>
            </w:r>
          </w:p>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的书面声明</w:t>
            </w:r>
          </w:p>
        </w:tc>
        <w:tc>
          <w:tcPr>
            <w:tcW w:w="333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供应商参加政府采购活动前3年内在经营活动中没有重大违法纪录的书面声明（加盖投标供应商红色公章）；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568" w:hRule="atLeast"/>
          <w:jc w:val="center"/>
        </w:trPr>
        <w:tc>
          <w:tcPr>
            <w:tcW w:w="630"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p>
        </w:tc>
        <w:tc>
          <w:tcPr>
            <w:tcW w:w="1038" w:type="pct"/>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主体信用查询</w:t>
            </w:r>
          </w:p>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记录</w:t>
            </w:r>
          </w:p>
        </w:tc>
        <w:tc>
          <w:tcPr>
            <w:tcW w:w="3331" w:type="pct"/>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lang w:val="en-US" w:eastAsia="zh-CN" w:bidi="ar-SA"/>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86" w:hRule="atLeast"/>
          <w:jc w:val="center"/>
        </w:trPr>
        <w:tc>
          <w:tcPr>
            <w:tcW w:w="630"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p>
        </w:tc>
        <w:tc>
          <w:tcPr>
            <w:tcW w:w="1038" w:type="pct"/>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联合体投标</w:t>
            </w:r>
          </w:p>
        </w:tc>
        <w:tc>
          <w:tcPr>
            <w:tcW w:w="3331" w:type="pct"/>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本项目不接受联合体投标，出具非联合体投标的</w:t>
            </w:r>
            <w:r>
              <w:rPr>
                <w:rFonts w:hint="eastAsia" w:ascii="仿宋" w:hAnsi="仿宋" w:eastAsia="仿宋" w:cs="仿宋"/>
                <w:color w:val="auto"/>
                <w:sz w:val="24"/>
                <w:szCs w:val="24"/>
                <w:lang w:eastAsia="zh-CN"/>
              </w:rPr>
              <w:t>声</w:t>
            </w:r>
            <w:r>
              <w:rPr>
                <w:rFonts w:hint="eastAsia" w:ascii="仿宋" w:hAnsi="仿宋" w:eastAsia="仿宋" w:cs="仿宋"/>
                <w:color w:val="auto"/>
                <w:sz w:val="24"/>
                <w:szCs w:val="24"/>
              </w:rPr>
              <w:t>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6" w:hRule="atLeast"/>
          <w:jc w:val="center"/>
        </w:trPr>
        <w:tc>
          <w:tcPr>
            <w:tcW w:w="5000" w:type="pct"/>
            <w:gridSpan w:val="3"/>
            <w:tcBorders>
              <w:left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资格</w:t>
            </w:r>
            <w:r>
              <w:rPr>
                <w:rFonts w:hint="eastAsia" w:ascii="仿宋" w:hAnsi="仿宋" w:eastAsia="仿宋" w:cs="仿宋"/>
                <w:color w:val="auto"/>
                <w:sz w:val="24"/>
                <w:szCs w:val="24"/>
              </w:rPr>
              <w:t>审查不合格的投标供应商将视为非响应投标。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6" w:hRule="atLeast"/>
          <w:jc w:val="center"/>
        </w:trPr>
        <w:tc>
          <w:tcPr>
            <w:tcW w:w="630"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zh-CN"/>
              </w:rPr>
              <w:t>落实政府采购政策需满足的要求</w:t>
            </w:r>
          </w:p>
        </w:tc>
        <w:tc>
          <w:tcPr>
            <w:tcW w:w="1038"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本项目专门面向</w:t>
            </w:r>
          </w:p>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中小</w:t>
            </w:r>
            <w:r>
              <w:rPr>
                <w:rFonts w:hint="eastAsia" w:ascii="仿宋" w:hAnsi="仿宋" w:eastAsia="仿宋" w:cs="仿宋"/>
                <w:color w:val="auto"/>
                <w:sz w:val="24"/>
                <w:szCs w:val="24"/>
                <w:lang w:eastAsia="zh-CN"/>
              </w:rPr>
              <w:t>企业采购</w:t>
            </w:r>
          </w:p>
        </w:tc>
        <w:tc>
          <w:tcPr>
            <w:tcW w:w="3331"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val="0"/>
              <w:snapToGrid w:val="0"/>
              <w:spacing w:line="440" w:lineRule="exact"/>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本项目专门面向</w:t>
            </w:r>
            <w:r>
              <w:rPr>
                <w:rFonts w:hint="eastAsia" w:ascii="仿宋" w:hAnsi="仿宋" w:eastAsia="仿宋" w:cs="仿宋"/>
                <w:color w:val="auto"/>
                <w:sz w:val="24"/>
                <w:szCs w:val="24"/>
                <w:lang w:val="en-US" w:eastAsia="zh-CN"/>
              </w:rPr>
              <w:t>中小</w:t>
            </w:r>
            <w:r>
              <w:rPr>
                <w:rFonts w:hint="eastAsia" w:ascii="仿宋" w:hAnsi="仿宋" w:eastAsia="仿宋" w:cs="仿宋"/>
                <w:color w:val="auto"/>
                <w:sz w:val="24"/>
                <w:szCs w:val="24"/>
                <w:lang w:eastAsia="zh-CN"/>
              </w:rPr>
              <w:t>企业采购；须符合《政府采购促进中小企业发展管理办法》（财库〔2020〕46 号）规定的</w:t>
            </w:r>
            <w:r>
              <w:rPr>
                <w:rFonts w:hint="eastAsia" w:ascii="仿宋" w:hAnsi="仿宋" w:eastAsia="仿宋" w:cs="仿宋"/>
                <w:color w:val="auto"/>
                <w:sz w:val="24"/>
                <w:szCs w:val="24"/>
                <w:lang w:val="en-US" w:eastAsia="zh-CN"/>
              </w:rPr>
              <w:t>中小</w:t>
            </w:r>
            <w:r>
              <w:rPr>
                <w:rFonts w:hint="eastAsia" w:ascii="仿宋" w:hAnsi="仿宋" w:eastAsia="仿宋" w:cs="仿宋"/>
                <w:color w:val="auto"/>
                <w:sz w:val="24"/>
                <w:szCs w:val="24"/>
                <w:lang w:eastAsia="zh-CN"/>
              </w:rPr>
              <w:t>企业参加，并提供《中小企业声明函》。</w:t>
            </w:r>
            <w:r>
              <w:rPr>
                <w:rFonts w:hint="eastAsia" w:ascii="仿宋" w:hAnsi="仿宋" w:eastAsia="仿宋" w:cs="仿宋"/>
                <w:color w:val="auto"/>
                <w:sz w:val="24"/>
                <w:szCs w:val="24"/>
              </w:rPr>
              <w:t>本项目采购标的对应的企业划分标准所属行业为：</w:t>
            </w:r>
            <w:r>
              <w:rPr>
                <w:rFonts w:hint="eastAsia" w:ascii="仿宋" w:hAnsi="仿宋" w:eastAsia="仿宋" w:cs="仿宋"/>
                <w:color w:val="auto"/>
                <w:sz w:val="24"/>
                <w:szCs w:val="24"/>
                <w:lang w:val="en-US" w:eastAsia="zh-CN"/>
              </w:rPr>
              <w:t>建筑</w:t>
            </w:r>
            <w:r>
              <w:rPr>
                <w:rFonts w:hint="eastAsia" w:ascii="仿宋" w:hAnsi="仿宋" w:eastAsia="仿宋" w:cs="仿宋"/>
                <w:color w:val="auto"/>
                <w:sz w:val="24"/>
                <w:szCs w:val="24"/>
              </w:rPr>
              <w:t>业。</w:t>
            </w:r>
          </w:p>
        </w:tc>
      </w:tr>
    </w:tbl>
    <w:p>
      <w:pPr>
        <w:pStyle w:val="24"/>
        <w:keepNext w:val="0"/>
        <w:keepLines w:val="0"/>
        <w:pageBreakBefore w:val="0"/>
        <w:numPr>
          <w:ilvl w:val="0"/>
          <w:numId w:val="0"/>
        </w:numPr>
        <w:kinsoku/>
        <w:wordWrap/>
        <w:overflowPunct/>
        <w:topLinePunct w:val="0"/>
        <w:bidi w:val="0"/>
        <w:spacing w:line="440" w:lineRule="exact"/>
        <w:textAlignment w:val="auto"/>
        <w:rPr>
          <w:rFonts w:hint="eastAsia" w:ascii="仿宋" w:hAnsi="仿宋" w:eastAsia="仿宋" w:cs="仿宋"/>
          <w:color w:val="auto"/>
          <w:lang w:val="zh-CN"/>
        </w:rPr>
      </w:pP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en-US" w:eastAsia="zh-CN"/>
        </w:rPr>
        <w:t xml:space="preserve">2. </w:t>
      </w:r>
      <w:r>
        <w:rPr>
          <w:rFonts w:hint="eastAsia" w:ascii="仿宋" w:hAnsi="仿宋" w:eastAsia="仿宋" w:cs="仿宋"/>
          <w:color w:val="auto"/>
          <w:lang w:val="zh-CN"/>
        </w:rPr>
        <w:t>磋商响应文件有效性、完整性和响应性审查：</w:t>
      </w:r>
    </w:p>
    <w:tbl>
      <w:tblPr>
        <w:tblStyle w:val="2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800"/>
        <w:gridCol w:w="2425"/>
        <w:gridCol w:w="5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0" w:hRule="atLeast"/>
        </w:trPr>
        <w:tc>
          <w:tcPr>
            <w:tcW w:w="440"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序号</w:t>
            </w:r>
          </w:p>
        </w:tc>
        <w:tc>
          <w:tcPr>
            <w:tcW w:w="1332"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评审因素</w:t>
            </w:r>
          </w:p>
        </w:tc>
        <w:tc>
          <w:tcPr>
            <w:tcW w:w="3226"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0" w:hRule="atLeast"/>
        </w:trPr>
        <w:tc>
          <w:tcPr>
            <w:tcW w:w="440"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1332"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sz w:val="24"/>
                <w:szCs w:val="24"/>
              </w:rPr>
              <w:t>响应文件的组成</w:t>
            </w:r>
          </w:p>
        </w:tc>
        <w:tc>
          <w:tcPr>
            <w:tcW w:w="3226" w:type="pct"/>
            <w:vAlign w:val="center"/>
          </w:tcPr>
          <w:p>
            <w:pPr>
              <w:keepNext w:val="0"/>
              <w:keepLines w:val="0"/>
              <w:pageBreakBefore w:val="0"/>
              <w:kinsoku/>
              <w:wordWrap/>
              <w:overflowPunct/>
              <w:topLinePunct w:val="0"/>
              <w:bidi w:val="0"/>
              <w:adjustRightInd w:val="0"/>
              <w:snapToGrid w:val="0"/>
              <w:spacing w:line="44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符合</w:t>
            </w:r>
            <w:r>
              <w:rPr>
                <w:rFonts w:hint="eastAsia" w:ascii="仿宋" w:hAnsi="仿宋" w:eastAsia="仿宋" w:cs="仿宋"/>
                <w:color w:val="auto"/>
                <w:sz w:val="24"/>
                <w:szCs w:val="24"/>
                <w:lang w:val="en-US" w:eastAsia="zh-CN"/>
              </w:rPr>
              <w:t>磋商文件</w:t>
            </w:r>
            <w:r>
              <w:rPr>
                <w:rFonts w:hint="eastAsia" w:ascii="仿宋" w:hAnsi="仿宋" w:eastAsia="仿宋" w:cs="仿宋"/>
                <w:color w:val="auto"/>
                <w:sz w:val="24"/>
                <w:szCs w:val="24"/>
                <w:lang w:eastAsia="zh-CN"/>
              </w:rPr>
              <w:t>基本格式要求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45" w:hRule="atLeast"/>
        </w:trPr>
        <w:tc>
          <w:tcPr>
            <w:tcW w:w="440"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1332"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rPr>
            </w:pPr>
            <w:r>
              <w:rPr>
                <w:rFonts w:hint="eastAsia" w:ascii="仿宋" w:hAnsi="仿宋" w:eastAsia="仿宋" w:cs="仿宋"/>
                <w:bCs/>
                <w:color w:val="auto"/>
                <w:kern w:val="0"/>
                <w:sz w:val="24"/>
                <w:szCs w:val="24"/>
                <w:highlight w:val="none"/>
                <w:lang w:eastAsia="zh-CN"/>
              </w:rPr>
              <w:t>响应</w:t>
            </w:r>
            <w:r>
              <w:rPr>
                <w:rFonts w:hint="eastAsia" w:ascii="仿宋" w:hAnsi="仿宋" w:eastAsia="仿宋" w:cs="仿宋"/>
                <w:bCs/>
                <w:color w:val="auto"/>
                <w:kern w:val="0"/>
                <w:sz w:val="24"/>
                <w:szCs w:val="24"/>
                <w:highlight w:val="none"/>
              </w:rPr>
              <w:t>文件签署、盖章</w:t>
            </w:r>
          </w:p>
        </w:tc>
        <w:tc>
          <w:tcPr>
            <w:tcW w:w="3226" w:type="pct"/>
            <w:vAlign w:val="center"/>
          </w:tcPr>
          <w:p>
            <w:pPr>
              <w:keepNext w:val="0"/>
              <w:keepLines w:val="0"/>
              <w:pageBreakBefore w:val="0"/>
              <w:kinsoku/>
              <w:wordWrap/>
              <w:overflowPunct/>
              <w:topLinePunct w:val="0"/>
              <w:bidi w:val="0"/>
              <w:adjustRightInd w:val="0"/>
              <w:snapToGrid w:val="0"/>
              <w:spacing w:line="440" w:lineRule="exact"/>
              <w:ind w:firstLine="240" w:firstLineChars="100"/>
              <w:jc w:val="left"/>
              <w:textAlignment w:val="auto"/>
              <w:rPr>
                <w:rFonts w:hint="eastAsia" w:ascii="仿宋" w:hAnsi="仿宋" w:eastAsia="仿宋" w:cs="仿宋"/>
                <w:color w:val="auto"/>
                <w:kern w:val="0"/>
                <w:sz w:val="24"/>
                <w:szCs w:val="24"/>
              </w:rPr>
            </w:pPr>
            <w:r>
              <w:rPr>
                <w:rFonts w:hint="eastAsia" w:ascii="仿宋" w:hAnsi="仿宋" w:eastAsia="仿宋" w:cs="仿宋"/>
                <w:color w:val="auto"/>
                <w:sz w:val="24"/>
                <w:szCs w:val="24"/>
                <w:lang w:eastAsia="zh-CN"/>
              </w:rPr>
              <w:t>签署、盖章均符合招标文件要求，且无遗漏。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0" w:hRule="atLeast"/>
        </w:trPr>
        <w:tc>
          <w:tcPr>
            <w:tcW w:w="440"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1332" w:type="pct"/>
            <w:vAlign w:val="center"/>
          </w:tcPr>
          <w:p>
            <w:pPr>
              <w:keepNext w:val="0"/>
              <w:keepLines w:val="0"/>
              <w:pageBreakBefore w:val="0"/>
              <w:kinsoku/>
              <w:wordWrap/>
              <w:overflowPunct/>
              <w:topLinePunct w:val="0"/>
              <w:bidi w:val="0"/>
              <w:adjustRightInd w:val="0"/>
              <w:snapToGrid w:val="0"/>
              <w:spacing w:line="440" w:lineRule="exact"/>
              <w:ind w:firstLine="240" w:firstLineChars="100"/>
              <w:jc w:val="both"/>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有效</w:t>
            </w:r>
            <w:r>
              <w:rPr>
                <w:rFonts w:hint="eastAsia" w:ascii="仿宋" w:hAnsi="仿宋" w:eastAsia="仿宋" w:cs="仿宋"/>
                <w:color w:val="auto"/>
                <w:sz w:val="24"/>
                <w:szCs w:val="24"/>
                <w:lang w:eastAsia="zh-CN"/>
              </w:rPr>
              <w:t>期</w:t>
            </w:r>
          </w:p>
        </w:tc>
        <w:tc>
          <w:tcPr>
            <w:tcW w:w="3226" w:type="pct"/>
            <w:vAlign w:val="center"/>
          </w:tcPr>
          <w:p>
            <w:pPr>
              <w:keepNext w:val="0"/>
              <w:keepLines w:val="0"/>
              <w:pageBreakBefore w:val="0"/>
              <w:kinsoku/>
              <w:wordWrap/>
              <w:overflowPunct/>
              <w:topLinePunct w:val="0"/>
              <w:bidi w:val="0"/>
              <w:adjustRightInd w:val="0"/>
              <w:snapToGrid w:val="0"/>
              <w:spacing w:line="440" w:lineRule="exact"/>
              <w:ind w:firstLine="240" w:firstLineChars="100"/>
              <w:jc w:val="left"/>
              <w:textAlignment w:val="auto"/>
              <w:rPr>
                <w:rFonts w:hint="eastAsia" w:ascii="仿宋" w:hAnsi="仿宋" w:eastAsia="仿宋" w:cs="仿宋"/>
                <w:color w:val="auto"/>
                <w:kern w:val="0"/>
                <w:sz w:val="24"/>
                <w:szCs w:val="24"/>
              </w:rPr>
            </w:pPr>
            <w:r>
              <w:rPr>
                <w:rFonts w:hint="eastAsia" w:ascii="仿宋" w:hAnsi="仿宋" w:eastAsia="仿宋" w:cs="仿宋"/>
                <w:color w:val="auto"/>
                <w:sz w:val="24"/>
                <w:szCs w:val="24"/>
              </w:rPr>
              <w:t>90</w:t>
            </w:r>
            <w:r>
              <w:rPr>
                <w:rFonts w:hint="eastAsia" w:ascii="仿宋" w:hAnsi="仿宋" w:eastAsia="仿宋" w:cs="仿宋"/>
                <w:color w:val="auto"/>
                <w:sz w:val="24"/>
                <w:szCs w:val="24"/>
                <w:lang w:eastAsia="zh-CN"/>
              </w:rPr>
              <w:t>日历</w:t>
            </w:r>
            <w:r>
              <w:rPr>
                <w:rFonts w:hint="eastAsia" w:ascii="仿宋" w:hAnsi="仿宋" w:eastAsia="仿宋" w:cs="仿宋"/>
                <w:color w:val="auto"/>
                <w:sz w:val="24"/>
                <w:szCs w:val="24"/>
              </w:rPr>
              <w:t>天（从提交响应文件日起计算）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0" w:hRule="atLeast"/>
        </w:trPr>
        <w:tc>
          <w:tcPr>
            <w:tcW w:w="440"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w:t>
            </w:r>
          </w:p>
        </w:tc>
        <w:tc>
          <w:tcPr>
            <w:tcW w:w="1332"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bCs/>
                <w:color w:val="auto"/>
                <w:kern w:val="0"/>
                <w:sz w:val="24"/>
                <w:szCs w:val="24"/>
                <w:highlight w:val="none"/>
                <w:lang w:eastAsia="zh-CN"/>
              </w:rPr>
              <w:t>磋商</w:t>
            </w:r>
            <w:r>
              <w:rPr>
                <w:rFonts w:hint="eastAsia" w:ascii="仿宋" w:hAnsi="仿宋" w:eastAsia="仿宋" w:cs="仿宋"/>
                <w:bCs/>
                <w:color w:val="auto"/>
                <w:kern w:val="0"/>
                <w:sz w:val="24"/>
                <w:szCs w:val="24"/>
                <w:highlight w:val="none"/>
              </w:rPr>
              <w:t>报价</w:t>
            </w:r>
          </w:p>
        </w:tc>
        <w:tc>
          <w:tcPr>
            <w:tcW w:w="3226" w:type="pct"/>
            <w:vAlign w:val="center"/>
          </w:tcPr>
          <w:p>
            <w:pPr>
              <w:keepNext w:val="0"/>
              <w:keepLines w:val="0"/>
              <w:pageBreakBefore w:val="0"/>
              <w:kinsoku/>
              <w:wordWrap/>
              <w:overflowPunct/>
              <w:topLinePunct w:val="0"/>
              <w:bidi w:val="0"/>
              <w:adjustRightInd w:val="0"/>
              <w:snapToGrid w:val="0"/>
              <w:spacing w:line="440" w:lineRule="exact"/>
              <w:ind w:left="240" w:leftChars="100" w:firstLine="0" w:firstLineChars="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投标报价符合唯一性要求；开标一览表填写符合要求；报价货币符合磋商文件要求；未超出采购预算或磋商文件规定的最高限价；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60" w:hRule="atLeast"/>
        </w:trPr>
        <w:tc>
          <w:tcPr>
            <w:tcW w:w="440"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5</w:t>
            </w:r>
          </w:p>
        </w:tc>
        <w:tc>
          <w:tcPr>
            <w:tcW w:w="1332" w:type="pct"/>
            <w:vAlign w:val="center"/>
          </w:tcPr>
          <w:p>
            <w:pPr>
              <w:keepNext w:val="0"/>
              <w:keepLines w:val="0"/>
              <w:pageBreakBefore w:val="0"/>
              <w:kinsoku/>
              <w:wordWrap/>
              <w:overflowPunct/>
              <w:topLinePunct w:val="0"/>
              <w:bidi w:val="0"/>
              <w:adjustRightInd w:val="0"/>
              <w:snapToGrid w:val="0"/>
              <w:spacing w:line="440" w:lineRule="exact"/>
              <w:jc w:val="center"/>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lang w:eastAsia="zh-CN"/>
              </w:rPr>
              <w:t>其他</w:t>
            </w:r>
          </w:p>
        </w:tc>
        <w:tc>
          <w:tcPr>
            <w:tcW w:w="3226" w:type="pct"/>
            <w:vAlign w:val="center"/>
          </w:tcPr>
          <w:p>
            <w:pPr>
              <w:keepNext w:val="0"/>
              <w:keepLines w:val="0"/>
              <w:pageBreakBefore w:val="0"/>
              <w:kinsoku/>
              <w:wordWrap/>
              <w:overflowPunct/>
              <w:topLinePunct w:val="0"/>
              <w:bidi w:val="0"/>
              <w:adjustRightInd w:val="0"/>
              <w:snapToGrid w:val="0"/>
              <w:spacing w:line="440" w:lineRule="exact"/>
              <w:ind w:left="240" w:leftChars="100" w:firstLine="0" w:firstLineChars="0"/>
              <w:jc w:val="left"/>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lang w:val="en-US" w:eastAsia="zh-CN"/>
              </w:rPr>
              <w:t xml:space="preserve">完全理解并接受法律法规和磋商文件对供应商的各项须知、规约要求和责任义务，未对磋商文件做出实质性响应的，视为无效投标。  </w:t>
            </w:r>
          </w:p>
        </w:tc>
      </w:tr>
    </w:tbl>
    <w:p>
      <w:pPr>
        <w:keepNext w:val="0"/>
        <w:keepLines w:val="0"/>
        <w:pageBreakBefore w:val="0"/>
        <w:widowControl/>
        <w:kinsoku/>
        <w:wordWrap/>
        <w:overflowPunct/>
        <w:topLinePunct w:val="0"/>
        <w:autoSpaceDE w:val="0"/>
        <w:autoSpaceDN w:val="0"/>
        <w:bidi w:val="0"/>
        <w:adjustRightInd w:val="0"/>
        <w:snapToGrid w:val="0"/>
        <w:spacing w:line="440" w:lineRule="exact"/>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依据磋商文件的规定，对响应文件的有效性、完整性和响应性进行审查，以确定是否满足磋商文件要求，出现下列情况者（但不限于），按无效文件处理。</w:t>
      </w:r>
    </w:p>
    <w:p>
      <w:pPr>
        <w:keepNext w:val="0"/>
        <w:keepLines w:val="0"/>
        <w:pageBreakBefore w:val="0"/>
        <w:kinsoku/>
        <w:wordWrap/>
        <w:overflowPunct/>
        <w:topLinePunct w:val="0"/>
        <w:autoSpaceDE w:val="0"/>
        <w:autoSpaceDN w:val="0"/>
        <w:bidi w:val="0"/>
        <w:adjustRightInd w:val="0"/>
        <w:snapToGrid w:val="0"/>
        <w:spacing w:line="440" w:lineRule="exact"/>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（1）竞争性磋商文件要求提交原件时未按要求提交原件的。</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（2）供应商未按磋商文件要求加盖单位公章。</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3</w:t>
      </w:r>
      <w:r>
        <w:rPr>
          <w:rFonts w:hint="eastAsia" w:ascii="仿宋" w:hAnsi="仿宋" w:eastAsia="仿宋" w:cs="仿宋"/>
          <w:color w:val="auto"/>
          <w:lang w:val="zh-CN"/>
        </w:rPr>
        <w:t>）磋商响应文件未按磋商文件要求法定代表人或其授权代表签字。</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4</w:t>
      </w:r>
      <w:r>
        <w:rPr>
          <w:rFonts w:hint="eastAsia" w:ascii="仿宋" w:hAnsi="仿宋" w:eastAsia="仿宋" w:cs="仿宋"/>
          <w:color w:val="auto"/>
          <w:lang w:val="zh-CN"/>
        </w:rPr>
        <w:t>）无有效期或有效期达不到磋商文件的要求。</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5</w:t>
      </w:r>
      <w:r>
        <w:rPr>
          <w:rFonts w:hint="eastAsia" w:ascii="仿宋" w:hAnsi="仿宋" w:eastAsia="仿宋" w:cs="仿宋"/>
          <w:color w:val="auto"/>
          <w:lang w:val="zh-CN"/>
        </w:rPr>
        <w:t>）供应商首次磋商报价出现选择性报价。</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6</w:t>
      </w:r>
      <w:r>
        <w:rPr>
          <w:rFonts w:hint="eastAsia" w:ascii="仿宋" w:hAnsi="仿宋" w:eastAsia="仿宋" w:cs="仿宋"/>
          <w:color w:val="auto"/>
          <w:lang w:val="zh-CN"/>
        </w:rPr>
        <w:t>）首次磋商报价超出采购预算。</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7</w:t>
      </w:r>
      <w:r>
        <w:rPr>
          <w:rFonts w:hint="eastAsia" w:ascii="仿宋" w:hAnsi="仿宋" w:eastAsia="仿宋" w:cs="仿宋"/>
          <w:color w:val="auto"/>
          <w:lang w:val="zh-CN"/>
        </w:rPr>
        <w:t>）响应文件中对合同草案条款附加了采购人难以接受的条件。</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8</w:t>
      </w:r>
      <w:r>
        <w:rPr>
          <w:rFonts w:hint="eastAsia" w:ascii="仿宋" w:hAnsi="仿宋" w:eastAsia="仿宋" w:cs="仿宋"/>
          <w:color w:val="auto"/>
          <w:lang w:val="zh-CN"/>
        </w:rPr>
        <w:t>）磋商内容出现漏项或数量与要求不符，出现重大负偏差。</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9</w:t>
      </w:r>
      <w:r>
        <w:rPr>
          <w:rFonts w:hint="eastAsia" w:ascii="仿宋" w:hAnsi="仿宋" w:eastAsia="仿宋" w:cs="仿宋"/>
          <w:color w:val="auto"/>
          <w:lang w:val="zh-CN"/>
        </w:rPr>
        <w:t>）响应文件中技术指标达不到采购要求，降低了</w:t>
      </w:r>
      <w:r>
        <w:rPr>
          <w:rFonts w:hint="eastAsia" w:ascii="仿宋" w:hAnsi="仿宋" w:eastAsia="仿宋" w:cs="仿宋"/>
          <w:color w:val="auto"/>
        </w:rPr>
        <w:t>服务质量</w:t>
      </w:r>
      <w:r>
        <w:rPr>
          <w:rFonts w:hint="eastAsia" w:ascii="仿宋" w:hAnsi="仿宋" w:eastAsia="仿宋" w:cs="仿宋"/>
          <w:color w:val="auto"/>
          <w:lang w:val="zh-CN"/>
        </w:rPr>
        <w:t>。</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2"/>
        <w:textAlignment w:val="auto"/>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10</w:t>
      </w:r>
      <w:r>
        <w:rPr>
          <w:rFonts w:hint="eastAsia" w:ascii="仿宋" w:hAnsi="仿宋" w:eastAsia="仿宋" w:cs="仿宋"/>
          <w:color w:val="auto"/>
          <w:lang w:val="zh-CN"/>
        </w:rPr>
        <w:t>）响应报价与市场价偏离较大，低于成本，形成不正当竞争。</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2"/>
        <w:textAlignment w:val="auto"/>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11</w:t>
      </w:r>
      <w:r>
        <w:rPr>
          <w:rFonts w:hint="eastAsia" w:ascii="仿宋" w:hAnsi="仿宋" w:eastAsia="仿宋" w:cs="仿宋"/>
          <w:color w:val="auto"/>
          <w:lang w:val="zh-CN"/>
        </w:rPr>
        <w:t>）供应商提供虚假证明，开具虚假资质，出现虚假应答或故意隐瞒行为。</w:t>
      </w:r>
    </w:p>
    <w:p>
      <w:pPr>
        <w:keepNext w:val="0"/>
        <w:keepLines w:val="0"/>
        <w:pageBreakBefore w:val="0"/>
        <w:widowControl/>
        <w:kinsoku/>
        <w:wordWrap/>
        <w:overflowPunct/>
        <w:topLinePunct w:val="0"/>
        <w:autoSpaceDE w:val="0"/>
        <w:autoSpaceDN w:val="0"/>
        <w:bidi w:val="0"/>
        <w:adjustRightInd w:val="0"/>
        <w:snapToGrid w:val="0"/>
        <w:spacing w:line="440" w:lineRule="exact"/>
        <w:ind w:firstLine="482"/>
        <w:textAlignment w:val="auto"/>
        <w:rPr>
          <w:rFonts w:hint="eastAsia" w:ascii="仿宋" w:hAnsi="仿宋" w:eastAsia="仿宋" w:cs="仿宋"/>
          <w:color w:val="auto"/>
          <w:lang w:val="zh-CN"/>
        </w:rPr>
      </w:pPr>
      <w:r>
        <w:rPr>
          <w:rFonts w:hint="eastAsia" w:ascii="仿宋" w:hAnsi="仿宋" w:eastAsia="仿宋" w:cs="仿宋"/>
          <w:color w:val="auto"/>
          <w:lang w:val="en-US" w:eastAsia="zh-CN"/>
        </w:rPr>
        <w:t>3</w:t>
      </w:r>
      <w:r>
        <w:rPr>
          <w:rFonts w:hint="eastAsia" w:ascii="仿宋" w:hAnsi="仿宋" w:eastAsia="仿宋" w:cs="仿宋"/>
          <w:color w:val="auto"/>
        </w:rPr>
        <w:t>.</w:t>
      </w:r>
      <w:r>
        <w:rPr>
          <w:rFonts w:hint="eastAsia" w:ascii="仿宋" w:hAnsi="仿宋" w:eastAsia="仿宋" w:cs="仿宋"/>
          <w:color w:val="auto"/>
          <w:lang w:val="zh-CN"/>
        </w:rPr>
        <w:t>磋商：磋商小组所有成员与单一供应商分别进行磋商，并给所有参加磋商供应商平等的磋商机会。</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.1</w:t>
      </w:r>
      <w:r>
        <w:rPr>
          <w:rFonts w:hint="eastAsia" w:ascii="仿宋" w:hAnsi="仿宋" w:eastAsia="仿宋" w:cs="仿宋"/>
          <w:color w:val="auto"/>
          <w:lang w:val="zh-CN"/>
        </w:rPr>
        <w:t>磋商小组在对响应文件的有效性、完整性和响应程度进行审核时，以书面形式要求供应商对响应文件中含义不明确、同类问题表述不一致、或者明显文字和计算错误的内容做出必要的澄清、说明或更正。供应商澄清、说明或者更正应当由法定代表人或者授权代表签</w:t>
      </w:r>
      <w:r>
        <w:rPr>
          <w:rFonts w:hint="eastAsia" w:ascii="仿宋" w:hAnsi="仿宋" w:eastAsia="仿宋" w:cs="仿宋"/>
          <w:color w:val="auto"/>
        </w:rPr>
        <w:t>字或者加盖公章。澄清、说明或者更正不得超出响应范围，或者改变响应文件的实质性内容。</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2磋商过程中，磋商小组可以根据磋商文件和磋商情况实质性变动采购需求中的技术、服务要求以及合同草案条款，但不得变动磋商文件中的其他内容。实质性变动的内容，须经采购人代表确认，并成为磋商文件的有效组成部分。</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.3供应商应在磋商小组规定的时间内，以书面形式进行澄清、说明或者更正，并由法定代表人或者授权代表签字或者加盖公章。</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．第二次报价</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.1通过资质审查合格的供应商，在磋商响应文件都符合磋商文件的要求并满足技术、商务需要的才进入第二次报价和评审。</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2质量和服务均能满足磋商文件实质性响应要求的供应商进行第二次报价，有效响应供应商不少于3家。评审小组要求供应商在规定时间内提交最后报价，最后报价是供应商响应文件的有效组成部分，且由法定代表人或者授权人签字或者盖章。</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.3供应商最低报价出现相同时，相同的供应商再报一次价格，得出最低报价。</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.4依据相关文件（陕财办采资</w:t>
      </w:r>
      <w:r>
        <w:rPr>
          <w:rFonts w:hint="eastAsia" w:ascii="仿宋" w:hAnsi="仿宋" w:eastAsia="仿宋" w:cs="仿宋"/>
          <w:color w:val="auto"/>
          <w:sz w:val="24"/>
        </w:rPr>
        <w:t>〔201</w:t>
      </w:r>
      <w:r>
        <w:rPr>
          <w:rFonts w:hint="eastAsia" w:ascii="仿宋" w:hAnsi="仿宋" w:eastAsia="仿宋" w:cs="仿宋"/>
          <w:color w:val="auto"/>
          <w:sz w:val="24"/>
          <w:lang w:val="en-US" w:eastAsia="zh-CN"/>
        </w:rPr>
        <w:t>6</w:t>
      </w:r>
      <w:r>
        <w:rPr>
          <w:rFonts w:hint="eastAsia" w:ascii="仿宋" w:hAnsi="仿宋" w:eastAsia="仿宋" w:cs="仿宋"/>
          <w:color w:val="auto"/>
          <w:sz w:val="24"/>
        </w:rPr>
        <w:t>〕</w:t>
      </w:r>
      <w:r>
        <w:rPr>
          <w:rFonts w:hint="eastAsia" w:ascii="仿宋" w:hAnsi="仿宋" w:eastAsia="仿宋" w:cs="仿宋"/>
          <w:color w:val="auto"/>
        </w:rPr>
        <w:t>53号令）规定，第一次报价与最终报价均不予公布。</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.比较与评价</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lang w:val="zh-CN"/>
        </w:rPr>
      </w:pPr>
      <w:r>
        <w:rPr>
          <w:rFonts w:hint="eastAsia" w:ascii="仿宋" w:hAnsi="仿宋" w:eastAsia="仿宋" w:cs="仿宋"/>
          <w:color w:val="auto"/>
          <w:lang w:val="en-US" w:eastAsia="zh-CN"/>
        </w:rPr>
        <w:t>5</w:t>
      </w:r>
      <w:r>
        <w:rPr>
          <w:rFonts w:hint="eastAsia" w:ascii="仿宋" w:hAnsi="仿宋" w:eastAsia="仿宋" w:cs="仿宋"/>
          <w:color w:val="auto"/>
        </w:rPr>
        <w:t>.1</w:t>
      </w:r>
      <w:r>
        <w:rPr>
          <w:rFonts w:hint="eastAsia" w:ascii="仿宋" w:hAnsi="仿宋" w:eastAsia="仿宋" w:cs="仿宋"/>
          <w:color w:val="auto"/>
          <w:lang w:val="zh-CN"/>
        </w:rPr>
        <w:t>磋商小组在评审过程中，发现响应文件出现下列情况之一者，按以下原则修正：</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rPr>
        <w:t>（1）大写金额与小写金额不一致的，以大写金额为准；</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rPr>
        <w:t>（2）总价金额与按单价汇总金额不一致的，以单价金额计算结果为准；</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rPr>
        <w:t>（3）单价金额小数点有明显错位的，应以总价为准，并修改单价；</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rPr>
        <w:t>（4）对不同文字文本响应文件的解释发生异议的，以中文文本为准；</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lang w:val="zh-CN"/>
        </w:rPr>
      </w:pPr>
      <w:r>
        <w:rPr>
          <w:rFonts w:hint="eastAsia" w:ascii="仿宋" w:hAnsi="仿宋" w:eastAsia="仿宋" w:cs="仿宋"/>
          <w:color w:val="auto"/>
        </w:rPr>
        <w:t>（5）</w:t>
      </w:r>
      <w:r>
        <w:rPr>
          <w:rFonts w:hint="eastAsia" w:ascii="仿宋" w:hAnsi="仿宋" w:eastAsia="仿宋" w:cs="仿宋"/>
          <w:color w:val="auto"/>
          <w:lang w:val="zh-CN"/>
        </w:rPr>
        <w:t>文字与图表不一致的，以文字为准；</w:t>
      </w:r>
    </w:p>
    <w:p>
      <w:pPr>
        <w:keepNext w:val="0"/>
        <w:keepLines w:val="0"/>
        <w:pageBreakBefore w:val="0"/>
        <w:widowControl/>
        <w:kinsoku/>
        <w:wordWrap/>
        <w:overflowPunct/>
        <w:topLinePunct w:val="0"/>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lang w:val="zh-CN"/>
        </w:rPr>
        <w:t>（</w:t>
      </w:r>
      <w:r>
        <w:rPr>
          <w:rFonts w:hint="eastAsia" w:ascii="仿宋" w:hAnsi="仿宋" w:eastAsia="仿宋" w:cs="仿宋"/>
          <w:color w:val="auto"/>
          <w:lang w:val="en-US" w:eastAsia="zh-CN"/>
        </w:rPr>
        <w:t>6</w:t>
      </w:r>
      <w:r>
        <w:rPr>
          <w:rFonts w:hint="eastAsia" w:ascii="仿宋" w:hAnsi="仿宋" w:eastAsia="仿宋" w:cs="仿宋"/>
          <w:color w:val="auto"/>
          <w:lang w:val="zh-CN"/>
        </w:rPr>
        <w:t>）</w:t>
      </w:r>
      <w:r>
        <w:rPr>
          <w:rFonts w:hint="eastAsia" w:ascii="仿宋" w:hAnsi="仿宋" w:eastAsia="仿宋" w:cs="仿宋"/>
          <w:color w:val="auto"/>
        </w:rPr>
        <w:t>响应文件的文字叙述与制造厂商的产品样本/检测报告不符时，以产品样本/检测报告为准。</w:t>
      </w:r>
    </w:p>
    <w:p>
      <w:pPr>
        <w:keepNext w:val="0"/>
        <w:keepLines w:val="0"/>
        <w:pageBreakBefore w:val="0"/>
        <w:widowControl/>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.2按照磋商文件规定的评审方法和标准，对审查合格的文件进行商务和技术评审，综合比较和评价，最低报价不</w:t>
      </w:r>
      <w:r>
        <w:rPr>
          <w:rFonts w:hint="eastAsia" w:ascii="仿宋" w:hAnsi="仿宋" w:eastAsia="仿宋" w:cs="仿宋"/>
          <w:color w:val="auto"/>
          <w:lang w:eastAsia="zh-CN"/>
        </w:rPr>
        <w:t>作</w:t>
      </w:r>
      <w:r>
        <w:rPr>
          <w:rFonts w:hint="eastAsia" w:ascii="仿宋" w:hAnsi="仿宋" w:eastAsia="仿宋" w:cs="仿宋"/>
          <w:color w:val="auto"/>
        </w:rPr>
        <w:t>为成交的唯一条件。</w:t>
      </w:r>
    </w:p>
    <w:p>
      <w:pPr>
        <w:keepNext w:val="0"/>
        <w:keepLines w:val="0"/>
        <w:pageBreakBefore w:val="0"/>
        <w:widowControl/>
        <w:kinsoku/>
        <w:wordWrap/>
        <w:overflowPunct/>
        <w:topLinePunct w:val="0"/>
        <w:bidi w:val="0"/>
        <w:adjustRightInd w:val="0"/>
        <w:snapToGrid w:val="0"/>
        <w:spacing w:line="440" w:lineRule="exact"/>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en-US" w:eastAsia="zh-CN"/>
        </w:rPr>
        <w:t>6.</w:t>
      </w:r>
      <w:r>
        <w:rPr>
          <w:rFonts w:hint="eastAsia" w:ascii="仿宋" w:hAnsi="仿宋" w:eastAsia="仿宋" w:cs="仿宋"/>
          <w:color w:val="auto"/>
          <w:lang w:val="zh-CN"/>
        </w:rPr>
        <w:t>评审程序：采取逐项分步评审方式，每一步评审不符合者，不进入下一步评审，全部评审合格的供应商进行最后的综合评审和打分，按最后得分由高向低排序，推荐成交候选单位。</w:t>
      </w:r>
    </w:p>
    <w:p>
      <w:pPr>
        <w:keepNext w:val="0"/>
        <w:keepLines w:val="0"/>
        <w:pageBreakBefore w:val="0"/>
        <w:widowControl/>
        <w:kinsoku/>
        <w:wordWrap/>
        <w:overflowPunct/>
        <w:topLinePunct w:val="0"/>
        <w:bidi w:val="0"/>
        <w:adjustRightInd w:val="0"/>
        <w:snapToGrid w:val="0"/>
        <w:spacing w:line="440" w:lineRule="exact"/>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七、</w:t>
      </w:r>
      <w:r>
        <w:rPr>
          <w:rFonts w:hint="eastAsia" w:ascii="仿宋" w:hAnsi="仿宋" w:eastAsia="仿宋" w:cs="仿宋"/>
          <w:b/>
          <w:color w:val="auto"/>
          <w:sz w:val="28"/>
          <w:szCs w:val="28"/>
        </w:rPr>
        <w:t>评标原则和办法</w:t>
      </w:r>
    </w:p>
    <w:p>
      <w:pPr>
        <w:keepNext w:val="0"/>
        <w:keepLines w:val="0"/>
        <w:pageBreakBefore w:val="0"/>
        <w:widowControl/>
        <w:kinsoku/>
        <w:wordWrap/>
        <w:overflowPunct/>
        <w:topLinePunct w:val="0"/>
        <w:bidi w:val="0"/>
        <w:adjustRightInd w:val="0"/>
        <w:snapToGrid w:val="0"/>
        <w:spacing w:line="440" w:lineRule="exact"/>
        <w:ind w:firstLine="570"/>
        <w:textAlignment w:val="auto"/>
        <w:rPr>
          <w:rFonts w:hint="eastAsia" w:ascii="仿宋" w:hAnsi="仿宋" w:eastAsia="仿宋" w:cs="仿宋"/>
          <w:b/>
          <w:bCs/>
          <w:color w:val="auto"/>
        </w:rPr>
      </w:pPr>
      <w:r>
        <w:rPr>
          <w:rFonts w:hint="eastAsia" w:ascii="仿宋" w:hAnsi="仿宋" w:eastAsia="仿宋" w:cs="仿宋"/>
          <w:color w:val="auto"/>
        </w:rPr>
        <w:t>采用综合评分法，即在最大限度地满足招标文件实质性要求前提下，按照</w:t>
      </w:r>
      <w:r>
        <w:rPr>
          <w:rFonts w:hint="eastAsia" w:ascii="仿宋" w:hAnsi="仿宋" w:eastAsia="仿宋" w:cs="仿宋"/>
          <w:color w:val="auto"/>
          <w:lang w:val="en-US" w:eastAsia="zh-CN"/>
        </w:rPr>
        <w:t>磋商</w:t>
      </w:r>
      <w:r>
        <w:rPr>
          <w:rFonts w:hint="eastAsia" w:ascii="仿宋" w:hAnsi="仿宋" w:eastAsia="仿宋" w:cs="仿宋"/>
          <w:color w:val="auto"/>
        </w:rPr>
        <w:t>文件中规定的各项因素进行综合评审后，以评审总得分顺序推荐</w:t>
      </w:r>
      <w:r>
        <w:rPr>
          <w:rFonts w:hint="eastAsia" w:ascii="仿宋" w:hAnsi="仿宋" w:eastAsia="仿宋" w:cs="仿宋"/>
          <w:color w:val="auto"/>
          <w:lang w:val="en-US" w:eastAsia="zh-CN"/>
        </w:rPr>
        <w:t>成交</w:t>
      </w:r>
      <w:r>
        <w:rPr>
          <w:rFonts w:hint="eastAsia" w:ascii="仿宋" w:hAnsi="仿宋" w:eastAsia="仿宋" w:cs="仿宋"/>
          <w:color w:val="auto"/>
        </w:rPr>
        <w:t>候选人。具体评审因素和分值如下</w:t>
      </w:r>
      <w:r>
        <w:rPr>
          <w:rFonts w:hint="eastAsia" w:ascii="仿宋" w:hAnsi="仿宋" w:eastAsia="仿宋" w:cs="仿宋"/>
          <w:b w:val="0"/>
          <w:bCs w:val="0"/>
          <w:color w:val="auto"/>
        </w:rPr>
        <w:t>。</w:t>
      </w:r>
    </w:p>
    <w:p>
      <w:pPr>
        <w:keepNext w:val="0"/>
        <w:keepLines w:val="0"/>
        <w:pageBreakBefore w:val="0"/>
        <w:widowControl/>
        <w:kinsoku/>
        <w:wordWrap/>
        <w:overflowPunct/>
        <w:topLinePunct w:val="0"/>
        <w:bidi w:val="0"/>
        <w:spacing w:line="440" w:lineRule="exact"/>
        <w:textAlignment w:val="auto"/>
        <w:rPr>
          <w:rFonts w:hint="eastAsia" w:ascii="仿宋" w:hAnsi="仿宋" w:eastAsia="仿宋" w:cs="仿宋"/>
          <w:b/>
          <w:color w:val="auto"/>
        </w:rPr>
      </w:pPr>
      <w:r>
        <w:rPr>
          <w:rFonts w:hint="eastAsia" w:ascii="仿宋" w:hAnsi="仿宋" w:eastAsia="仿宋" w:cs="仿宋"/>
          <w:b/>
          <w:color w:val="auto"/>
        </w:rPr>
        <w:t xml:space="preserve">   评审总分值为100分，具体分值如下：</w:t>
      </w:r>
    </w:p>
    <w:tbl>
      <w:tblPr>
        <w:tblStyle w:val="26"/>
        <w:tblW w:w="5174" w:type="pct"/>
        <w:jc w:val="center"/>
        <w:tblLayout w:type="autofit"/>
        <w:tblCellMar>
          <w:top w:w="0" w:type="dxa"/>
          <w:left w:w="108" w:type="dxa"/>
          <w:bottom w:w="0" w:type="dxa"/>
          <w:right w:w="108" w:type="dxa"/>
        </w:tblCellMar>
      </w:tblPr>
      <w:tblGrid>
        <w:gridCol w:w="1384"/>
        <w:gridCol w:w="777"/>
        <w:gridCol w:w="7378"/>
        <w:gridCol w:w="73"/>
      </w:tblGrid>
      <w:tr>
        <w:tblPrEx>
          <w:tblCellMar>
            <w:top w:w="0" w:type="dxa"/>
            <w:left w:w="108" w:type="dxa"/>
            <w:bottom w:w="0" w:type="dxa"/>
            <w:right w:w="108" w:type="dxa"/>
          </w:tblCellMar>
        </w:tblPrEx>
        <w:trPr>
          <w:gridAfter w:val="1"/>
          <w:wAfter w:w="36" w:type="pct"/>
          <w:trHeight w:val="1005" w:hRule="atLeast"/>
          <w:jc w:val="center"/>
        </w:trPr>
        <w:tc>
          <w:tcPr>
            <w:tcW w:w="720"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b/>
                <w:szCs w:val="21"/>
              </w:rPr>
            </w:pPr>
            <w:r>
              <w:rPr>
                <w:rFonts w:hint="eastAsia" w:ascii="仿宋" w:hAnsi="仿宋" w:eastAsia="仿宋" w:cs="仿宋"/>
                <w:b/>
                <w:szCs w:val="21"/>
              </w:rPr>
              <w:t>评标</w:t>
            </w:r>
          </w:p>
          <w:p>
            <w:pPr>
              <w:snapToGrid w:val="0"/>
              <w:spacing w:line="400" w:lineRule="exact"/>
              <w:jc w:val="center"/>
              <w:rPr>
                <w:rFonts w:hint="eastAsia" w:ascii="仿宋" w:hAnsi="仿宋" w:eastAsia="仿宋" w:cs="仿宋"/>
                <w:b/>
                <w:szCs w:val="21"/>
              </w:rPr>
            </w:pPr>
            <w:r>
              <w:rPr>
                <w:rFonts w:hint="eastAsia" w:ascii="仿宋" w:hAnsi="仿宋" w:eastAsia="仿宋" w:cs="仿宋"/>
                <w:b/>
                <w:szCs w:val="21"/>
              </w:rPr>
              <w:t>内容</w:t>
            </w:r>
          </w:p>
        </w:tc>
        <w:tc>
          <w:tcPr>
            <w:tcW w:w="404" w:type="pct"/>
            <w:tcBorders>
              <w:top w:val="single" w:color="auto" w:sz="4" w:space="0"/>
              <w:left w:val="nil"/>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b/>
                <w:szCs w:val="21"/>
              </w:rPr>
            </w:pPr>
            <w:r>
              <w:rPr>
                <w:rFonts w:hint="eastAsia" w:ascii="仿宋" w:hAnsi="仿宋" w:eastAsia="仿宋" w:cs="仿宋"/>
                <w:b/>
                <w:szCs w:val="21"/>
              </w:rPr>
              <w:t>分值</w:t>
            </w:r>
          </w:p>
        </w:tc>
        <w:tc>
          <w:tcPr>
            <w:tcW w:w="3838" w:type="pct"/>
            <w:tcBorders>
              <w:top w:val="single" w:color="auto" w:sz="4" w:space="0"/>
              <w:left w:val="nil"/>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Cs w:val="21"/>
              </w:rPr>
            </w:pPr>
            <w:r>
              <w:rPr>
                <w:rFonts w:hint="eastAsia" w:ascii="仿宋" w:hAnsi="仿宋" w:eastAsia="仿宋" w:cs="仿宋"/>
                <w:b/>
                <w:szCs w:val="21"/>
              </w:rPr>
              <w:t>评标原则与标准</w:t>
            </w:r>
          </w:p>
        </w:tc>
      </w:tr>
      <w:tr>
        <w:tblPrEx>
          <w:tblCellMar>
            <w:top w:w="0" w:type="dxa"/>
            <w:left w:w="108" w:type="dxa"/>
            <w:bottom w:w="0" w:type="dxa"/>
            <w:right w:w="108" w:type="dxa"/>
          </w:tblCellMar>
        </w:tblPrEx>
        <w:trPr>
          <w:gridAfter w:val="1"/>
          <w:wAfter w:w="36" w:type="pct"/>
          <w:trHeight w:val="2610" w:hRule="atLeast"/>
          <w:jc w:val="center"/>
        </w:trPr>
        <w:tc>
          <w:tcPr>
            <w:tcW w:w="720"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rPr>
            </w:pPr>
            <w:r>
              <w:rPr>
                <w:rFonts w:hint="eastAsia" w:ascii="仿宋" w:hAnsi="仿宋" w:eastAsia="仿宋" w:cs="仿宋"/>
              </w:rPr>
              <w:t>投标报价</w:t>
            </w:r>
          </w:p>
        </w:tc>
        <w:tc>
          <w:tcPr>
            <w:tcW w:w="404"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rPr>
            </w:pPr>
            <w:r>
              <w:rPr>
                <w:rFonts w:hint="eastAsia" w:ascii="仿宋" w:hAnsi="仿宋" w:eastAsia="仿宋" w:cs="仿宋"/>
              </w:rPr>
              <w:t>30</w:t>
            </w: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ind w:firstLine="480" w:firstLineChars="200"/>
              <w:rPr>
                <w:rFonts w:hint="eastAsia" w:ascii="仿宋" w:hAnsi="仿宋" w:eastAsia="仿宋" w:cs="仿宋"/>
              </w:rPr>
            </w:pPr>
            <w:r>
              <w:rPr>
                <w:rFonts w:hint="eastAsia" w:ascii="仿宋" w:hAnsi="仿宋" w:eastAsia="仿宋" w:cs="仿宋"/>
              </w:rPr>
              <w:t>满足招标文件要求且投标价格最低的投标报价为评标基准价，其价格分为满分。其他投标供应商的价格分统一按照下列公式计算：投标报价得分=（评标基准价/投标报价）×30。</w:t>
            </w:r>
          </w:p>
          <w:p>
            <w:pPr>
              <w:adjustRightInd w:val="0"/>
              <w:snapToGrid w:val="0"/>
              <w:spacing w:line="400" w:lineRule="exact"/>
              <w:ind w:firstLine="480" w:firstLineChars="200"/>
              <w:rPr>
                <w:rFonts w:hint="eastAsia" w:ascii="仿宋" w:hAnsi="仿宋" w:eastAsia="仿宋" w:cs="仿宋"/>
                <w:b/>
                <w:bCs/>
              </w:rPr>
            </w:pPr>
            <w:r>
              <w:rPr>
                <w:rFonts w:hint="eastAsia" w:ascii="仿宋" w:hAnsi="仿宋" w:eastAsia="仿宋" w:cs="仿宋"/>
                <w:b/>
                <w:bCs/>
              </w:rPr>
              <w:t>磋商报价明显低</w:t>
            </w:r>
            <w:r>
              <w:rPr>
                <w:rFonts w:hint="eastAsia" w:ascii="仿宋" w:hAnsi="仿宋" w:eastAsia="仿宋" w:cs="仿宋"/>
                <w:b/>
                <w:bCs/>
                <w:szCs w:val="22"/>
              </w:rPr>
              <w:t>于其他投标人，有可能影响工程质量或者不能诚信履约的，须在</w:t>
            </w:r>
            <w:r>
              <w:rPr>
                <w:rFonts w:hint="eastAsia" w:ascii="仿宋" w:hAnsi="仿宋" w:eastAsia="仿宋" w:cs="仿宋"/>
                <w:b/>
                <w:bCs/>
                <w:szCs w:val="22"/>
                <w:lang w:eastAsia="zh-CN"/>
              </w:rPr>
              <w:t>合</w:t>
            </w:r>
            <w:r>
              <w:rPr>
                <w:rFonts w:hint="eastAsia" w:ascii="仿宋" w:hAnsi="仿宋" w:eastAsia="仿宋" w:cs="仿宋"/>
                <w:b/>
                <w:bCs/>
                <w:szCs w:val="22"/>
              </w:rPr>
              <w:t>理的时间内提供说明，必要时提交相关证明材料；投标人不能证明其报价合理性的，将其作为无效投标处理</w:t>
            </w:r>
            <w:r>
              <w:rPr>
                <w:rFonts w:hint="eastAsia" w:ascii="仿宋" w:hAnsi="仿宋" w:eastAsia="仿宋" w:cs="仿宋"/>
                <w:b/>
                <w:bCs/>
              </w:rPr>
              <w:t>。</w:t>
            </w:r>
          </w:p>
        </w:tc>
      </w:tr>
      <w:tr>
        <w:tblPrEx>
          <w:tblCellMar>
            <w:top w:w="0" w:type="dxa"/>
            <w:left w:w="108" w:type="dxa"/>
            <w:bottom w:w="0" w:type="dxa"/>
            <w:right w:w="108" w:type="dxa"/>
          </w:tblCellMar>
        </w:tblPrEx>
        <w:trPr>
          <w:gridAfter w:val="1"/>
          <w:wAfter w:w="36" w:type="pct"/>
          <w:trHeight w:val="1225" w:hRule="atLeast"/>
          <w:jc w:val="center"/>
        </w:trPr>
        <w:tc>
          <w:tcPr>
            <w:tcW w:w="720"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rPr>
            </w:pPr>
            <w:r>
              <w:rPr>
                <w:rFonts w:hint="eastAsia" w:ascii="仿宋" w:hAnsi="仿宋" w:eastAsia="仿宋" w:cs="仿宋"/>
              </w:rPr>
              <w:t>商务响应</w:t>
            </w:r>
          </w:p>
        </w:tc>
        <w:tc>
          <w:tcPr>
            <w:tcW w:w="404"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rPr>
            </w:pPr>
            <w:r>
              <w:rPr>
                <w:rFonts w:hint="eastAsia" w:ascii="仿宋" w:hAnsi="仿宋" w:eastAsia="仿宋" w:cs="仿宋"/>
              </w:rPr>
              <w:t>5</w:t>
            </w: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ind w:firstLine="480" w:firstLineChars="200"/>
              <w:rPr>
                <w:rFonts w:hint="eastAsia" w:ascii="仿宋" w:hAnsi="仿宋" w:eastAsia="仿宋" w:cs="仿宋"/>
              </w:rPr>
            </w:pPr>
            <w:r>
              <w:rPr>
                <w:rFonts w:hint="eastAsia" w:ascii="仿宋" w:hAnsi="仿宋" w:eastAsia="仿宋" w:cs="仿宋"/>
                <w:color w:val="auto"/>
                <w:sz w:val="24"/>
                <w:szCs w:val="24"/>
              </w:rPr>
              <w:t>经过有效性和符合性审核合格的单位，对付款、服务期、验收、售后服务等方面进行响应，完全响应且逐项详细说明的计5分，未做详细响应的，赋3分。</w:t>
            </w:r>
          </w:p>
        </w:tc>
      </w:tr>
      <w:tr>
        <w:tblPrEx>
          <w:tblCellMar>
            <w:top w:w="0" w:type="dxa"/>
            <w:left w:w="108" w:type="dxa"/>
            <w:bottom w:w="0" w:type="dxa"/>
            <w:right w:w="108" w:type="dxa"/>
          </w:tblCellMar>
        </w:tblPrEx>
        <w:trPr>
          <w:gridAfter w:val="1"/>
          <w:wAfter w:w="36" w:type="pct"/>
          <w:trHeight w:val="348" w:hRule="atLeast"/>
          <w:jc w:val="center"/>
        </w:trPr>
        <w:tc>
          <w:tcPr>
            <w:tcW w:w="720" w:type="pct"/>
            <w:vMerge w:val="restart"/>
            <w:tcBorders>
              <w:top w:val="single" w:color="auto" w:sz="4" w:space="0"/>
              <w:left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color w:val="auto"/>
                <w:lang w:eastAsia="zh-CN"/>
              </w:rPr>
            </w:pPr>
            <w:r>
              <w:rPr>
                <w:rFonts w:hint="eastAsia" w:ascii="仿宋" w:hAnsi="仿宋" w:eastAsia="仿宋" w:cs="仿宋"/>
                <w:color w:val="auto"/>
                <w:lang w:eastAsia="zh-CN"/>
              </w:rPr>
              <w:t>施工组织方案</w:t>
            </w:r>
          </w:p>
        </w:tc>
        <w:tc>
          <w:tcPr>
            <w:tcW w:w="404" w:type="pct"/>
            <w:vMerge w:val="restart"/>
            <w:tcBorders>
              <w:top w:val="single" w:color="auto" w:sz="4" w:space="0"/>
              <w:left w:val="nil"/>
              <w:right w:val="single" w:color="auto" w:sz="4" w:space="0"/>
            </w:tcBorders>
            <w:noWrap w:val="0"/>
            <w:vAlign w:val="center"/>
          </w:tcPr>
          <w:p>
            <w:pPr>
              <w:pStyle w:val="10"/>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60</w:t>
            </w: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1.确保工程质量的技术组织措施（6 分）</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供应商针对本项目编制工程质量的技术组织措施，内容包含：①质量目标；②质量保证措施；③质量管理措施等。</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方案各项内容全面详细、阐述条理清晰详尽、符合本项采购需求，能有效保障本项目实施。</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每项满分 2 分，缺项不得分，每项内容存在缺陷扣 0.5-1.5分。</w:t>
            </w:r>
          </w:p>
        </w:tc>
      </w:tr>
      <w:tr>
        <w:tblPrEx>
          <w:tblCellMar>
            <w:top w:w="0" w:type="dxa"/>
            <w:left w:w="108" w:type="dxa"/>
            <w:bottom w:w="0" w:type="dxa"/>
            <w:right w:w="108" w:type="dxa"/>
          </w:tblCellMar>
        </w:tblPrEx>
        <w:trPr>
          <w:gridAfter w:val="1"/>
          <w:wAfter w:w="36" w:type="pct"/>
          <w:trHeight w:val="348" w:hRule="atLeast"/>
          <w:jc w:val="center"/>
        </w:trPr>
        <w:tc>
          <w:tcPr>
            <w:tcW w:w="720" w:type="pct"/>
            <w:vMerge w:val="continue"/>
            <w:tcBorders>
              <w:left w:val="single" w:color="auto" w:sz="4" w:space="0"/>
              <w:right w:val="single" w:color="auto" w:sz="4" w:space="0"/>
            </w:tcBorders>
            <w:noWrap w:val="0"/>
            <w:vAlign w:val="center"/>
          </w:tcPr>
          <w:p>
            <w:pPr>
              <w:adjustRightInd w:val="0"/>
              <w:snapToGrid w:val="0"/>
              <w:spacing w:line="400" w:lineRule="exact"/>
            </w:pPr>
          </w:p>
        </w:tc>
        <w:tc>
          <w:tcPr>
            <w:tcW w:w="404" w:type="pct"/>
            <w:vMerge w:val="continue"/>
            <w:tcBorders>
              <w:left w:val="nil"/>
              <w:right w:val="single" w:color="auto" w:sz="4" w:space="0"/>
            </w:tcBorders>
            <w:noWrap w:val="0"/>
            <w:vAlign w:val="center"/>
          </w:tcPr>
          <w:p>
            <w:pPr>
              <w:adjustRightInd w:val="0"/>
              <w:snapToGrid w:val="0"/>
              <w:spacing w:line="400" w:lineRule="exact"/>
            </w:pP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2.确保安全生产的技术组织措施（6 分）</w:t>
            </w:r>
          </w:p>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供应商针对本项目编制保证安全生产的技术组织措施，内容包含：</w:t>
            </w:r>
          </w:p>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①施工安全生产目标；②安全生产保证体系；③安全生产技术措施等。</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方案各项内容全面详细、阐述条理清晰详尽、符合本项采购需求，能有效保障本项目实施。</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每项满分 2 分，缺项不得分，每项内容存在缺陷扣 0.5-1.5分。</w:t>
            </w:r>
          </w:p>
        </w:tc>
      </w:tr>
      <w:tr>
        <w:tblPrEx>
          <w:tblCellMar>
            <w:top w:w="0" w:type="dxa"/>
            <w:left w:w="108" w:type="dxa"/>
            <w:bottom w:w="0" w:type="dxa"/>
            <w:right w:w="108" w:type="dxa"/>
          </w:tblCellMar>
        </w:tblPrEx>
        <w:trPr>
          <w:gridAfter w:val="1"/>
          <w:wAfter w:w="36" w:type="pct"/>
          <w:trHeight w:val="348" w:hRule="atLeast"/>
          <w:jc w:val="center"/>
        </w:trPr>
        <w:tc>
          <w:tcPr>
            <w:tcW w:w="720" w:type="pct"/>
            <w:vMerge w:val="continue"/>
            <w:tcBorders>
              <w:left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404" w:type="pct"/>
            <w:vMerge w:val="continue"/>
            <w:tcBorders>
              <w:left w:val="nil"/>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3.确保文明施工的技术措施及环境保护措施（6 分）</w:t>
            </w:r>
          </w:p>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供应商针对本项目编制文明施工的技术措施及环境保护措施，内容包含：①文明施工措施；②环境保护措施等。</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方案各项内容全面详细、阐述条理清晰详尽、符合本项采购需求，能有效保障本项目实施。</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每项满分 3 分，缺项不得分，每项内容存在缺陷扣 0.5-2 分。</w:t>
            </w:r>
          </w:p>
        </w:tc>
      </w:tr>
      <w:tr>
        <w:tblPrEx>
          <w:tblCellMar>
            <w:top w:w="0" w:type="dxa"/>
            <w:left w:w="108" w:type="dxa"/>
            <w:bottom w:w="0" w:type="dxa"/>
            <w:right w:w="108" w:type="dxa"/>
          </w:tblCellMar>
        </w:tblPrEx>
        <w:trPr>
          <w:gridAfter w:val="1"/>
          <w:wAfter w:w="36" w:type="pct"/>
          <w:trHeight w:val="348" w:hRule="atLeast"/>
          <w:jc w:val="center"/>
        </w:trPr>
        <w:tc>
          <w:tcPr>
            <w:tcW w:w="720" w:type="pct"/>
            <w:vMerge w:val="continue"/>
            <w:tcBorders>
              <w:left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404" w:type="pct"/>
            <w:vMerge w:val="continue"/>
            <w:tcBorders>
              <w:left w:val="nil"/>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4.确保工期的技术组织措施（6 分）</w:t>
            </w:r>
          </w:p>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供应商针对本项目编制工期的技术组织措施，内容包含：①施工进度计划横道图或网络图；②进度计划保证措施等。</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方案各项内容全面详细、阐述条理清晰详尽、符合本项采购需求，能有效保障本项目实施。</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每项满分 3 分，缺项不得分，每项内容存在缺陷扣 0.5-2分。</w:t>
            </w:r>
          </w:p>
        </w:tc>
      </w:tr>
      <w:tr>
        <w:tblPrEx>
          <w:tblCellMar>
            <w:top w:w="0" w:type="dxa"/>
            <w:left w:w="108" w:type="dxa"/>
            <w:bottom w:w="0" w:type="dxa"/>
            <w:right w:w="108" w:type="dxa"/>
          </w:tblCellMar>
        </w:tblPrEx>
        <w:trPr>
          <w:gridAfter w:val="1"/>
          <w:wAfter w:w="36" w:type="pct"/>
          <w:trHeight w:val="348" w:hRule="atLeast"/>
          <w:jc w:val="center"/>
        </w:trPr>
        <w:tc>
          <w:tcPr>
            <w:tcW w:w="720" w:type="pct"/>
            <w:vMerge w:val="continue"/>
            <w:tcBorders>
              <w:left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404" w:type="pct"/>
            <w:vMerge w:val="continue"/>
            <w:tcBorders>
              <w:left w:val="nil"/>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5.施工方案（9 分）</w:t>
            </w:r>
          </w:p>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供应商针对本项目编制完善的工程施工方案，内容包含：①工程重难点及解决措施；②分部分项工程施工方案；③施工质量通病防治措施等。</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方案各项内容全面详细、阐述条理清晰详尽、符合本项采购需求，能有效保障本项目实施。</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每项满分 3 分，缺项不得分，每项内容存在缺陷扣 0.5-2 分。</w:t>
            </w:r>
          </w:p>
        </w:tc>
      </w:tr>
      <w:tr>
        <w:tblPrEx>
          <w:tblCellMar>
            <w:top w:w="0" w:type="dxa"/>
            <w:left w:w="108" w:type="dxa"/>
            <w:bottom w:w="0" w:type="dxa"/>
            <w:right w:w="108" w:type="dxa"/>
          </w:tblCellMar>
        </w:tblPrEx>
        <w:trPr>
          <w:gridAfter w:val="1"/>
          <w:wAfter w:w="36" w:type="pct"/>
          <w:trHeight w:val="348" w:hRule="atLeast"/>
          <w:jc w:val="center"/>
        </w:trPr>
        <w:tc>
          <w:tcPr>
            <w:tcW w:w="720" w:type="pct"/>
            <w:vMerge w:val="continue"/>
            <w:tcBorders>
              <w:left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404" w:type="pct"/>
            <w:vMerge w:val="continue"/>
            <w:tcBorders>
              <w:left w:val="nil"/>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6.施工机械设备配备计划和劳动力安排计划（6 分）</w:t>
            </w:r>
          </w:p>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供应商针对本项目编制施工机械设备配备计划和劳动力安排计划，内容包含：①施工机械设备配备计划；②劳动力安排计划等。</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方案各项内容全面详细、阐述条理清晰详尽、符合本项采购需求，能有效保障本项目实施。</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每项满分 3 分，缺项不得分，每项内容存在缺陷扣 0.5-2分。</w:t>
            </w:r>
          </w:p>
        </w:tc>
      </w:tr>
      <w:tr>
        <w:tblPrEx>
          <w:tblCellMar>
            <w:top w:w="0" w:type="dxa"/>
            <w:left w:w="108" w:type="dxa"/>
            <w:bottom w:w="0" w:type="dxa"/>
            <w:right w:w="108" w:type="dxa"/>
          </w:tblCellMar>
        </w:tblPrEx>
        <w:trPr>
          <w:gridAfter w:val="1"/>
          <w:wAfter w:w="36" w:type="pct"/>
          <w:trHeight w:val="348" w:hRule="atLeast"/>
          <w:jc w:val="center"/>
        </w:trPr>
        <w:tc>
          <w:tcPr>
            <w:tcW w:w="720" w:type="pct"/>
            <w:vMerge w:val="continue"/>
            <w:tcBorders>
              <w:left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404" w:type="pct"/>
            <w:vMerge w:val="continue"/>
            <w:tcBorders>
              <w:left w:val="nil"/>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7.项目部组成人员（6 分）</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供应商提供技术负责人、施工员、质量员、安全员（安全员须提供有效的安全生产考核合格书）、材料员、资料员的岗位培训合格证书。</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技术负责人需提供相应专业的中级及以上职称证，其他人员需提供岗位培训合格证书及有效的身份证复印件，每提供 1 份得 1 分。</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（提供有效证书复印件并加盖供应商公章，未提供者不得分）。</w:t>
            </w:r>
          </w:p>
        </w:tc>
      </w:tr>
      <w:tr>
        <w:tblPrEx>
          <w:tblCellMar>
            <w:top w:w="0" w:type="dxa"/>
            <w:left w:w="108" w:type="dxa"/>
            <w:bottom w:w="0" w:type="dxa"/>
            <w:right w:w="108" w:type="dxa"/>
          </w:tblCellMar>
        </w:tblPrEx>
        <w:trPr>
          <w:gridAfter w:val="1"/>
          <w:wAfter w:w="36" w:type="pct"/>
          <w:trHeight w:val="200" w:hRule="atLeast"/>
          <w:jc w:val="center"/>
        </w:trPr>
        <w:tc>
          <w:tcPr>
            <w:tcW w:w="720" w:type="pct"/>
            <w:vMerge w:val="continue"/>
            <w:tcBorders>
              <w:left w:val="single" w:color="auto" w:sz="4" w:space="0"/>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404" w:type="pct"/>
            <w:vMerge w:val="continue"/>
            <w:tcBorders>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color w:val="auto"/>
                <w:sz w:val="24"/>
                <w:szCs w:val="24"/>
                <w:lang w:val="en-US" w:eastAsia="zh-CN"/>
              </w:rPr>
            </w:pP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8.施工现场总平面布置图（5 分）</w:t>
            </w:r>
          </w:p>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供应商针对本项目提供施工现场总平面布置图。</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施工现场总平面布置图全面详细、符合本项目采购需求的得 5分，存在缺陷的扣0.5-3 分，未提供不得分。</w:t>
            </w:r>
          </w:p>
        </w:tc>
      </w:tr>
      <w:tr>
        <w:tblPrEx>
          <w:tblCellMar>
            <w:top w:w="0" w:type="dxa"/>
            <w:left w:w="108" w:type="dxa"/>
            <w:bottom w:w="0" w:type="dxa"/>
            <w:right w:w="108" w:type="dxa"/>
          </w:tblCellMar>
        </w:tblPrEx>
        <w:trPr>
          <w:gridAfter w:val="1"/>
          <w:wAfter w:w="36" w:type="pct"/>
          <w:trHeight w:val="200" w:hRule="atLeast"/>
          <w:jc w:val="center"/>
        </w:trPr>
        <w:tc>
          <w:tcPr>
            <w:tcW w:w="720" w:type="pct"/>
            <w:vMerge w:val="continue"/>
            <w:tcBorders>
              <w:left w:val="single" w:color="auto" w:sz="4" w:space="0"/>
              <w:bottom w:val="single" w:color="auto" w:sz="4" w:space="0"/>
              <w:right w:val="single" w:color="auto" w:sz="4" w:space="0"/>
            </w:tcBorders>
            <w:noWrap w:val="0"/>
            <w:vAlign w:val="center"/>
          </w:tcPr>
          <w:p>
            <w:pPr>
              <w:adjustRightInd w:val="0"/>
              <w:snapToGrid w:val="0"/>
              <w:spacing w:line="400" w:lineRule="exact"/>
            </w:pPr>
          </w:p>
        </w:tc>
        <w:tc>
          <w:tcPr>
            <w:tcW w:w="404" w:type="pct"/>
            <w:vMerge w:val="continue"/>
            <w:tcBorders>
              <w:left w:val="nil"/>
              <w:bottom w:val="single" w:color="auto" w:sz="4" w:space="0"/>
              <w:right w:val="single" w:color="auto" w:sz="4" w:space="0"/>
            </w:tcBorders>
            <w:noWrap w:val="0"/>
            <w:vAlign w:val="center"/>
          </w:tcPr>
          <w:p>
            <w:pPr>
              <w:adjustRightInd w:val="0"/>
              <w:snapToGrid w:val="0"/>
              <w:spacing w:line="400" w:lineRule="exact"/>
            </w:pP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9.新技术、新产品、新工艺、新材料应用情况（5 分）</w:t>
            </w:r>
          </w:p>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供应商针对本项目编制新技术、新产品、新工艺、新材料应用情况，内容包含：①新材料的应用情况；②新技术和新工艺的应用情况等。</w:t>
            </w:r>
          </w:p>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方案各项内容全面详细、阐述条理清晰详尽、符合本项采购需求，能有效保障本项目实施。</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每项满分 2.5 分，缺项不得分，每项内容存在缺陷扣 0.5-1.5 分。</w:t>
            </w:r>
          </w:p>
        </w:tc>
      </w:tr>
      <w:tr>
        <w:tblPrEx>
          <w:tblCellMar>
            <w:top w:w="0" w:type="dxa"/>
            <w:left w:w="108" w:type="dxa"/>
            <w:bottom w:w="0" w:type="dxa"/>
            <w:right w:w="108" w:type="dxa"/>
          </w:tblCellMar>
        </w:tblPrEx>
        <w:trPr>
          <w:gridAfter w:val="1"/>
          <w:wAfter w:w="36" w:type="pct"/>
          <w:trHeight w:val="200" w:hRule="atLeast"/>
          <w:jc w:val="center"/>
        </w:trPr>
        <w:tc>
          <w:tcPr>
            <w:tcW w:w="720" w:type="pct"/>
            <w:vMerge w:val="continue"/>
            <w:tcBorders>
              <w:left w:val="single" w:color="auto" w:sz="4" w:space="0"/>
              <w:bottom w:val="single" w:color="auto" w:sz="4" w:space="0"/>
              <w:right w:val="single" w:color="auto" w:sz="4" w:space="0"/>
            </w:tcBorders>
            <w:noWrap w:val="0"/>
            <w:vAlign w:val="center"/>
          </w:tcPr>
          <w:p>
            <w:pPr>
              <w:adjustRightInd w:val="0"/>
              <w:snapToGrid w:val="0"/>
              <w:spacing w:line="400" w:lineRule="exact"/>
            </w:pPr>
          </w:p>
        </w:tc>
        <w:tc>
          <w:tcPr>
            <w:tcW w:w="404" w:type="pct"/>
            <w:vMerge w:val="continue"/>
            <w:tcBorders>
              <w:left w:val="nil"/>
              <w:bottom w:val="single" w:color="auto" w:sz="4" w:space="0"/>
              <w:right w:val="single" w:color="auto" w:sz="4" w:space="0"/>
            </w:tcBorders>
            <w:noWrap w:val="0"/>
            <w:vAlign w:val="center"/>
          </w:tcPr>
          <w:p>
            <w:pPr>
              <w:adjustRightInd w:val="0"/>
              <w:snapToGrid w:val="0"/>
              <w:spacing w:line="400" w:lineRule="exact"/>
            </w:pP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10.保修承诺（5 分）</w:t>
            </w:r>
          </w:p>
          <w:p>
            <w:pPr>
              <w:adjustRightInd w:val="0"/>
              <w:snapToGrid w:val="0"/>
              <w:spacing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供应商提供对本项目的保修承诺，内容包含：①工程质保期内的保修服务承诺；②工程竣工验收合格后使用过程中因质量问题而产生的补救措施，响应时间等。</w:t>
            </w:r>
          </w:p>
          <w:p>
            <w:pPr>
              <w:adjustRightInd w:val="0"/>
              <w:snapToGrid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每项满分2.5 分，缺项不得分，每项内容存在缺陷扣 0.5-1.5分</w:t>
            </w:r>
          </w:p>
        </w:tc>
      </w:tr>
      <w:tr>
        <w:tblPrEx>
          <w:tblCellMar>
            <w:top w:w="0" w:type="dxa"/>
            <w:left w:w="108" w:type="dxa"/>
            <w:bottom w:w="0" w:type="dxa"/>
            <w:right w:w="108" w:type="dxa"/>
          </w:tblCellMar>
        </w:tblPrEx>
        <w:trPr>
          <w:gridAfter w:val="1"/>
          <w:wAfter w:w="36" w:type="pct"/>
          <w:trHeight w:val="1204" w:hRule="atLeast"/>
          <w:jc w:val="center"/>
        </w:trPr>
        <w:tc>
          <w:tcPr>
            <w:tcW w:w="720"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rPr>
              <w:t>业绩</w:t>
            </w:r>
          </w:p>
        </w:tc>
        <w:tc>
          <w:tcPr>
            <w:tcW w:w="404"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5</w:t>
            </w:r>
          </w:p>
        </w:tc>
        <w:tc>
          <w:tcPr>
            <w:tcW w:w="3838"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ind w:firstLine="480" w:firstLineChars="2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提供自2023年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val="zh-CN"/>
              </w:rPr>
              <w:t>月至今的</w:t>
            </w:r>
            <w:r>
              <w:rPr>
                <w:rFonts w:hint="eastAsia" w:ascii="仿宋" w:hAnsi="仿宋" w:eastAsia="仿宋" w:cs="仿宋"/>
                <w:color w:val="auto"/>
                <w:sz w:val="24"/>
                <w:szCs w:val="24"/>
                <w:lang w:val="en-US" w:eastAsia="zh-CN"/>
              </w:rPr>
              <w:t>类似</w:t>
            </w:r>
            <w:r>
              <w:rPr>
                <w:rFonts w:hint="eastAsia" w:ascii="仿宋" w:hAnsi="仿宋" w:eastAsia="仿宋" w:cs="仿宋"/>
                <w:color w:val="auto"/>
                <w:sz w:val="24"/>
                <w:szCs w:val="24"/>
                <w:lang w:val="zh-CN"/>
              </w:rPr>
              <w:t>项目业绩（时间以</w:t>
            </w:r>
            <w:r>
              <w:rPr>
                <w:rFonts w:hint="eastAsia" w:ascii="仿宋" w:hAnsi="仿宋" w:eastAsia="仿宋" w:cs="仿宋"/>
                <w:color w:val="auto"/>
                <w:sz w:val="24"/>
                <w:szCs w:val="24"/>
                <w:lang w:val="en-US" w:eastAsia="zh-CN"/>
              </w:rPr>
              <w:t>成交</w:t>
            </w:r>
            <w:r>
              <w:rPr>
                <w:rFonts w:hint="eastAsia" w:ascii="仿宋" w:hAnsi="仿宋" w:eastAsia="仿宋" w:cs="仿宋"/>
                <w:color w:val="auto"/>
                <w:sz w:val="24"/>
                <w:szCs w:val="24"/>
                <w:lang w:val="zh-CN"/>
              </w:rPr>
              <w:t>通知书或合同签订时间为准），每个项目业绩得</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CN"/>
              </w:rPr>
              <w:t>分，最多得</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val="zh-CN"/>
              </w:rPr>
              <w:t>分。</w:t>
            </w:r>
          </w:p>
          <w:p>
            <w:pPr>
              <w:adjustRightInd w:val="0"/>
              <w:snapToGrid w:val="0"/>
              <w:spacing w:line="400" w:lineRule="exact"/>
              <w:ind w:firstLine="480" w:firstLineChars="2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业绩材料须在响应文件中附加盖投标人单位公章的</w:t>
            </w:r>
            <w:r>
              <w:rPr>
                <w:rFonts w:hint="eastAsia" w:ascii="仿宋" w:hAnsi="仿宋" w:eastAsia="仿宋" w:cs="仿宋"/>
                <w:color w:val="auto"/>
                <w:sz w:val="24"/>
                <w:szCs w:val="24"/>
                <w:lang w:val="en-US" w:eastAsia="zh-CN"/>
              </w:rPr>
              <w:t>成交</w:t>
            </w:r>
            <w:r>
              <w:rPr>
                <w:rFonts w:hint="eastAsia" w:ascii="仿宋" w:hAnsi="仿宋" w:eastAsia="仿宋" w:cs="仿宋"/>
                <w:color w:val="auto"/>
                <w:sz w:val="24"/>
                <w:szCs w:val="24"/>
                <w:lang w:val="zh-CN"/>
              </w:rPr>
              <w:t>通知书或合同扫描件，未按要求提供的不得分。</w:t>
            </w:r>
          </w:p>
        </w:tc>
      </w:tr>
      <w:tr>
        <w:tblPrEx>
          <w:tblCellMar>
            <w:top w:w="0" w:type="dxa"/>
            <w:left w:w="108" w:type="dxa"/>
            <w:bottom w:w="0" w:type="dxa"/>
            <w:right w:w="108" w:type="dxa"/>
          </w:tblCellMar>
        </w:tblPrEx>
        <w:trPr>
          <w:trHeight w:val="1204"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ind w:firstLine="480" w:firstLineChars="200"/>
              <w:rPr>
                <w:rFonts w:hint="eastAsia" w:ascii="仿宋" w:hAnsi="仿宋" w:eastAsia="仿宋" w:cs="仿宋"/>
                <w:color w:val="auto"/>
                <w:sz w:val="24"/>
                <w:szCs w:val="24"/>
                <w:lang w:val="zh-CN"/>
              </w:rPr>
            </w:pPr>
            <w:r>
              <w:rPr>
                <w:rFonts w:hint="eastAsia" w:ascii="仿宋" w:hAnsi="仿宋" w:eastAsia="仿宋" w:cs="仿宋"/>
                <w:b/>
                <w:bCs/>
                <w:color w:val="auto"/>
                <w:sz w:val="24"/>
                <w:szCs w:val="24"/>
                <w:lang w:val="zh-CN"/>
              </w:rPr>
              <w:t>备注:缺陷是指内容不合理、虽有内容但不完善、内容表述前后不一致、套用其他项目方案或与项目需求不匹配及其他不利于项目实施的任意一种情形。</w:t>
            </w:r>
          </w:p>
        </w:tc>
      </w:tr>
    </w:tbl>
    <w:p>
      <w:pPr>
        <w:keepNext w:val="0"/>
        <w:keepLines w:val="0"/>
        <w:pageBreakBefore w:val="0"/>
        <w:widowControl/>
        <w:kinsoku/>
        <w:wordWrap/>
        <w:overflowPunct/>
        <w:topLinePunct w:val="0"/>
        <w:autoSpaceDE/>
        <w:autoSpaceDN/>
        <w:bidi w:val="0"/>
        <w:spacing w:line="440" w:lineRule="exac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八</w:t>
      </w:r>
      <w:r>
        <w:rPr>
          <w:rFonts w:hint="eastAsia" w:ascii="仿宋" w:hAnsi="仿宋" w:eastAsia="仿宋" w:cs="仿宋"/>
          <w:b/>
          <w:color w:val="auto"/>
          <w:sz w:val="28"/>
          <w:szCs w:val="28"/>
        </w:rPr>
        <w:t>、本项目落实政府采购政策</w:t>
      </w:r>
    </w:p>
    <w:p>
      <w:pPr>
        <w:keepNext w:val="0"/>
        <w:keepLines w:val="0"/>
        <w:pageBreakBefore w:val="0"/>
        <w:widowControl/>
        <w:kinsoku/>
        <w:wordWrap/>
        <w:overflowPunct/>
        <w:topLinePunct w:val="0"/>
        <w:autoSpaceDE/>
        <w:autoSpaceDN/>
        <w:bidi w:val="0"/>
        <w:adjustRightInd w:val="0"/>
        <w:snapToGrid w:val="0"/>
        <w:spacing w:line="440" w:lineRule="exact"/>
        <w:ind w:firstLine="470" w:firstLineChars="196"/>
        <w:textAlignment w:val="auto"/>
        <w:rPr>
          <w:rFonts w:hint="eastAsia" w:ascii="仿宋" w:hAnsi="仿宋" w:eastAsia="仿宋" w:cs="仿宋"/>
          <w:color w:val="auto"/>
          <w:sz w:val="24"/>
        </w:rPr>
      </w:pPr>
      <w:r>
        <w:rPr>
          <w:rFonts w:hint="eastAsia" w:ascii="仿宋" w:hAnsi="仿宋" w:eastAsia="仿宋" w:cs="仿宋"/>
          <w:color w:val="auto"/>
          <w:sz w:val="24"/>
        </w:rPr>
        <w:t>1.落实政府采购信用融资有关政策要求执行陕西省财政厅关于印发《陕西省中小企业政府采购信用融资办法》（陕财办采〔2018〕23号）文件规定；</w:t>
      </w:r>
    </w:p>
    <w:p>
      <w:pPr>
        <w:keepNext w:val="0"/>
        <w:keepLines w:val="0"/>
        <w:pageBreakBefore w:val="0"/>
        <w:widowControl/>
        <w:kinsoku/>
        <w:wordWrap/>
        <w:overflowPunct/>
        <w:topLinePunct w:val="0"/>
        <w:autoSpaceDE/>
        <w:autoSpaceDN/>
        <w:bidi w:val="0"/>
        <w:adjustRightInd w:val="0"/>
        <w:snapToGrid w:val="0"/>
        <w:spacing w:line="440" w:lineRule="exact"/>
        <w:ind w:firstLine="470" w:firstLineChars="196"/>
        <w:textAlignment w:val="auto"/>
        <w:rPr>
          <w:rFonts w:hint="eastAsia" w:ascii="仿宋" w:hAnsi="仿宋" w:eastAsia="仿宋" w:cs="仿宋"/>
          <w:color w:val="auto"/>
        </w:rPr>
      </w:pPr>
      <w:r>
        <w:rPr>
          <w:rFonts w:hint="eastAsia" w:ascii="仿宋" w:hAnsi="仿宋" w:eastAsia="仿宋" w:cs="仿宋"/>
          <w:color w:val="auto"/>
          <w:sz w:val="24"/>
          <w:lang w:val="en-US" w:eastAsia="zh-CN"/>
        </w:rPr>
        <w:t>1.1</w:t>
      </w:r>
      <w:r>
        <w:rPr>
          <w:rFonts w:hint="eastAsia" w:ascii="仿宋" w:hAnsi="仿宋" w:eastAsia="仿宋" w:cs="仿宋"/>
          <w:color w:val="auto"/>
          <w:sz w:val="24"/>
          <w:lang w:eastAsia="zh-CN"/>
        </w:rPr>
        <w:t>供应商为中小企业的，可依据</w:t>
      </w:r>
      <w:r>
        <w:rPr>
          <w:rFonts w:hint="eastAsia" w:ascii="仿宋" w:hAnsi="仿宋" w:eastAsia="仿宋" w:cs="仿宋"/>
          <w:color w:val="auto"/>
          <w:sz w:val="24"/>
        </w:rPr>
        <w:t>《陕西省中小企业政府采购信用融资办法》（陕财办采〔2018〕23号）</w:t>
      </w:r>
      <w:r>
        <w:rPr>
          <w:rFonts w:hint="eastAsia" w:ascii="仿宋" w:hAnsi="仿宋" w:eastAsia="仿宋" w:cs="仿宋"/>
          <w:color w:val="auto"/>
          <w:sz w:val="24"/>
          <w:lang w:eastAsia="zh-CN"/>
        </w:rPr>
        <w:t>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w:t>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HYPERLINK "http://www.ccgp-shaanxi.gov.cn/zcdservice/zcd/shananxi" </w:instrText>
      </w:r>
      <w:r>
        <w:rPr>
          <w:rFonts w:hint="eastAsia" w:ascii="仿宋" w:hAnsi="仿宋" w:eastAsia="仿宋" w:cs="仿宋"/>
          <w:color w:val="auto"/>
          <w:sz w:val="24"/>
        </w:rPr>
        <w:fldChar w:fldCharType="separate"/>
      </w:r>
      <w:r>
        <w:rPr>
          <w:rFonts w:hint="eastAsia" w:ascii="仿宋" w:hAnsi="仿宋" w:eastAsia="仿宋" w:cs="仿宋"/>
          <w:color w:val="auto"/>
          <w:sz w:val="24"/>
        </w:rPr>
        <w:t>http://www.ccgp-shaanxi.gov.cn/zcdservice/zcd/shananxi</w:t>
      </w:r>
      <w:r>
        <w:rPr>
          <w:rFonts w:hint="eastAsia" w:ascii="仿宋" w:hAnsi="仿宋" w:eastAsia="仿宋" w:cs="仿宋"/>
          <w:color w:val="auto"/>
          <w:sz w:val="24"/>
        </w:rPr>
        <w:fldChar w:fldCharType="end"/>
      </w:r>
      <w:r>
        <w:rPr>
          <w:rFonts w:hint="eastAsia" w:ascii="仿宋" w:hAnsi="仿宋" w:eastAsia="仿宋" w:cs="仿宋"/>
          <w:color w:val="auto"/>
          <w:sz w:val="24"/>
          <w:lang w:eastAsia="zh-CN"/>
        </w:rPr>
        <w:t>（陕西省政府采购信用融资平台）查看办理。</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2 投标企业政府采购政策</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2.1 中小企业落实政府采购政策</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2.1.1根据《政府采购促进中小企业发展管理办法》（财库〔2020〕46号）和《关于进一步加大政府采购支持中小企业力度的通知》（财库〔2022〕19号）的有关规定，提供本企业制造的货物、承担工程或服务，或者提供其他中小微企业制造的货物。同时，供应商提供的货物既有中小企业制造货物，也有大型企业制造货物的，不享受中小企业扶持政策。</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2.1.2投标供应商出具《中小企业声明函》，由</w:t>
      </w:r>
      <w:r>
        <w:rPr>
          <w:rFonts w:hint="eastAsia" w:ascii="仿宋" w:hAnsi="仿宋" w:eastAsia="仿宋" w:cs="仿宋"/>
          <w:color w:val="auto"/>
          <w:lang w:eastAsia="zh-CN"/>
        </w:rPr>
        <w:t>磋商小组</w:t>
      </w:r>
      <w:r>
        <w:rPr>
          <w:rFonts w:hint="eastAsia" w:ascii="仿宋" w:hAnsi="仿宋" w:eastAsia="仿宋" w:cs="仿宋"/>
          <w:color w:val="auto"/>
        </w:rPr>
        <w:t>审定，符合条件的企业享受政府采购政策。</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2.2 监狱和戒毒企业落实政府采购政策</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监狱和戒毒企业应符合《财政部、司法部关于政府采购支持监狱企业发展有关问题的通知》--财库〔20</w:t>
      </w:r>
      <w:r>
        <w:rPr>
          <w:rFonts w:hint="eastAsia" w:ascii="仿宋" w:hAnsi="仿宋" w:eastAsia="仿宋" w:cs="仿宋"/>
          <w:color w:val="auto"/>
          <w:lang w:val="en-US" w:eastAsia="zh-CN"/>
        </w:rPr>
        <w:t>14</w:t>
      </w:r>
      <w:r>
        <w:rPr>
          <w:rFonts w:hint="eastAsia" w:ascii="仿宋" w:hAnsi="仿宋" w:eastAsia="仿宋" w:cs="仿宋"/>
          <w:color w:val="auto"/>
        </w:rPr>
        <w:t>〕68号，并提供由省级以上监狱管理局、戒毒管理局(含新疆生产建设兵团)出具的属于监狱企业的证明。</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3 投标产品政府采购政策</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3.1 节能产品依据《关于印发节能产品政府采购品目清单的通知》（财库〔20</w:t>
      </w:r>
      <w:r>
        <w:rPr>
          <w:rFonts w:hint="eastAsia" w:ascii="仿宋" w:hAnsi="仿宋" w:eastAsia="仿宋" w:cs="仿宋"/>
          <w:color w:val="auto"/>
          <w:lang w:val="en-US" w:eastAsia="zh-CN"/>
        </w:rPr>
        <w:t>19</w:t>
      </w:r>
      <w:r>
        <w:rPr>
          <w:rFonts w:hint="eastAsia" w:ascii="仿宋" w:hAnsi="仿宋" w:eastAsia="仿宋" w:cs="仿宋"/>
          <w:color w:val="auto"/>
        </w:rPr>
        <w:t>〕19号）的规定为准。</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3.2 环境标志产品依据《关于印发环境标志产品政府采购品目清单的通知》（财库〔20</w:t>
      </w:r>
      <w:r>
        <w:rPr>
          <w:rFonts w:hint="eastAsia" w:ascii="仿宋" w:hAnsi="仿宋" w:eastAsia="仿宋" w:cs="仿宋"/>
          <w:color w:val="auto"/>
          <w:lang w:val="en-US" w:eastAsia="zh-CN"/>
        </w:rPr>
        <w:t>19</w:t>
      </w:r>
      <w:r>
        <w:rPr>
          <w:rFonts w:hint="eastAsia" w:ascii="仿宋" w:hAnsi="仿宋" w:eastAsia="仿宋" w:cs="仿宋"/>
          <w:color w:val="auto"/>
        </w:rPr>
        <w:t>〕18 号）的规定为准。</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3.3 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3.4 若节能、环保、环境标志清单内的产品仅是构成投标产品的部件、组件或零件的，则该投标产品不享受鼓励优惠政策。</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3.5 同一标段的节能、环保、环境标志产品部分优惠只对属于清单内的非强制类产品进行优惠，强制类产品不给予优惠。</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3.6 节能、环保、环境标志产品不重复优惠；同时列入国家级清单和省级清单的产品不重复优惠。</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3.7 获得上述认证的产品在投标时应提供有效证明材料。以上所有证明文件复印件须加盖供应商公章并注明“与原件一致”，否则不予优惠。</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4价格优惠比例</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4.1投标企业优惠比例</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u w:val="single"/>
          <w:lang w:val="en-US" w:eastAsia="zh-CN"/>
        </w:rPr>
      </w:pPr>
      <w:r>
        <w:rPr>
          <w:rFonts w:hint="eastAsia" w:ascii="仿宋" w:hAnsi="仿宋" w:eastAsia="仿宋" w:cs="仿宋"/>
          <w:color w:val="auto"/>
          <w:lang w:val="en-US" w:eastAsia="zh-CN"/>
        </w:rPr>
        <w:t>符合招标文件规定的小微企业、监狱企业优惠条件的投标人，服务、货物类项目价格给予10%的扣除，用扣除后的价格参与评审。对于同时属于小微企业、监狱企业或残疾人福利性单位的，不重复进行投标报价扣除。</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4.2投标产品优惠比例</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投标产品为节能、环保、环境标志品目清单中的产品，符合招标文件要求的，价格给予10%的扣除，用扣除后的价格参与评审。</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九</w:t>
      </w:r>
      <w:r>
        <w:rPr>
          <w:rFonts w:hint="eastAsia" w:ascii="仿宋" w:hAnsi="仿宋" w:eastAsia="仿宋" w:cs="仿宋"/>
          <w:b/>
          <w:color w:val="auto"/>
          <w:sz w:val="28"/>
          <w:szCs w:val="28"/>
        </w:rPr>
        <w:t>、确定成交单位</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1．依据评审结果写出磋商结果报告，送采购人。</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2．在竞争性磋商文件规定的有效期内，采购人在审查磋商结果报告的基础上确定成交单位，并复函磋商组织单位，磋商组织单位接到复函后</w:t>
      </w:r>
      <w:r>
        <w:rPr>
          <w:rFonts w:hint="eastAsia" w:ascii="仿宋" w:hAnsi="仿宋" w:eastAsia="仿宋" w:cs="仿宋"/>
          <w:color w:val="auto"/>
          <w:lang w:val="zh-CN" w:eastAsia="zh-CN"/>
        </w:rPr>
        <w:t>两个工作日内</w:t>
      </w:r>
      <w:r>
        <w:rPr>
          <w:rFonts w:hint="eastAsia" w:ascii="仿宋" w:hAnsi="仿宋" w:eastAsia="仿宋" w:cs="仿宋"/>
          <w:color w:val="auto"/>
          <w:lang w:val="en-US" w:eastAsia="zh-CN"/>
        </w:rPr>
        <w:t>，</w:t>
      </w:r>
      <w:r>
        <w:rPr>
          <w:rFonts w:hint="eastAsia" w:ascii="仿宋" w:hAnsi="仿宋" w:eastAsia="仿宋" w:cs="仿宋"/>
          <w:color w:val="auto"/>
          <w:lang w:val="zh-CN" w:eastAsia="zh-CN"/>
        </w:rPr>
        <w:t>在财政部门指定的媒体上公告成交结果，并</w:t>
      </w:r>
      <w:r>
        <w:rPr>
          <w:rFonts w:hint="eastAsia" w:ascii="仿宋" w:hAnsi="仿宋" w:eastAsia="仿宋" w:cs="仿宋"/>
          <w:color w:val="auto"/>
          <w:lang w:val="en-US" w:eastAsia="zh-CN"/>
        </w:rPr>
        <w:t>向确定的成交单位发出“成交通知书”。</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十</w:t>
      </w:r>
      <w:r>
        <w:rPr>
          <w:rFonts w:hint="eastAsia" w:ascii="仿宋" w:hAnsi="仿宋" w:eastAsia="仿宋" w:cs="仿宋"/>
          <w:b/>
          <w:color w:val="auto"/>
          <w:sz w:val="28"/>
          <w:szCs w:val="28"/>
        </w:rPr>
        <w:t>、合同</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1．成交通知书发出后，三十日内与成交单位洽谈合同条款，并签订合同。磋商文件及成交单位磋商响应文件均作为合同的组成部分。</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2．监督机构在合同履行期间以及履行期后，可以随时检查项目的执行情况，对采购标准、招标内容进行调查核实，并对发现的问题进行处理。</w:t>
      </w:r>
    </w:p>
    <w:p>
      <w:pPr>
        <w:keepNext w:val="0"/>
        <w:keepLines w:val="0"/>
        <w:pageBreakBefore w:val="0"/>
        <w:widowControl/>
        <w:kinsoku/>
        <w:wordWrap/>
        <w:overflowPunct/>
        <w:topLinePunct w:val="0"/>
        <w:autoSpaceDE/>
        <w:autoSpaceDN/>
        <w:bidi w:val="0"/>
        <w:adjustRightInd w:val="0"/>
        <w:snapToGrid w:val="0"/>
        <w:spacing w:line="440" w:lineRule="exact"/>
        <w:ind w:firstLine="560" w:firstLineChars="200"/>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eastAsia="zh-CN"/>
        </w:rPr>
        <w:t>一</w:t>
      </w:r>
      <w:r>
        <w:rPr>
          <w:rFonts w:hint="eastAsia" w:ascii="仿宋" w:hAnsi="仿宋" w:eastAsia="仿宋" w:cs="仿宋"/>
          <w:b/>
          <w:color w:val="auto"/>
          <w:sz w:val="28"/>
          <w:szCs w:val="28"/>
        </w:rPr>
        <w:t>、成交服务费</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成交服务费依据《国家计委关于印发〈招标代理服务费管理暂行办法〉的通知》（计价格〔2002〕1980号）标准收取，向成交单位收取代理服务费。</w:t>
      </w:r>
    </w:p>
    <w:p>
      <w:pPr>
        <w:keepNext w:val="0"/>
        <w:keepLines w:val="0"/>
        <w:pageBreakBefore w:val="0"/>
        <w:widowControl/>
        <w:kinsoku/>
        <w:wordWrap/>
        <w:overflowPunct/>
        <w:topLinePunct w:val="0"/>
        <w:autoSpaceDE/>
        <w:autoSpaceDN/>
        <w:bidi w:val="0"/>
        <w:adjustRightInd w:val="0"/>
        <w:snapToGrid w:val="0"/>
        <w:spacing w:line="440" w:lineRule="exact"/>
        <w:ind w:firstLine="560" w:firstLineChars="200"/>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eastAsia="zh-CN"/>
        </w:rPr>
        <w:t>二</w:t>
      </w:r>
      <w:r>
        <w:rPr>
          <w:rFonts w:hint="eastAsia" w:ascii="仿宋" w:hAnsi="仿宋" w:eastAsia="仿宋" w:cs="仿宋"/>
          <w:b/>
          <w:color w:val="auto"/>
          <w:sz w:val="28"/>
          <w:szCs w:val="28"/>
        </w:rPr>
        <w:t>、其它</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rPr>
        <w:t>1．特殊情况处理：当全部报价均超出财政预算限额或均低于公认的制作成本时，磋商小组有权决定是否进行第三次报价或本次竞争性磋商失败。若第三次报价仍超预算，采购人又无力追加，磋商小组可宣布本次竞争性磋商失败。</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lang w:val="en-US" w:eastAsia="zh-CN"/>
        </w:rPr>
        <w:t>2</w:t>
      </w:r>
      <w:r>
        <w:rPr>
          <w:rFonts w:hint="eastAsia" w:ascii="仿宋" w:hAnsi="仿宋" w:eastAsia="仿宋" w:cs="仿宋"/>
          <w:color w:val="auto"/>
        </w:rPr>
        <w:t>．磋商开始到成交单位确定前，磋商小组、采购单位及有关人员要严格遵循保密原则，任何一方不得向与评审无关的单位和人员透露与磋商有关的其它供应商的技术资料、价格及其它信息。否则，按政府采购有关处罚条款进行相应的处罚。</w:t>
      </w:r>
    </w:p>
    <w:p>
      <w:pPr>
        <w:keepNext w:val="0"/>
        <w:keepLines w:val="0"/>
        <w:pageBreakBefore w:val="0"/>
        <w:widowControl/>
        <w:kinsoku/>
        <w:wordWrap/>
        <w:overflowPunct/>
        <w:topLinePunct w:val="0"/>
        <w:autoSpaceDE/>
        <w:autoSpaceDN/>
        <w:bidi w:val="0"/>
        <w:adjustRightInd w:val="0"/>
        <w:snapToGrid w:val="0"/>
        <w:spacing w:line="440" w:lineRule="exact"/>
        <w:ind w:firstLine="646"/>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.拒绝商业贿赂供应商必须填写一份《拒绝政府采购领域商业贿赂承诺书》编制在磋商响应文件中。</w:t>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outlineLvl w:val="0"/>
        <w:rPr>
          <w:rFonts w:hint="eastAsia" w:ascii="仿宋" w:hAnsi="仿宋" w:eastAsia="仿宋" w:cs="仿宋"/>
          <w:b/>
          <w:color w:val="auto"/>
          <w:sz w:val="28"/>
          <w:szCs w:val="28"/>
        </w:rPr>
      </w:pPr>
      <w:r>
        <w:rPr>
          <w:rFonts w:hint="eastAsia" w:ascii="仿宋" w:hAnsi="仿宋" w:eastAsia="仿宋" w:cs="仿宋"/>
          <w:b/>
          <w:bCs/>
          <w:color w:val="auto"/>
          <w:sz w:val="28"/>
          <w:szCs w:val="28"/>
        </w:rPr>
        <w:t>第三部分  工程范围及质量验收标准</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b/>
          <w:bCs/>
          <w:color w:val="auto"/>
        </w:rPr>
        <w:t>一、工程内容及预算</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rPr>
        <w:t>1.</w:t>
      </w:r>
      <w:r>
        <w:rPr>
          <w:rFonts w:hint="eastAsia" w:ascii="仿宋" w:hAnsi="仿宋" w:eastAsia="仿宋" w:cs="仿宋"/>
          <w:color w:val="auto"/>
          <w:lang w:val="en-US" w:eastAsia="zh-CN"/>
        </w:rPr>
        <w:t>项目名称</w:t>
      </w:r>
      <w:r>
        <w:rPr>
          <w:rFonts w:hint="eastAsia" w:ascii="仿宋" w:hAnsi="仿宋" w:eastAsia="仿宋" w:cs="仿宋"/>
          <w:color w:val="auto"/>
        </w:rPr>
        <w:t>：</w:t>
      </w:r>
      <w:r>
        <w:rPr>
          <w:rFonts w:hint="eastAsia" w:ascii="仿宋" w:hAnsi="仿宋" w:eastAsia="仿宋" w:cs="仿宋"/>
          <w:i w:val="0"/>
          <w:iCs w:val="0"/>
          <w:caps w:val="0"/>
          <w:color w:val="auto"/>
          <w:spacing w:val="0"/>
          <w:sz w:val="24"/>
          <w:szCs w:val="24"/>
          <w:shd w:val="clear" w:fill="FFFFFF"/>
        </w:rPr>
        <w:t>平利县职业教育中心新校区餐厅改造项目</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2.项目最高限价：</w:t>
      </w:r>
      <w:r>
        <w:rPr>
          <w:rFonts w:hint="eastAsia" w:ascii="仿宋" w:hAnsi="仿宋" w:eastAsia="仿宋" w:cs="仿宋"/>
          <w:color w:val="auto"/>
          <w:lang w:val="en-US" w:eastAsia="zh-CN"/>
        </w:rPr>
        <w:t>壹佰贰拾玖万柒仟贰佰肆拾壹元陆角陆分</w:t>
      </w:r>
      <w:r>
        <w:rPr>
          <w:rFonts w:hint="eastAsia" w:ascii="仿宋" w:hAnsi="仿宋" w:eastAsia="仿宋" w:cs="仿宋"/>
          <w:color w:val="auto"/>
          <w:lang w:eastAsia="zh-CN"/>
        </w:rPr>
        <w:t>（¥</w:t>
      </w:r>
      <w:r>
        <w:rPr>
          <w:rFonts w:hint="eastAsia" w:ascii="仿宋" w:hAnsi="仿宋" w:eastAsia="仿宋" w:cs="仿宋"/>
          <w:color w:val="auto"/>
        </w:rPr>
        <w:t>1,297,241.66</w:t>
      </w:r>
      <w:r>
        <w:rPr>
          <w:rFonts w:hint="eastAsia" w:ascii="仿宋" w:hAnsi="仿宋" w:eastAsia="仿宋" w:cs="仿宋"/>
          <w:color w:val="auto"/>
          <w:lang w:eastAsia="zh-CN"/>
        </w:rPr>
        <w:t>元）</w:t>
      </w:r>
      <w:r>
        <w:rPr>
          <w:rFonts w:hint="eastAsia" w:ascii="仿宋" w:hAnsi="仿宋" w:eastAsia="仿宋" w:cs="仿宋"/>
          <w:color w:val="auto"/>
        </w:rPr>
        <w:t>，超出预算限价按无效投标处理。</w:t>
      </w:r>
    </w:p>
    <w:tbl>
      <w:tblPr>
        <w:tblStyle w:val="26"/>
        <w:tblW w:w="5010" w:type="pct"/>
        <w:tblInd w:w="-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5" w:hRule="atLeast"/>
        </w:trPr>
        <w:tc>
          <w:tcPr>
            <w:tcW w:w="5000" w:type="pct"/>
            <w:tcBorders>
              <w:top w:val="nil"/>
              <w:left w:val="nil"/>
              <w:bottom w:val="nil"/>
              <w:right w:val="nil"/>
            </w:tcBorders>
            <w:shd w:val="clear" w:color="auto" w:fill="auto"/>
            <w:noWrap/>
            <w:vAlign w:val="center"/>
          </w:tcPr>
          <w:p>
            <w:pPr>
              <w:pStyle w:val="69"/>
              <w:keepNext w:val="0"/>
              <w:keepLines w:val="0"/>
              <w:pageBreakBefore w:val="0"/>
              <w:widowControl/>
              <w:shd w:val="clear" w:color="auto" w:fill="FFFFFF"/>
              <w:kinsoku/>
              <w:wordWrap/>
              <w:overflowPunct/>
              <w:topLinePunct w:val="0"/>
              <w:autoSpaceDE/>
              <w:autoSpaceDN/>
              <w:bidi w:val="0"/>
              <w:spacing w:before="0" w:beforeAutospacing="0" w:after="0" w:afterAutospacing="0" w:line="440" w:lineRule="exact"/>
              <w:jc w:val="center"/>
              <w:textAlignment w:val="auto"/>
              <w:rPr>
                <w:rFonts w:hint="eastAsia" w:ascii="仿宋" w:hAnsi="仿宋" w:eastAsia="仿宋" w:cs="仿宋"/>
                <w:b/>
                <w:bCs/>
                <w:kern w:val="2"/>
                <w:sz w:val="32"/>
                <w:szCs w:val="32"/>
              </w:rPr>
            </w:pPr>
            <w:r>
              <w:rPr>
                <w:rFonts w:hint="eastAsia" w:ascii="仿宋" w:hAnsi="仿宋" w:eastAsia="仿宋" w:cs="仿宋"/>
                <w:b/>
                <w:bCs/>
                <w:kern w:val="2"/>
                <w:sz w:val="32"/>
                <w:szCs w:val="32"/>
              </w:rPr>
              <w:t>编制说明</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val="0"/>
                <w:color w:val="auto"/>
                <w:lang w:val="en-US" w:eastAsia="zh-CN"/>
              </w:rPr>
            </w:pPr>
            <w:r>
              <w:rPr>
                <w:rFonts w:hint="eastAsia" w:ascii="仿宋" w:hAnsi="仿宋" w:eastAsia="仿宋" w:cs="仿宋"/>
                <w:b/>
                <w:bCs w:val="0"/>
                <w:sz w:val="24"/>
                <w:szCs w:val="24"/>
              </w:rPr>
              <w:t>一</w:t>
            </w:r>
            <w:r>
              <w:rPr>
                <w:rFonts w:hint="eastAsia" w:ascii="仿宋" w:hAnsi="仿宋" w:eastAsia="仿宋" w:cs="仿宋"/>
                <w:b/>
                <w:bCs w:val="0"/>
                <w:color w:val="auto"/>
                <w:lang w:val="en-US" w:eastAsia="zh-CN"/>
              </w:rPr>
              <w:t>、工程概况：</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平利县职业教育中心新校区餐厅改造项目,建设地点位于平利县职教中心内，主要建设内容及规模：餐厅改造面积785.36平方米,地上二层，包含地墙面、吊顶以及拆除新建隔墙，厨房货架设备安装、水电、消防安装工程改造，具体实施内容详见工程量清单。</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二、工程量清单编制依据：</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1、建设单位提供的《平利县职业教育中心新校区餐厅改造工程》图纸；</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2、《陕西省建筑工程费用规则》（2025）、《陕西省房屋建筑与装饰工程基价表》（2025）、《陕西省房屋建筑与装饰工程定额》（2025）、《陕西省通用安装定额》（2025）；《陕西省通用安装基价表》（2025）；</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3、材料价格参照《安康市工程造价管理信息（平利县材料信息价）》2025年第8期执行，安康市平利县信息价中没有的材料价格以市场价计入；</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4、本工程混凝土按商品混凝土计取，砂浆按预拌砂浆计算；</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5、厨房货架及设备工程量为暂定工程量，根据专业深化设计方案计入，结算依据实际发生工程量据实计算。</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6、本清单工程量依据设计图纸计算，结算依据现场实际发生工程量，据实结算。</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三、本最高限价清单编制采用广联达云计价平台GCCP7.0。</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i w:val="0"/>
                <w:iCs w:val="0"/>
                <w:color w:val="000000"/>
                <w:sz w:val="24"/>
                <w:szCs w:val="24"/>
                <w:u w:val="none"/>
              </w:rPr>
            </w:pPr>
            <w:r>
              <w:rPr>
                <w:rFonts w:hint="eastAsia" w:ascii="仿宋" w:hAnsi="仿宋" w:eastAsia="仿宋" w:cs="仿宋"/>
                <w:color w:val="auto"/>
                <w:lang w:val="en-US" w:eastAsia="zh-CN"/>
              </w:rPr>
              <w:t>1.应甲方要求，本项目厨房设备暂列金10.00万元，计入装饰改造工程其他项目费</w:t>
            </w:r>
            <w:r>
              <w:rPr>
                <w:rFonts w:hint="eastAsia" w:ascii="仿宋" w:hAnsi="仿宋" w:eastAsia="仿宋" w:cs="仿宋"/>
                <w:sz w:val="24"/>
                <w:szCs w:val="24"/>
              </w:rPr>
              <w:t>中。</w:t>
            </w:r>
          </w:p>
        </w:tc>
      </w:tr>
    </w:tbl>
    <w:p>
      <w:pPr>
        <w:pStyle w:val="2"/>
        <w:ind w:left="0" w:leftChars="0" w:firstLine="0" w:firstLineChars="0"/>
        <w:rPr>
          <w:sz w:val="11"/>
          <w:szCs w:val="11"/>
        </w:rPr>
      </w:pPr>
    </w:p>
    <w:tbl>
      <w:tblPr>
        <w:tblStyle w:val="26"/>
        <w:tblW w:w="10140" w:type="dxa"/>
        <w:tblInd w:w="-5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25"/>
        <w:gridCol w:w="1680"/>
        <w:gridCol w:w="1260"/>
        <w:gridCol w:w="2477"/>
        <w:gridCol w:w="2455"/>
        <w:gridCol w:w="708"/>
        <w:gridCol w:w="1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10140" w:type="dxa"/>
            <w:gridSpan w:val="7"/>
            <w:tcBorders>
              <w:top w:val="nil"/>
              <w:left w:val="nil"/>
              <w:bottom w:val="nil"/>
              <w:right w:val="nil"/>
            </w:tcBorders>
            <w:shd w:val="clear" w:color="auto" w:fill="auto"/>
            <w:noWrap/>
            <w:vAlign w:val="bottom"/>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8"/>
                <w:szCs w:val="28"/>
                <w:u w:val="none"/>
                <w:lang w:val="en-US" w:eastAsia="zh-CN" w:bidi="ar"/>
              </w:rPr>
              <w:t>分部分项工程项目清单计价表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942" w:type="dxa"/>
            <w:gridSpan w:val="4"/>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工程名称：装饰改造工程                                                                                          </w:t>
            </w:r>
          </w:p>
        </w:tc>
        <w:tc>
          <w:tcPr>
            <w:tcW w:w="4198" w:type="dxa"/>
            <w:gridSpan w:val="3"/>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1200" w:firstLineChars="500"/>
              <w:jc w:val="both"/>
              <w:textAlignment w:val="top"/>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专业/标段：单独装饰工程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6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Chars="10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项目编码</w:t>
            </w:r>
          </w:p>
        </w:tc>
        <w:tc>
          <w:tcPr>
            <w:tcW w:w="12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4932"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项目特征描述</w:t>
            </w:r>
          </w:p>
        </w:tc>
        <w:tc>
          <w:tcPr>
            <w:tcW w:w="70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eastAsia" w:ascii="仿宋" w:hAnsi="仿宋" w:eastAsia="仿宋" w:cs="仿宋"/>
                <w:i w:val="0"/>
                <w:iCs w:val="0"/>
                <w:color w:val="000000"/>
                <w:sz w:val="24"/>
                <w:szCs w:val="24"/>
                <w:u w:val="none"/>
              </w:rPr>
            </w:pPr>
          </w:p>
        </w:tc>
        <w:tc>
          <w:tcPr>
            <w:tcW w:w="168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c>
          <w:tcPr>
            <w:tcW w:w="126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eastAsia" w:ascii="仿宋" w:hAnsi="仿宋" w:eastAsia="仿宋" w:cs="仿宋"/>
                <w:i w:val="0"/>
                <w:iCs w:val="0"/>
                <w:color w:val="000000"/>
                <w:sz w:val="24"/>
                <w:szCs w:val="24"/>
                <w:u w:val="none"/>
              </w:rPr>
            </w:pPr>
          </w:p>
        </w:tc>
        <w:tc>
          <w:tcPr>
            <w:tcW w:w="4932" w:type="dxa"/>
            <w:gridSpan w:val="2"/>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eastAsia" w:ascii="仿宋" w:hAnsi="仿宋" w:eastAsia="仿宋" w:cs="仿宋"/>
                <w:i w:val="0"/>
                <w:iCs w:val="0"/>
                <w:color w:val="000000"/>
                <w:sz w:val="24"/>
                <w:szCs w:val="24"/>
                <w:u w:val="none"/>
              </w:rPr>
            </w:pPr>
          </w:p>
        </w:tc>
        <w:tc>
          <w:tcPr>
            <w:tcW w:w="70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righ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trPr>
        <w:tc>
          <w:tcPr>
            <w:tcW w:w="525" w:type="dxa"/>
            <w:tcBorders>
              <w:top w:val="single" w:color="auto"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c>
          <w:tcPr>
            <w:tcW w:w="168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A.4</w:t>
            </w:r>
          </w:p>
        </w:tc>
        <w:tc>
          <w:tcPr>
            <w:tcW w:w="126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砌筑工程</w:t>
            </w:r>
          </w:p>
        </w:tc>
        <w:tc>
          <w:tcPr>
            <w:tcW w:w="4932"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c>
          <w:tcPr>
            <w:tcW w:w="708" w:type="dxa"/>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c>
          <w:tcPr>
            <w:tcW w:w="1035" w:type="dxa"/>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010401002001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实心砖墙</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1.砖品种、规格、强度等级:烧结页岩砖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lang w:val="en-US" w:eastAsia="zh-CN" w:bidi="ar"/>
              </w:rPr>
              <w:t>2.</w:t>
            </w:r>
            <w:r>
              <w:rPr>
                <w:rFonts w:hint="eastAsia" w:ascii="仿宋" w:hAnsi="仿宋" w:eastAsia="仿宋" w:cs="仿宋"/>
                <w:i w:val="0"/>
                <w:iCs w:val="0"/>
                <w:color w:val="000000"/>
                <w:kern w:val="0"/>
                <w:sz w:val="24"/>
                <w:szCs w:val="24"/>
                <w:u w:val="none"/>
                <w:lang w:val="en-US" w:eastAsia="zh-CN" w:bidi="ar"/>
              </w:rPr>
              <w:t xml:space="preserve">墙体厚度:240mm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sz w:val="24"/>
                <w:szCs w:val="24"/>
                <w:lang w:val="en-US" w:eastAsia="zh-CN" w:bidi="ar-SA"/>
              </w:rPr>
              <w:t>3.</w:t>
            </w:r>
            <w:r>
              <w:rPr>
                <w:rFonts w:hint="eastAsia" w:ascii="仿宋" w:hAnsi="仿宋" w:eastAsia="仿宋" w:cs="仿宋"/>
                <w:i w:val="0"/>
                <w:iCs w:val="0"/>
                <w:color w:val="000000"/>
                <w:kern w:val="0"/>
                <w:sz w:val="24"/>
                <w:szCs w:val="24"/>
                <w:u w:val="none"/>
                <w:lang w:val="en-US" w:eastAsia="zh-CN" w:bidi="ar"/>
              </w:rPr>
              <w:t>砂浆强度等级:M10</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1.砂浆制作</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2.砌砖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3.刮缝</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4.墙体顶缝、侧缝、填塞处理</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50.45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混凝土及钢筋</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混凝土</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010502031001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隔油池</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1.构件名称:成品隔油池</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2.规格不明确，暂定10000.00元/座</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1.安装</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座</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A.8</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门窗工程</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0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010802004001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乙级钢制防火门</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1.名称;FM乙级钢制防火门</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2.规格尺寸:1500*2200mm</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1.门(含框)安装</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2.五金安装</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3.嵌缝打胶</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樘</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010802004002</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乙级钢制防火门</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1.名称:FM乙级钢制防火门</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2.规格尺寸:800*2200mm</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bookmarkStart w:id="1" w:name="OLE_LINK3"/>
            <w:r>
              <w:rPr>
                <w:rFonts w:hint="eastAsia" w:ascii="仿宋" w:hAnsi="仿宋" w:eastAsia="仿宋" w:cs="仿宋"/>
                <w:i w:val="0"/>
                <w:iCs w:val="0"/>
                <w:color w:val="000000"/>
                <w:kern w:val="0"/>
                <w:sz w:val="24"/>
                <w:szCs w:val="24"/>
                <w:u w:val="none"/>
                <w:lang w:val="en-US" w:eastAsia="zh-CN" w:bidi="ar"/>
              </w:rPr>
              <w:t>门(含框)安装</w:t>
            </w:r>
            <w:bookmarkEnd w:id="1"/>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2.五金安装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3.嵌缝打胶</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樘</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7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010802004003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丙级钢制防火门</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1.名称:FM丙级钢制防火门</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2.规格尺寸:800*1800mm</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1.门(含框)安装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2.五金安装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3.嵌缝打胶</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樘</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010802003001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餐厅主</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入口大门</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1.名称:餐厅主入口大玻璃门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2.规格尺寸:3000*3000mm（图纸无尺寸,暂定）</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1.门(含框)安装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2.五金安装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3.嵌缝打胶</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樘</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010807002001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金属</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防火窗</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1.名称:乙级防火窗C1421</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2.规格尺寸:1400*2100mm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1.窗(含框)安装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2.五金安装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3.嵌缝打胶</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010807006001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厨房档口钢化防火玻璃橱窗</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1.玻璃品种、厚度:25MM A类复合防火玻璃</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2.嵌缝打胶</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A.9</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屋面及</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防水工程</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9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010903002001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墙面涂膜防水</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1.防水层为1.5厚聚氨酯防水涂料一道</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1.基层处理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2.刷基层处理剂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3.铺布、喷涂防水层</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10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010904002001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楼面涂膜防水</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1.防水层为1.5厚聚氨酯防水涂料一道</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1.基层处理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2.刷基层处理剂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3.铺布、喷涂防水层</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177.64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11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010904003001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地面砂浆防水</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（厨房）</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1.砂浆厚度、种类及强度等级:6厚聚合物水泥防水砂浆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2.上翻高度:250mm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1.基层处理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2.砂浆制作、摊铺、养护</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177.64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A.11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楼地面</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装饰工程</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12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011102001001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厨房档口石材台面</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1.大理石材台面</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1.清理基层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2.找平层铺设</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3.面层铺设、磨边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4.勾缝</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5.刷防护材料</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6.酸洗、打蜡、结晶</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5"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13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011102003001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块料楼</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地面</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1.找平层厚度、砂浆配合比:水泥砂浆结合层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2.面层材料品种、规格、品牌、颜色:800*800浅灰色防滑地砖</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1.基层清理、铺设垫层、抹找平层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2.面层铺设</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3.材料运输</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612.59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14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011105006001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金属</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踢脚线</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1.踢脚线高度:60mm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2.面层材料品种、规格:成品踢脚线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1.清理基层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2.基层铺贴</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3.面层铺设</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184.26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A.12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墙 、柱面装饰与隔断、幕墙工程</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15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011203003001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厨房块料墙面</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1.400*800墙砖，DTG砂浆勾缝或白水泥擦缝</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2.5厚DTA砂浆或瓷砖胶粘剂粘结层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1.清理基层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2.砂浆制作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3.面层铺贴、安装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4.磨光、酸洗、打蜡</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16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011205001001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仿木纹</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防火板</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墙面</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1.18MM防火板面层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2.15MM无机防火板基层两层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3.轻钢龙骨卡件连接</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4.厚度：700mm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1.清理基层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2.基层铺钉</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3.面层铺贴</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303.45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17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011201001001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墙、柱面一般抹灰</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1.基层类型、部位:砌体基层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2.各层厚度、材料种类及强度等级:水泥砂浆抹灰内墙抹灰（14+6mm）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1.清理基层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2.砂浆制作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3.分层抹灰</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277.67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A.13</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天棚工程</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18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011302001001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铝扣板</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吊顶</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1.基层：轻钢龙骨基层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2.面层：600*600白色铝扣板0.9MM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2.龙骨安装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3.基层板铺贴</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4.面层铺贴</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5.开孔及洞口处理</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128.74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19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011302001002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100*100仿木纹铝方通吊顶</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1.基层：轻钢龙骨基层，铝方通吊件</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2.面层：0.9MM木纹色铝方通</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2.龙骨安装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3.基层板铺贴</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4.面层铺贴</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5.开孔及洞口处理</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308.64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20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011302001003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石膏板</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吊顶</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1.基层：轻钢龙骨基层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2.面层：9.5mm石膏板吊顶双层（面刷乳胶漆另计）</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1.清理基层、吊杆安装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2.龙骨安装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3.面板铺贴</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A.14</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油漆、</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涂料、</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裱糊工程</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21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011403001001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天棚</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乳胶漆</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饰面</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1.腻子两遍，无机涂料两遍</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1.基层抹灰</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2.抹面层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3.抹装饰面</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5"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22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011403001002</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无机涂料内饰面</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1.腻子两遍，无机涂料两遍</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1.基层抹灰</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2.抹面层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3.抹装饰面</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A.15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其他</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装饰工程</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23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米面架</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1.规格：1500*500*300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2.整体采用201不锈钢制作，立柱及外框连接架采用38mm*38mm*1.0mm厚不锈钢方管制作，内框采用38mm*25mm*1.0mm厚不锈钢方管制作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3.配可调节脚</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24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011501002002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四层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平板货架</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1.规格：1000*500*1500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2.采用201不锈钢板制作，层板厚度1.2mm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3.立柱采用φ48mm*1.0mm不锈钢圆管</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4.面板及层板板下均采用不锈钢加强筋加固</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25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011501002003</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四层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平板货架</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1.规格：1500*500*1500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2.采用201不锈钢板制作，层板厚度1.2mm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3.立柱采用φ48mm*1.0mm不锈钢圆管</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4.面板及层板板下均采用不锈钢加强筋加固</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26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011501002004</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四层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平板货架</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1.规格：1200*500*1500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2.采用201不锈钢板制作，层板厚度1.2mm；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3.立柱采用φ48mm*1.0mm不锈钢圆管</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4.面板及层板板下均采用不锈钢加强筋加固</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5"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27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011505001001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洗手池</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1.规格：500*420*300+55</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3.星盆采用201不锈钢板制造，板厚1.2mm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4.落水采用不锈钢深斗带过滤网落水</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5.给水采用不锈钢蛇形管，配不锈钢下水器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6.配感应水龙头</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28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011501002005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不锈钢</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更衣柜</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1.规格;900*420*1800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2.面板采用201#不锈钢板制作,厚1.2mm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3.顶板、侧板、底板、中板、中底板、移门板采用201#不锈钢板制作，厚度1.0mm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4.后背板采用201#不锈钢板制作，厚度0.8mm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5.柜体共分六个存放空间，每个存放空间配优质拉手及锁具</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6.采用不锈钢重力脚做支撑立柱</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35"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29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011505001002</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单星盆</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水池</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1.规格：1000*700*800+150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3.星盆采用201不锈钢板制造，板厚1.2mm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4.立柱采用φ48mm*1.2mm不锈钢管，横通用38*25*1.2mm不锈钢矩管连接</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5.给水采用不锈钢蛇形管，配不锈钢下水器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6.配可调节子弹脚，配双温水龙头1套</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30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011501002006</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工作台</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带靠背</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1.规格：1400*700*800+150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2.面板采用201不锈钢板制造，板厚1.2mm，层板采用201不锈钢板制造，板厚1.2mm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3.面板及层板板下均采用U型加强筋加固，面板下加装15mm木工板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4.采用φ48mm×1.0mm不锈钢管做支撑立柱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31</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031005019001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电热水器</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1.规格：φ456mm*937</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2.额定输入功率：2.1kW；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3.额定电压/额定频率：220V/50Hz</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4.额定压力：0.8MPa</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5.防水等级：IPX4</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6.能效等级：二级</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7.热水输出率：≥80%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8.控制方式：机械旋钮</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9.内胆材质：搪瓷钢板厚度1.8mm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10.保温层发泡材料：环保发泡料（发泡剂：  245fa）</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11.外壳材质：SPCC+喷涂（板材厚度：0.38）</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12.产品尺寸：φ456mm*937mm </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32 </w:t>
            </w:r>
          </w:p>
        </w:tc>
        <w:tc>
          <w:tcPr>
            <w:tcW w:w="1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011501002007</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绞切机</w:t>
            </w:r>
          </w:p>
        </w:tc>
        <w:tc>
          <w:tcPr>
            <w:tcW w:w="493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1.规格：600*420*800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2.全不锈钢机身和绞切肉组件，绞切肉刀组可以免工具拆装，全铜芯双电机设计</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3.默认刀距3.5mm，切片厚度可以根据实际需求定制(2.5mm--20.00mm)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4.电压：220V</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5.功率：2×2.2kW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6.切丝产量：250kg/h</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7.切片产量：350kg/h</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8.绞肉产量：180kg/h</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9.灌肠产量：150kg/h</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10.切肉转速：490r/min </w:t>
            </w:r>
          </w:p>
        </w:tc>
        <w:tc>
          <w:tcPr>
            <w:tcW w:w="7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8" w:hRule="atLeast"/>
        </w:trPr>
        <w:tc>
          <w:tcPr>
            <w:tcW w:w="52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4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5"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33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011501002008</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工作台</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带靠背</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1.规格：1300*700*800+150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2.面板采用201不锈钢板制造，板厚1.2mm，层板采用201不锈钢板制造，板厚1.2mm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3.面板及层板板下均采用U型加强筋加固，面板下加装15mm木工板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4.采用φ48mm×1.0mm不锈钢管做支撑立柱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34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011501002009</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土豆</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脱皮机</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1.规格：850*600*1100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2.机身材质采用201不锈钢制作，高精度磨砂内壁，内嵌防水开关，配置不锈钢万向喷水管</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3.防水等级：IPX1</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4.拨料盘直径：350mm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5.传动轴转速：260 r/min</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6.生产能力:750kg/h</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7.电压:380V</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8.功率:1.1kW </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5"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35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011505002001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洗地喷枪</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1.规格：JXD-7005A (10米)</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2.开放式洗地龙头,碳钢喷涂主体</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3.铝制进水口,固定支架5.0mm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4.食品级树脂胶管(蓝色),耐高温100度, 耐压2MPa爆破测试</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5.扣板枪头,可调节直线或花洒状</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36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011501002010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双温</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四门</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高身柜</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1.规格：1200*700*1960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2.配置压缩机</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3.高密度粘合精铜管路蒸发器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4.内外箱采用油墨201不锈钢板材，微孔环戊烷发泡层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5.自动回归门铰链，C型把手</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6.浸塑搁物架</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7.电压/频率：220V/50Hz；功率330W；容积850L</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8.柜内温度：冷藏10℃~0℃；冷冻-6-15℃</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9.制冷方式：直冷</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37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011501002011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双温</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六门</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高身柜</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1.规格：1810*700*1960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2.配置压缩机</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3.高密度粘合精铜管路蒸发器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4.内外箱采用油墨201不锈钢板材，微孔环戊烷发泡层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5.自动回归门铰链，C型把手</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6.浸塑搁物架</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 电压/频率：220V/50Hz；功率580W；容积1250L</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8.柜内温度：冷藏10℃~0℃；冷冻-6～-15℃</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9.制冷方式：直冷</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38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011501002012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工作台</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1.规格：1800*800*800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 1.2mm不锈钢，层板采用201# 1.2mm不锈钢制作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3.面板及层板板下均采用U型加强筋加固，面板下加装15mm木工板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4.采用φ48×1.0mm不锈钢管做支撑立柱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39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011505001003</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背靠式</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双星盆</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水池</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1.规格：1600*700*800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3.星盆采用201不锈钢板制造，板厚1.2mm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4.立柱采用φ48mm*1.2mm不锈钢管，横通用38*25*1.2mm不锈钢矩管连接</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5.给水采用不锈钢蛇形管，配不锈钢下水器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6.配可调节子弹脚，配双温水龙头2套</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40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011501002013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冷藏</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平台雪柜</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1.规格：1800*800*800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2.配置压缩机和电子温控器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3.高密度粘合精铜管路蒸发器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4.内外箱采用油墨加厚201不锈钢板材，微孔环戊烷发泡层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5.合金自动回归门铰链，拉伸门衬和胆底，一体折弯把手</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6.加厚浸塑搁物架</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7.电压/频率：220V/50Hz；功率150W；容积475L</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8.柜内温度：冷藏10℃~-5℃</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9.制冷方式：直冷</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41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011501002014</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台面立架</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1.规格：1800*350*700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3.立柱采用30mm*30mm不锈钢方管</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4.台面与台脚相连接处应采用不锈钢脚杯焊接以增加强度</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42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011501002015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双通移门荷台柜</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1.规格：1500*800*800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2.面板采用201不锈钢板制造，板厚1.2mm，层板、侧板、中板、围板、趟门面板采用201不锈钢板制造，板厚1.0mm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3.中置内层板，面板及内层板板下均采用不锈钢加强筋加固</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4.柜门采用不锈钢滑动趟门结构</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5.采用不锈钢重力脚做支撑立柱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6.配置不锈钢可调脚，可调节高度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43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011501002016</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炉拼台</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1.规格：300*980*800+400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2.台面采用201不锈钢板制造，板厚1.2mm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3.立柱采用φ38mm*1.0mm不锈钢圆管</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4.台面与台脚相连接处应采用不锈钢脚杯焊接以增加强度</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44</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lang w:val="en-US" w:eastAsia="zh-CN"/>
              </w:rPr>
              <w:t>030225001001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rPr>
                <w:rFonts w:hint="eastAsia" w:ascii="仿宋" w:hAnsi="仿宋" w:eastAsia="仿宋" w:cs="仿宋"/>
                <w:lang w:val="en-US" w:eastAsia="zh-CN"/>
              </w:rPr>
            </w:pPr>
          </w:p>
          <w:p>
            <w:pPr>
              <w:jc w:val="center"/>
              <w:rPr>
                <w:rFonts w:hint="eastAsia" w:ascii="仿宋" w:hAnsi="仿宋" w:eastAsia="仿宋" w:cs="仿宋"/>
                <w:lang w:val="en-US" w:eastAsia="zh-CN"/>
              </w:rPr>
            </w:pPr>
            <w:r>
              <w:rPr>
                <w:rFonts w:hint="eastAsia" w:ascii="仿宋" w:hAnsi="仿宋" w:eastAsia="仿宋" w:cs="仿宋"/>
                <w:lang w:val="en-US" w:eastAsia="zh-CN"/>
              </w:rPr>
              <w:t>电磁</w:t>
            </w:r>
          </w:p>
          <w:p>
            <w:pPr>
              <w:jc w:val="center"/>
              <w:rPr>
                <w:rFonts w:hint="eastAsia" w:ascii="仿宋" w:hAnsi="仿宋" w:eastAsia="仿宋" w:cs="仿宋"/>
                <w:lang w:val="en-US" w:eastAsia="zh-CN"/>
              </w:rPr>
            </w:pPr>
            <w:r>
              <w:rPr>
                <w:rFonts w:hint="eastAsia" w:ascii="仿宋" w:hAnsi="仿宋" w:eastAsia="仿宋" w:cs="仿宋"/>
                <w:lang w:val="en-US" w:eastAsia="zh-CN"/>
              </w:rPr>
              <w:t>单头</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lang w:val="en-US" w:eastAsia="zh-CN"/>
              </w:rPr>
              <w:t>大锅灶</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lang w:val="en-US" w:eastAsia="zh-CN"/>
              </w:rPr>
            </w:pPr>
            <w:r>
              <w:rPr>
                <w:rFonts w:hint="eastAsia" w:ascii="仿宋" w:hAnsi="仿宋" w:eastAsia="仿宋" w:cs="仿宋"/>
                <w:lang w:val="en-US" w:eastAsia="zh-CN"/>
              </w:rPr>
              <w:t>【项目特征】</w:t>
            </w:r>
          </w:p>
          <w:p>
            <w:pPr>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lang w:val="en-US" w:eastAsia="zh-CN"/>
              </w:rPr>
            </w:pPr>
            <w:r>
              <w:rPr>
                <w:rFonts w:hint="eastAsia" w:ascii="仿宋" w:hAnsi="仿宋" w:eastAsia="仿宋" w:cs="仿宋"/>
                <w:lang w:val="en-US" w:eastAsia="zh-CN"/>
              </w:rPr>
              <w:t>1.规格：1200*1350*800+400</w:t>
            </w:r>
          </w:p>
          <w:p>
            <w:pPr>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lang w:val="en-US" w:eastAsia="zh-CN"/>
              </w:rPr>
            </w:pPr>
            <w:r>
              <w:rPr>
                <w:rFonts w:hint="eastAsia" w:ascii="仿宋" w:hAnsi="仿宋" w:eastAsia="仿宋" w:cs="仿宋"/>
                <w:lang w:val="en-US" w:eastAsia="zh-CN"/>
              </w:rPr>
              <w:t>2.面板采用201不锈钢板制造，板厚</w:t>
            </w:r>
          </w:p>
          <w:p>
            <w:pPr>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lang w:val="en-US" w:eastAsia="zh-CN"/>
              </w:rPr>
            </w:pPr>
            <w:r>
              <w:rPr>
                <w:rFonts w:hint="eastAsia" w:ascii="仿宋" w:hAnsi="仿宋" w:eastAsia="仿宋" w:cs="仿宋"/>
                <w:lang w:val="en-US" w:eastAsia="zh-CN"/>
              </w:rPr>
              <w:t>1.2mm，一体拉伸成型台面；炉前板、侧板及背板采用201不锈钢板制造，板厚1.0mm；</w:t>
            </w:r>
          </w:p>
          <w:p>
            <w:pPr>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lang w:val="en-US" w:eastAsia="zh-CN"/>
              </w:rPr>
            </w:pPr>
            <w:r>
              <w:rPr>
                <w:rFonts w:hint="eastAsia" w:ascii="仿宋" w:hAnsi="仿宋" w:eastAsia="仿宋" w:cs="仿宋"/>
                <w:lang w:val="en-US" w:eastAsia="zh-CN"/>
              </w:rPr>
              <w:t>3.强、弱电物理分离设计，有效避免强电对弱电控制电路的干扰，控制性能稳定并且避免电流过强烧坏电路板</w:t>
            </w:r>
          </w:p>
          <w:p>
            <w:pPr>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lang w:val="en-US" w:eastAsia="zh-CN"/>
              </w:rPr>
            </w:pPr>
            <w:r>
              <w:rPr>
                <w:rFonts w:hint="eastAsia" w:ascii="仿宋" w:hAnsi="仿宋" w:eastAsia="仿宋" w:cs="仿宋"/>
                <w:lang w:val="en-US" w:eastAsia="zh-CN"/>
              </w:rPr>
              <w:t>4.采用铜排搭桥设计，取代常规的PCB连接的方式，能抗过强电流，机芯内部温升低、不会出现因为机芯内部温度过高出现的保护停机现像</w:t>
            </w:r>
          </w:p>
          <w:p>
            <w:pPr>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lang w:val="en-US" w:eastAsia="zh-CN"/>
              </w:rPr>
            </w:pPr>
            <w:r>
              <w:rPr>
                <w:rFonts w:hint="eastAsia" w:ascii="仿宋" w:hAnsi="仿宋" w:eastAsia="仿宋" w:cs="仿宋"/>
                <w:lang w:val="en-US" w:eastAsia="zh-CN"/>
              </w:rPr>
              <w:t>5.全封闭式的设计，防水、防潮、防虫、防油烟，有效延长机芯的使用寿命</w:t>
            </w:r>
          </w:p>
          <w:p>
            <w:pPr>
              <w:keepNext w:val="0"/>
              <w:keepLines w:val="0"/>
              <w:pageBreakBefore w:val="0"/>
              <w:widowControl/>
              <w:kinsoku/>
              <w:wordWrap/>
              <w:overflowPunct/>
              <w:topLinePunct w:val="0"/>
              <w:autoSpaceDE/>
              <w:autoSpaceDN/>
              <w:bidi w:val="0"/>
              <w:adjustRightInd/>
              <w:snapToGrid/>
              <w:textAlignment w:val="auto"/>
              <w:rPr>
                <w:rFonts w:hint="eastAsia" w:ascii="仿宋" w:hAnsi="仿宋" w:eastAsia="仿宋" w:cs="仿宋"/>
                <w:lang w:val="en-US" w:eastAsia="zh-CN"/>
              </w:rPr>
            </w:pPr>
            <w:r>
              <w:rPr>
                <w:rFonts w:hint="eastAsia" w:ascii="仿宋" w:hAnsi="仿宋" w:eastAsia="仿宋" w:cs="仿宋"/>
                <w:lang w:val="en-US" w:eastAsia="zh-CN"/>
              </w:rPr>
              <w:t>6.实时显示功率，温度，工作状态，故障代码等</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lang w:val="en-US" w:eastAsia="zh-CN"/>
              </w:rPr>
            </w:pPr>
            <w:r>
              <w:rPr>
                <w:rFonts w:hint="eastAsia" w:ascii="仿宋" w:hAnsi="仿宋" w:eastAsia="仿宋" w:cs="仿宋"/>
                <w:lang w:val="en-US" w:eastAsia="zh-CN"/>
              </w:rPr>
              <w:t>7.配专用电磁大锅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lang w:val="en-US" w:eastAsia="zh-CN"/>
              </w:rPr>
            </w:pPr>
            <w:r>
              <w:rPr>
                <w:rFonts w:hint="eastAsia" w:ascii="仿宋" w:hAnsi="仿宋" w:eastAsia="仿宋" w:cs="仿宋"/>
                <w:lang w:val="en-US" w:eastAsia="zh-CN"/>
              </w:rPr>
              <w:t>8.电压：380V</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lang w:val="en-US" w:eastAsia="zh-CN"/>
              </w:rPr>
              <w:t xml:space="preserve">9.功率：25kW </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lang w:val="en-US" w:eastAsia="zh-CN"/>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restart"/>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45 </w:t>
            </w:r>
          </w:p>
        </w:tc>
        <w:tc>
          <w:tcPr>
            <w:tcW w:w="168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030225001002</w:t>
            </w:r>
          </w:p>
        </w:tc>
        <w:tc>
          <w:tcPr>
            <w:tcW w:w="126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电磁</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单头单尾小炒炉</w:t>
            </w:r>
          </w:p>
        </w:tc>
        <w:tc>
          <w:tcPr>
            <w:tcW w:w="4932" w:type="dxa"/>
            <w:gridSpan w:val="2"/>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1.规格：1100*1000*800+400mm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2.面板采用201不锈钢板制造，板厚1.2mm，一体拉伸成型台面；炉前板、侧板及背板采用201不锈钢板制造，板厚1.0mm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3.强、弱电物理分离设计，有效避免强电对弱电控制电路的干扰，控制性能稳定并且避免电流过强烧坏电路板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4.采用铜排搭桥设计，取代常规的PCB连接的方式，能抗过强电流，机芯内部温升低、不会出现因为机芯内部温度过高出现的保</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护停机现像</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5.全封闭式的设计，防水、防潮、防虫、防油烟，有效延长机芯的使用寿命</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6.实时显示功率，温度，工作状态，故障代码等</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7.电压：380V</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8.功率：15kW </w:t>
            </w:r>
          </w:p>
        </w:tc>
        <w:tc>
          <w:tcPr>
            <w:tcW w:w="708"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continue"/>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68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26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4932" w:type="dxa"/>
            <w:gridSpan w:val="2"/>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restart"/>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46 </w:t>
            </w:r>
          </w:p>
        </w:tc>
        <w:tc>
          <w:tcPr>
            <w:tcW w:w="168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030225001003</w:t>
            </w:r>
          </w:p>
        </w:tc>
        <w:tc>
          <w:tcPr>
            <w:tcW w:w="126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双门</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蒸饭车(电热)</w:t>
            </w:r>
          </w:p>
        </w:tc>
        <w:tc>
          <w:tcPr>
            <w:tcW w:w="4932" w:type="dxa"/>
            <w:gridSpan w:val="2"/>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1.规格：24盘</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2.外壳采用201不锈钢板制造，板厚1.2mm，柜体支撑板骨架采用加厚角铁框架结构，内胆采用304不锈钢板制造，板厚1.0mm，发泡保温层厚40mm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3.配24个600*400*48mm蒸饭盘，配置四个稳定足轮</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4.蒸制时间：25~50分钟（因环境及米种略有差异）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5.大米蒸制能力：每盘约3~5kg大米</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6.电压：380V/3N</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7.频率：50Hz</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8.功率：2×12kW</w:t>
            </w:r>
          </w:p>
        </w:tc>
        <w:tc>
          <w:tcPr>
            <w:tcW w:w="708"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trPr>
        <w:tc>
          <w:tcPr>
            <w:tcW w:w="525" w:type="dxa"/>
            <w:vMerge w:val="continue"/>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68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26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4932" w:type="dxa"/>
            <w:gridSpan w:val="2"/>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righ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restart"/>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47 </w:t>
            </w:r>
          </w:p>
        </w:tc>
        <w:tc>
          <w:tcPr>
            <w:tcW w:w="168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030225001004</w:t>
            </w:r>
          </w:p>
        </w:tc>
        <w:tc>
          <w:tcPr>
            <w:tcW w:w="126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电磁</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双头</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矮汤炉</w:t>
            </w:r>
          </w:p>
        </w:tc>
        <w:tc>
          <w:tcPr>
            <w:tcW w:w="4932" w:type="dxa"/>
            <w:gridSpan w:val="2"/>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1.规格：1200*800*550+650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 一体拉伸成型台面；炉前板、侧板及背板采用201不锈钢板制造，板厚1.0mm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3.强、弱电物理分离设计，有效避免强电对弱电控制电路的干扰，控制性能稳定并且避免电流过强烧坏电路板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4.采用铜排搭桥设计，取代常规的PCB连接的方式，能抗过强电流，机芯内部温升低、不会出现因为机芯内部温度过高出现的保</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护停机现像</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5.全封闭式的设计，防水、防潮、防虫、防油烟，有效延长机芯的使用寿命</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6.实时显示功率，温度，工作状态，故障代码等</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7.电压：380V</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8.功率：2×15kW</w:t>
            </w:r>
          </w:p>
        </w:tc>
        <w:tc>
          <w:tcPr>
            <w:tcW w:w="708"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25" w:type="dxa"/>
            <w:vMerge w:val="continue"/>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68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26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4932" w:type="dxa"/>
            <w:gridSpan w:val="2"/>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righ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48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030225001005</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电饼铛</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1.规格：650*800*850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2.全自动双温双控型，电热管加热，上下控温，配置两组旋钮及开关</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3.机身为201不锈钢材质，锅面为不粘锅涂层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4.下铛直径：560mm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5.工作温度：50℃～250℃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6.电压：380V</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7.功率：5kW</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restart"/>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49 </w:t>
            </w:r>
          </w:p>
        </w:tc>
        <w:tc>
          <w:tcPr>
            <w:tcW w:w="168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030902013001</w:t>
            </w:r>
          </w:p>
        </w:tc>
        <w:tc>
          <w:tcPr>
            <w:tcW w:w="126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厨房</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灭火系统</w:t>
            </w:r>
          </w:p>
        </w:tc>
        <w:tc>
          <w:tcPr>
            <w:tcW w:w="4932" w:type="dxa"/>
            <w:gridSpan w:val="2"/>
            <w:vMerge w:val="restart"/>
            <w:tcBorders>
              <w:top w:val="single" w:color="000000" w:sz="4" w:space="0"/>
              <w:left w:val="single" w:color="000000" w:sz="4" w:space="0"/>
              <w:bottom w:val="single" w:color="000000" w:sz="8"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spacing w:line="360" w:lineRule="exact"/>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1.规格：CMJS18-2-CD</w:t>
            </w:r>
          </w:p>
          <w:p>
            <w:pPr>
              <w:keepNext w:val="0"/>
              <w:keepLines w:val="0"/>
              <w:pageBreakBefore w:val="0"/>
              <w:widowControl/>
              <w:suppressLineNumbers w:val="0"/>
              <w:kinsoku/>
              <w:wordWrap/>
              <w:overflowPunct/>
              <w:topLinePunct w:val="0"/>
              <w:autoSpaceDE/>
              <w:autoSpaceDN/>
              <w:bidi w:val="0"/>
              <w:spacing w:line="360" w:lineRule="exact"/>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技术参数：⑴感温支架：304不锈钢；⑵工作环境温度：4℃~55℃；⑶感温器动作温度：183℃～232℃;⑷灭火剂持续喷射时间：≥10s;⑸冷却水喷洒时间：≥5min；⑹灭火剂容量（kg）：12.5kg；⑺喷嘴数量：18只；⑻储存方式及压力：外贮压式，12MPa；</w:t>
            </w:r>
          </w:p>
          <w:p>
            <w:pPr>
              <w:keepNext w:val="0"/>
              <w:keepLines w:val="0"/>
              <w:pageBreakBefore w:val="0"/>
              <w:widowControl/>
              <w:suppressLineNumbers w:val="0"/>
              <w:kinsoku/>
              <w:wordWrap/>
              <w:overflowPunct/>
              <w:topLinePunct w:val="0"/>
              <w:autoSpaceDE/>
              <w:autoSpaceDN/>
              <w:bidi w:val="0"/>
              <w:spacing w:line="360" w:lineRule="exact"/>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产品说明：灭火剂是无毒无味的新型环保产品，灭火现场易清洗，无污染，灭火速度快、效果好、不复燃；自动探测部件，24小时监控；自动启动灭火、关闭燃气阀并报警；机械传动，不需用电，原材料全部采用不锈钢及少量铜材等，防止设备氧化锈蚀。</w:t>
            </w:r>
          </w:p>
        </w:tc>
        <w:tc>
          <w:tcPr>
            <w:tcW w:w="708"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035"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10" w:hRule="atLeast"/>
        </w:trPr>
        <w:tc>
          <w:tcPr>
            <w:tcW w:w="525" w:type="dxa"/>
            <w:vMerge w:val="continue"/>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68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26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4932" w:type="dxa"/>
            <w:gridSpan w:val="2"/>
            <w:vMerge w:val="continue"/>
            <w:tcBorders>
              <w:top w:val="single" w:color="000000" w:sz="4" w:space="0"/>
              <w:left w:val="single" w:color="000000" w:sz="4" w:space="0"/>
              <w:bottom w:val="single" w:color="000000" w:sz="8"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spacing w:line="360" w:lineRule="exact"/>
              <w:jc w:val="both"/>
              <w:textAlignment w:val="center"/>
              <w:rPr>
                <w:rFonts w:hint="eastAsia" w:ascii="仿宋" w:hAnsi="仿宋" w:eastAsia="仿宋" w:cs="仿宋"/>
                <w:i w:val="0"/>
                <w:iCs w:val="0"/>
                <w:color w:val="000000"/>
                <w:kern w:val="0"/>
                <w:sz w:val="24"/>
                <w:szCs w:val="24"/>
                <w:u w:val="none"/>
                <w:lang w:val="en-US" w:eastAsia="zh-CN" w:bidi="ar"/>
              </w:rPr>
            </w:pPr>
          </w:p>
        </w:tc>
        <w:tc>
          <w:tcPr>
            <w:tcW w:w="708"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righ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50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011501002017</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四层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栅格货架</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spacing w:line="360" w:lineRule="exact"/>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1.规格：1500*500*1500</w:t>
            </w:r>
          </w:p>
          <w:p>
            <w:pPr>
              <w:keepNext w:val="0"/>
              <w:keepLines w:val="0"/>
              <w:pageBreakBefore w:val="0"/>
              <w:widowControl/>
              <w:suppressLineNumbers w:val="0"/>
              <w:kinsoku/>
              <w:wordWrap/>
              <w:overflowPunct/>
              <w:topLinePunct w:val="0"/>
              <w:autoSpaceDE/>
              <w:autoSpaceDN/>
              <w:bidi w:val="0"/>
              <w:spacing w:line="360" w:lineRule="exact"/>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2.采用201不锈钢制作，立柱采用φ48mm*1.0mm厚不锈钢管，内框采用38mm*25mm*1.0mm厚不锈钢方管</w:t>
            </w:r>
          </w:p>
          <w:p>
            <w:pPr>
              <w:keepNext w:val="0"/>
              <w:keepLines w:val="0"/>
              <w:pageBreakBefore w:val="0"/>
              <w:widowControl/>
              <w:suppressLineNumbers w:val="0"/>
              <w:kinsoku/>
              <w:wordWrap/>
              <w:overflowPunct/>
              <w:topLinePunct w:val="0"/>
              <w:autoSpaceDE/>
              <w:autoSpaceDN/>
              <w:bidi w:val="0"/>
              <w:spacing w:line="360" w:lineRule="exact"/>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3.配置不锈钢可调脚，可调节高度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51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030108001001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风幕机</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1.规格：1600*190*220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2.风速：11m/s-14m/s</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3.风量：1600m³/h-2000m³/h</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4.运行噪音(dB)：45-55</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5.电压：220V，频率：50Hz</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6.功率：260W</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52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011505001004</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双星盆</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水池</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1.规格：1500*800*800+150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3.星盆采用201不锈钢板制造，板厚1.2mm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4.立柱采用φ48mm*1.2mm不锈钢管，横通用38*25*1.2mm不锈钢矩管连接</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5.给水采用不锈钢蛇形管，配不锈钢下水器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6.配可调节子弹脚，配双温水龙头2套</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53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011501002018</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工作台</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1.规格：1200*800*800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 1.2mm不锈钢，层板采用201# 1.2mm不锈钢制作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3.面板及层板板下均采用U型加强筋加固，面板下加装15mm木工板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4.采用φ48×1.0mm不锈钢管做支撑立柱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8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54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040602028001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超声波</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洗碗机</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1.规格：1500*800*800+160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2.整体采用201不锈钢板制造</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3.振动方式：底附式</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4.控制方式：超声波发生器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5.电压：220V</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6.主机功率：3KW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7.加热功率：3KW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8.总功率：6KW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9.洗涤量：2000-3000件</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10.排污系统：40#不锈钢工业优质圆管</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55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011501002019</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四层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栅格层架</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1.规格：800*500*1500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2.采用不锈钢制作，立柱采用φ48mm*1.0mm厚不锈钢管，内框采用38mm*25mm*1.0mm厚不锈钢方管</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3.配置不锈钢可调脚，可调节高度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56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011501002020</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工作台</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带靠背</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1.规格：900*700*800+150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 1.2mm不锈钢，层板采用201# 1.2mm不锈钢制作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3.面板及层板板下均采用U型加强筋加固，面板下加装15mm木工板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4.采用φ48×1.0mm不锈钢管做支撑立柱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57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011505001005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三星盆</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水池</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1.规格：1800*700*800+150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3.星盆采用201不锈钢板制造，板厚1.2mm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4.立柱采用φ48mm*1.2mm不锈钢管，横通用38*25*1.2mm不锈钢矩管连接</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5.给水采用不锈钢蛇形管，配不锈钢下水器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6.配可调节子弹脚，配双温水龙头3套</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5"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58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011505001006</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无背板</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单星盆</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水池柜</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1.规格：700*700*800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2.面板采用201不锈钢板制造，板厚1.2mm，侧板、围板均采用201不锈钢板制造，板厚1.0mm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3.星盆采用201不锈钢板制造，板厚1.2mm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4.柜门采用不锈钢掩门结构</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5.给水采用不锈钢蛇形管，配不锈钢下水器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6.配不锈钢可调脚，可调节高度，配双温水龙头1套</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59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011505001007</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单通</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移门</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荷台柜</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1.规格：1800*700*800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2.面板采用201不锈钢板制造，板厚1.2mm，层板、侧板、中板、围板、趟门面板采用201不锈钢板制造，板厚1.0mm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3.中置内层板，面板及内层板板下均采用不锈钢加强筋加固</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4.柜门采用不锈钢滑动趟门结构</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5.采用不锈钢重力脚做支撑立柱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6.配置不锈钢可调脚，可调节高度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60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011505001008</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四门碗柜</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1.规格：1200*500*1800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 1.2mm优质不锈钢</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3.层板、侧板、围板、趟门面板均采用201#  1.0mm优质不锈钢制作；中置内层板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4.面板及内层板板下均采用U型加强筋加固</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5.柜门采用滑轮滑动结构</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6.采用不锈钢重力脚做支撑立柱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7.配置不锈钢可调脚，可调节高度</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restart"/>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61 </w:t>
            </w:r>
          </w:p>
        </w:tc>
        <w:tc>
          <w:tcPr>
            <w:tcW w:w="168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040602047001</w:t>
            </w:r>
          </w:p>
        </w:tc>
        <w:tc>
          <w:tcPr>
            <w:tcW w:w="126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热风循环消毒柜</w:t>
            </w:r>
          </w:p>
        </w:tc>
        <w:tc>
          <w:tcPr>
            <w:tcW w:w="4932" w:type="dxa"/>
            <w:gridSpan w:val="2"/>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1.规格：1200*520*1800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2.电压/频率：220V/50Hz</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3.功率：3.8kW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4.容积：680L</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5.外壳采用201不锈钢制作厚度1.0mm，内胆采用采用201不锈钢制作，厚度0.8mm ，高压整体发泡保温层，配置304不锈钢加热管，全不锈钢移动式层架，配置不锈钢重力脚</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6.设有自动控温、自动恒温和定时装置，超温保护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7.电热方式高温消毒，120℃以上保持时间≥15分钟，对大肠杆菌的平均杀灭对数值≥3，对脊髓灰质炎病毒的平均灭活对数值≥4</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8.箱体、内壁、层架、网架等与餐具接触的材料符合GB4806.9-2023检测依据，检验合格</w:t>
            </w:r>
          </w:p>
        </w:tc>
        <w:tc>
          <w:tcPr>
            <w:tcW w:w="708"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035"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trPr>
        <w:tc>
          <w:tcPr>
            <w:tcW w:w="525" w:type="dxa"/>
            <w:vMerge w:val="continue"/>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68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26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4932" w:type="dxa"/>
            <w:gridSpan w:val="2"/>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righ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62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011505001009</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五格售饭工作台</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1.规格：1800*700*800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2.采用201#不锈钢板制造，板厚1.2mm，侧板、围板均采用201#不锈钢板制造，板厚1.0mm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3.配有1/1份数盆五个</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4.装有可控温电热管，功率：3KW/220V</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5.支撑脚管采用38mm*38mm不锈钢方管</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6.台脚处连接不锈钢可调子弹脚，可调节高度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63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011501002021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工作台</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1.规格：600*700*800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2.面板采用201不锈钢板制造，板厚1.2mm，层板采用201不锈钢板制造，板厚1.2mm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3.面板及层板板下均采用U型加强筋加固，面板下加装15mm木工板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4.采用φ48mm×1.0mm不锈钢管做支撑立柱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64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011501002022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双门</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留样柜</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1.规格：1200*630*1580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2.电压/频率：220V/50Hz</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3.功率：180W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4.温度范围：-5℃～+8℃</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5.温控类型：按键/数显</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6.蒸发器类型：直冷</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7.能效要求：2级能效</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8.产品有效容积：212L</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9.总能量消耗：1.18kWh/24h</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10.双人双锁设计，带数字温度显示，钢化玻璃门铝合金边框，采用四个万向脚轮(前轮带刹车)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65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011501002023</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单孔</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收餐</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工作台</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1.规格：1000*700*800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3.面板板下采用U型加强筋加固</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4.采用φ48mm×1.0mm不锈钢管做支撑立柱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66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011501002024</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双层</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工作台</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1.规格：1200*700*800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2.面板采用201不锈钢板制造，板厚1.2mm，层板采用201不锈钢板制造，板厚1.2mm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3.面板及层板板下均采用U型加强筋加固，面板下加装15mm木工板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4.采用φ48mm×1.0mm不锈钢管做支撑立柱</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5.配置不锈钢可调脚，可调节高度</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67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030701009001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不锈钢</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烟罩</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1.规格：L*1400*500mm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2.烟罩主体采用201不锈钢发纹贴塑板，板厚1.0mm；滤油组件采用201不锈钢发纹贴塑板，板厚0.7mm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3.配置滤油网，接油杯。防爆灯</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68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030701009002</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不锈钢</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烟罩</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1.规格：L*1400*500mm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2.烟罩主体采用201不锈钢发纹贴塑板，板厚1.0mm；滤油组件采用201不锈钢发纹贴塑板，板厚0.7mm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3.配置滤油网，接油杯。防爆灯</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69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030702001001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碳钢</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通风管道</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1.规格：530*700mm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2.采用1.0mm优质镀锌板制作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3.烟管内连接处用玻璃硅胶密封，双面压筋加强处理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4.使用共板法兰连接密封</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70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030702001002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碳钢</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通风管道</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1.规格：530*430mm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2.采用1.0mm优质镀锌板制作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3.烟管内连接处用玻璃硅胶密封，双面压筋加强处理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4.使用共板法兰连接密封</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71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030702001003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镀锌</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抽风管</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1.规格：400*400mm（按实际用量计算）</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2.采用1.0mm优质镀锌板制作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3.烟管内连接处用玻璃硅胶密封，双面压筋加强处理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4.使用共板法兰连接密封</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72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030702001004</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镀锌</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抽风管</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1.规格：800*500mm（按实际用量计算）</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2.采用1.0mm优质镀锌板制作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3.烟管内连接处用玻璃硅胶密封，双面压筋加强处理 </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4.使用共板法兰连接密封</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73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030702001005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镀锌弯头</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1.规格：800*500mm（按实际用量计算）</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2.采用1.0mm优质镀锌板制作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3.烟管内连接处用玻璃硅胶密封，双面压筋加强处理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4.使用共板法兰连接密封</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74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030702001006</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镀锌变接</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1.规格：现场做</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2.采用1.0mm优质镀锌板制作</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3.烟管内连接处用玻璃硅胶密封，双面压筋加强处理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4.使用共板法兰连接密封</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75</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030108001002</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抽油烟</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风柜</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1.规格：380V/11kW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2.风机采用双吸式结构，风机外壳及叶片均采用1.2mm优质镀锌板，里外全面环氧漆静电喷涂</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3.风机主架均采用优质角钢，风机主轴为优质高强度碳素钢，皮带轮采用优质铸铁材质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4.叶轮为前倾多翼式铆接结构，由前后盘和叶片组成；前、后盘材料厚度1.5mm，后盘拉伸成形，叶片厚度1.2mm，冲压成型</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5.机箱底部安装U型槽钢枕梁及四端设有安装孔，风机顶部配有吊环，便于物流运转和工程安装，安全性高</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6.电压/频率：380V/50Hz</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7.功率：11kW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8.转速：993r/min</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9.流量：28660-35830（m³/h）</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10.全压：1056-793Pa</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11.进风口尺寸：1100*960mm；出风口尺寸：670*625mm</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restart"/>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76 </w:t>
            </w:r>
          </w:p>
        </w:tc>
        <w:tc>
          <w:tcPr>
            <w:tcW w:w="168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030108001003</w:t>
            </w:r>
          </w:p>
        </w:tc>
        <w:tc>
          <w:tcPr>
            <w:tcW w:w="1260"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抽油烟</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风柜</w:t>
            </w:r>
          </w:p>
        </w:tc>
        <w:tc>
          <w:tcPr>
            <w:tcW w:w="4932" w:type="dxa"/>
            <w:gridSpan w:val="2"/>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1.规格：20000风量</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2.风量：20000m³/h；</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3.组合形式：2×1列2芯（并联）</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4.高压电源：2×0.42kW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5.进出风口尺寸：1200*510mm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6.净化器箱体为1.0mm厚冷轧钢板，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表面环氧漆静电喷涂，高温烘烤溶结，设备采用积木式结构，电场能轻松拆卸</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7.电场单元采用高低压双区形式，净化效果高达98%以上，采用优质不锈钢材料， 当电场表面覆盖油污过多时，自动提示电场单元需清洗</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8.净化器采用高低压电源，高低压电源为纯数字智能控制，所有功能均由程序自动实现</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9.净化器的电源控制系统具有过流过压自动保护装置，具有放电跳停多重保护，优质技术恒压器装置，电源具有自动过载过压、断路、开路保护的工作原理</w:t>
            </w:r>
          </w:p>
        </w:tc>
        <w:tc>
          <w:tcPr>
            <w:tcW w:w="708"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035" w:type="dxa"/>
            <w:vMerge w:val="restart"/>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5" w:hRule="atLeast"/>
        </w:trPr>
        <w:tc>
          <w:tcPr>
            <w:tcW w:w="525" w:type="dxa"/>
            <w:vMerge w:val="continue"/>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68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260"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4932" w:type="dxa"/>
            <w:gridSpan w:val="2"/>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righ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77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030507001001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电机</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启动</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保护器</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1.规格：380V/11kW</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2.内配置空开、交流接触器、电动机综合保护器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3.通过低电压启动高电压，能对风柜起到，缺相自动断电、启动电流过大时自动断电、漏电时自动断电</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4.充分的保护了风柜机的使用寿命及人员操作的安全</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78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031007002001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减震支架</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1.规格：配套</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2.采用50角钢焊接，表面刷防锈漆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3.配减振器4个</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79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031002008001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软接</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1.采用防油帆布制作，具有消除震动的功能</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5"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80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040502005001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防火阀</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1.优质碳钢制作，表面刷防锈漆处理，有效隔断火势与烟气向风管蔓延的通路，确保安全性</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2.机械式控制</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81 </w:t>
            </w:r>
          </w:p>
        </w:tc>
        <w:tc>
          <w:tcPr>
            <w:tcW w:w="1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011501002025</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不锈钢4人快餐桌</w:t>
            </w:r>
          </w:p>
        </w:tc>
        <w:tc>
          <w:tcPr>
            <w:tcW w:w="493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1.规格：1200*600*750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2.餐桌面:优质不锈钢。餐桌腿:采用直径50低碳钢高频焊管(光亮管)，壁厚1.5mm，采用全自动液压弯曲，气保焊接成型。台</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面托架：采用4mm厚优质冷轧钢板折弯、冲压成型。椅托：采用直径25低碳钢高频焊管(光亮管)，壁厚1.5mm模压成型。座椅板：玻璃钢椅面，表面处理：所有钢件经酸洗、磷化防腐蚀处理后表面高喷涂EPOXY环氧树脂静电粉末，涂层0.1mm左右，细密均匀，符合国家标准要求</w:t>
            </w:r>
          </w:p>
        </w:tc>
        <w:tc>
          <w:tcPr>
            <w:tcW w:w="7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3" w:hRule="atLeast"/>
        </w:trPr>
        <w:tc>
          <w:tcPr>
            <w:tcW w:w="525"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4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righ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A.17</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拆除工程</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82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011701001001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砖砌体</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拆除</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1.砌体名称：砖砌体墙</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2.控制扬尘</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4.建渣场内运输</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48.89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83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011705001001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拆除</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原地面砖</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1.构件名称：拆除原地面砖</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2.控制扬尘</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4.建渣场内运输</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612.59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8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84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011705002001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铲除所有墙面拆除</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1.构件名称：铲除所有墙面拆除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2.控制扬尘</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4.建渣场内运输</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966.11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85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011709002001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隔断隔墙拆除</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1.门窗尺寸：隔断隔墙拆除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2.控制扬尘</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4.建渣场内运输</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86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011710002001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金属门</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拆除</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1.门窗尺寸：旧门拆除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2.控制扬尘</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4.建渣场内运输</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樘</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87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011710002002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金属窗</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拆除</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1.门窗尺寸 : 旧窗拆除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2.控制扬尘</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4.建渣场内运输</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樘</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88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011712002001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卫生洁具拆除</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1.门窗尺寸：卫生洁具拆除  蹲式大便器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2.控制扬尘</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4.建渣场内运输</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89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011712002002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卫生洁具拆除</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1.门窗尺寸 :卫生洁具拆除  挂式小便器</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1.拆除</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2.控制扬尘</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4.建渣场内运输</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5"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90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010103002001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建渣清运</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1.拆除建筑垃圾清运</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2.暂定5km</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1.搬运</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2.清运至指定弃置点</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157.87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91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保洁费</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排水沟、检查井</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92 </w:t>
            </w: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040205001001</w:t>
            </w:r>
          </w:p>
        </w:tc>
        <w:tc>
          <w:tcPr>
            <w:tcW w:w="126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圆形混凝土污水土检查井  Φ1000</w:t>
            </w:r>
          </w:p>
        </w:tc>
        <w:tc>
          <w:tcPr>
            <w:tcW w:w="493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1.井深、尺寸：见设计图</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2.参照图集：20S515-30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3.垫层：100厚C15混凝土</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4.底板、井壁：200厚C30混凝土,S6，内配钢筋</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5.盖板：C30混凝土预制盖板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6.预制井筒：砖井筒 Φ700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7.流槽用C15混凝土浇筑，20厚M10防水水泥砂浆抹面</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8.井盖:复合井盖及盖座</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9.具体做法详见图集</w:t>
            </w:r>
          </w:p>
        </w:tc>
        <w:tc>
          <w:tcPr>
            <w:tcW w:w="70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座</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93 </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040501017001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混凝土</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暗沟</w:t>
            </w: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1.规格：300*300</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2.做法参图集 :02J331-12</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3.面贴300*300白色瓷砖</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4.防水层为1.5厚聚氨酯防水涂料一道</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5.不锈钢排水格栅盖板</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【工作内容】</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1.基层清理</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2.排水沟制作、安装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3.排水沟盖板制作、安装</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4.瓷砖铺贴、防水层铺设</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39.11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493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0140" w:type="dxa"/>
            <w:gridSpan w:val="7"/>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bl>
    <w:p>
      <w:pPr>
        <w:keepNext w:val="0"/>
        <w:keepLines w:val="0"/>
        <w:pageBreakBefore w:val="0"/>
        <w:widowControl/>
        <w:kinsoku/>
        <w:wordWrap/>
        <w:overflowPunct/>
        <w:topLinePunct w:val="0"/>
        <w:autoSpaceDE/>
        <w:autoSpaceDN/>
        <w:bidi w:val="0"/>
        <w:adjustRightInd/>
        <w:snapToGrid/>
        <w:spacing w:line="240" w:lineRule="exact"/>
        <w:textAlignment w:val="auto"/>
        <w:rPr>
          <w:sz w:val="13"/>
          <w:szCs w:val="13"/>
        </w:rPr>
      </w:pPr>
    </w:p>
    <w:tbl>
      <w:tblPr>
        <w:tblStyle w:val="26"/>
        <w:tblW w:w="10140" w:type="dxa"/>
        <w:tblInd w:w="-5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25"/>
        <w:gridCol w:w="987"/>
        <w:gridCol w:w="693"/>
        <w:gridCol w:w="2562"/>
        <w:gridCol w:w="3285"/>
        <w:gridCol w:w="345"/>
        <w:gridCol w:w="708"/>
        <w:gridCol w:w="1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0140" w:type="dxa"/>
            <w:gridSpan w:val="8"/>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措施项目清单计价表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8"/>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spacing w:line="360" w:lineRule="exact"/>
              <w:ind w:left="5520" w:hanging="5520" w:hangingChars="230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工程名称：  装饰改造工程                               专业/标段：  单独装饰工程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68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项目编码</w:t>
            </w:r>
          </w:p>
        </w:tc>
        <w:tc>
          <w:tcPr>
            <w:tcW w:w="256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363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项目特征或工作内容</w:t>
            </w:r>
          </w:p>
        </w:tc>
        <w:tc>
          <w:tcPr>
            <w:tcW w:w="70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2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680" w:type="dxa"/>
            <w:gridSpan w:val="2"/>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2562"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3630" w:type="dxa"/>
            <w:gridSpan w:val="2"/>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70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w:t>
            </w:r>
          </w:p>
        </w:tc>
        <w:tc>
          <w:tcPr>
            <w:tcW w:w="1680"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2562"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通用措施</w:t>
            </w:r>
          </w:p>
        </w:tc>
        <w:tc>
          <w:tcPr>
            <w:tcW w:w="3630"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011801001001</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安全文明施工措施费</w:t>
            </w:r>
          </w:p>
        </w:tc>
        <w:tc>
          <w:tcPr>
            <w:tcW w:w="363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011801004001</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冬雨季施工增加费</w:t>
            </w:r>
          </w:p>
        </w:tc>
        <w:tc>
          <w:tcPr>
            <w:tcW w:w="363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011801003001</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夜间施工增加费</w:t>
            </w:r>
          </w:p>
        </w:tc>
        <w:tc>
          <w:tcPr>
            <w:tcW w:w="363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011801002001</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二次搬运费</w:t>
            </w:r>
          </w:p>
        </w:tc>
        <w:tc>
          <w:tcPr>
            <w:tcW w:w="363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011801005001</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测量放线定位复测费</w:t>
            </w:r>
          </w:p>
        </w:tc>
        <w:tc>
          <w:tcPr>
            <w:tcW w:w="363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专业措施</w:t>
            </w:r>
          </w:p>
        </w:tc>
        <w:tc>
          <w:tcPr>
            <w:tcW w:w="363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050402001001</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脚手架</w:t>
            </w:r>
          </w:p>
        </w:tc>
        <w:tc>
          <w:tcPr>
            <w:tcW w:w="363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363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0140" w:type="dxa"/>
            <w:gridSpan w:val="8"/>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10140" w:type="dxa"/>
            <w:gridSpan w:val="8"/>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360" w:lineRule="exact"/>
              <w:ind w:firstLineChars="200"/>
              <w:jc w:val="center"/>
              <w:textAlignment w:val="center"/>
              <w:rPr>
                <w:rFonts w:hint="eastAsia" w:ascii="仿宋" w:hAnsi="仿宋" w:eastAsia="仿宋" w:cs="仿宋"/>
                <w:b/>
                <w:bCs/>
                <w:i w:val="0"/>
                <w:iCs w:val="0"/>
                <w:color w:val="000000"/>
                <w:sz w:val="24"/>
                <w:szCs w:val="24"/>
                <w:u w:val="none"/>
              </w:rPr>
            </w:pPr>
            <w:r>
              <w:rPr>
                <w:rStyle w:val="74"/>
                <w:rFonts w:hint="eastAsia" w:ascii="仿宋" w:hAnsi="仿宋" w:eastAsia="仿宋" w:cs="仿宋"/>
                <w:sz w:val="24"/>
                <w:szCs w:val="24"/>
                <w:lang w:val="en-US" w:eastAsia="zh-CN" w:bidi="ar"/>
              </w:rPr>
              <w:t>其他项目清单计价表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8"/>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spacing w:line="360" w:lineRule="exact"/>
              <w:ind w:left="6960" w:hanging="6960" w:hangingChars="290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工程名称：  装饰改造工程                                 专业/标段：单独装饰工程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512"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654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1053"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512" w:type="dxa"/>
            <w:gridSpan w:val="2"/>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6540" w:type="dxa"/>
            <w:gridSpan w:val="3"/>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53" w:type="dxa"/>
            <w:gridSpan w:val="2"/>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c>
          <w:tcPr>
            <w:tcW w:w="1035"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1512" w:type="dxa"/>
            <w:gridSpan w:val="2"/>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8628" w:type="dxa"/>
            <w:gridSpan w:val="6"/>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暂列金额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1.1 </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暂列金额</w:t>
            </w: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862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专业工程暂估价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2.1 </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862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计日工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3.1 </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3.2 </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3.3 </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862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总承包服务费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4.1 </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发包人供应材料保管费</w:t>
            </w: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4.2 </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发包人发包专业工程管理服务费</w:t>
            </w:r>
            <w:r>
              <w:rPr>
                <w:rFonts w:hint="eastAsia" w:ascii="仿宋" w:hAnsi="仿宋" w:eastAsia="仿宋" w:cs="仿宋"/>
                <w:i w:val="0"/>
                <w:iCs w:val="0"/>
                <w:color w:val="000000"/>
                <w:kern w:val="0"/>
                <w:sz w:val="24"/>
                <w:szCs w:val="24"/>
                <w:u w:val="singl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协调与管理</w:t>
            </w: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4.3 </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发包人发包专业工程管理服务费</w:t>
            </w:r>
            <w:r>
              <w:rPr>
                <w:rFonts w:hint="eastAsia" w:ascii="仿宋" w:hAnsi="仿宋" w:eastAsia="仿宋" w:cs="仿宋"/>
                <w:i w:val="0"/>
                <w:iCs w:val="0"/>
                <w:color w:val="000000"/>
                <w:kern w:val="0"/>
                <w:sz w:val="24"/>
                <w:szCs w:val="24"/>
                <w:u w:val="singl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协调、管理并提供配合服务</w:t>
            </w: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862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合同中约定的其他项目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5.1 </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优质工程增加费</w:t>
            </w: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5.2 </w:t>
            </w: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智慧工地增加费</w:t>
            </w: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512" w:type="dxa"/>
            <w:gridSpan w:val="2"/>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6540"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5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140" w:type="dxa"/>
            <w:gridSpan w:val="8"/>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10140" w:type="dxa"/>
            <w:gridSpan w:val="8"/>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注：1.表中“合同中约定的其他项目 ”适用于期中支付和工程结算时填写；</w:t>
            </w:r>
          </w:p>
          <w:p>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2.其中采用费率计价方式的，取费基数填写到“工程数量”列，费率填写到“综合单价”列；采用总价计价方式的可只填写“合价”列数值。</w:t>
            </w:r>
          </w:p>
        </w:tc>
      </w:tr>
    </w:tbl>
    <w:p>
      <w:pPr>
        <w:keepNext w:val="0"/>
        <w:keepLines w:val="0"/>
        <w:pageBreakBefore w:val="0"/>
        <w:widowControl/>
        <w:kinsoku/>
        <w:wordWrap/>
        <w:overflowPunct/>
        <w:topLinePunct w:val="0"/>
        <w:autoSpaceDE/>
        <w:autoSpaceDN/>
        <w:bidi w:val="0"/>
        <w:adjustRightInd/>
        <w:snapToGrid/>
        <w:spacing w:line="300" w:lineRule="exact"/>
        <w:textAlignment w:val="auto"/>
      </w:pPr>
    </w:p>
    <w:tbl>
      <w:tblPr>
        <w:tblStyle w:val="26"/>
        <w:tblW w:w="10260" w:type="dxa"/>
        <w:tblInd w:w="-64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5"/>
        <w:gridCol w:w="1758"/>
        <w:gridCol w:w="1272"/>
        <w:gridCol w:w="4830"/>
        <w:gridCol w:w="705"/>
        <w:gridCol w:w="1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260" w:type="dxa"/>
            <w:gridSpan w:val="6"/>
            <w:tcBorders>
              <w:top w:val="nil"/>
              <w:left w:val="nil"/>
              <w:bottom w:val="nil"/>
              <w:right w:val="nil"/>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val="0"/>
                <w:bCs w:val="0"/>
                <w:i w:val="0"/>
                <w:iCs w:val="0"/>
                <w:color w:val="000000"/>
                <w:sz w:val="30"/>
                <w:szCs w:val="30"/>
                <w:u w:val="none"/>
              </w:rPr>
            </w:pPr>
            <w:r>
              <w:rPr>
                <w:rFonts w:hint="eastAsia" w:ascii="仿宋" w:hAnsi="仿宋" w:eastAsia="仿宋" w:cs="仿宋"/>
                <w:b/>
                <w:bCs/>
                <w:i w:val="0"/>
                <w:iCs w:val="0"/>
                <w:color w:val="000000"/>
                <w:kern w:val="0"/>
                <w:sz w:val="28"/>
                <w:szCs w:val="28"/>
                <w:u w:val="none"/>
                <w:lang w:val="en-US" w:eastAsia="zh-CN" w:bidi="ar"/>
              </w:rPr>
              <w:t>分部分项工程项目清单计价表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260" w:type="dxa"/>
            <w:gridSpan w:val="6"/>
            <w:tcBorders>
              <w:top w:val="nil"/>
              <w:left w:val="nil"/>
              <w:bottom w:val="nil"/>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top"/>
              <w:rPr>
                <w:rFonts w:hint="eastAsia" w:ascii="微软雅黑" w:hAnsi="微软雅黑" w:eastAsia="微软雅黑" w:cs="微软雅黑"/>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 xml:space="preserve">工程名称：电气设备安装工程                              专业/标段：通用安装工程  </w:t>
            </w:r>
            <w:r>
              <w:rPr>
                <w:rFonts w:hint="eastAsia" w:ascii="微软雅黑" w:hAnsi="微软雅黑" w:eastAsia="微软雅黑" w:cs="微软雅黑"/>
                <w:i w:val="0"/>
                <w:iCs w:val="0"/>
                <w:color w:val="000000"/>
                <w:kern w:val="0"/>
                <w:sz w:val="18"/>
                <w:szCs w:val="18"/>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585" w:type="dxa"/>
            <w:tcBorders>
              <w:top w:val="nil"/>
              <w:left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758" w:type="dxa"/>
            <w:tcBorders>
              <w:top w:val="nil"/>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Chars="10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项目编码</w:t>
            </w:r>
          </w:p>
        </w:tc>
        <w:tc>
          <w:tcPr>
            <w:tcW w:w="1272"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483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项目特征描述</w:t>
            </w:r>
          </w:p>
        </w:tc>
        <w:tc>
          <w:tcPr>
            <w:tcW w:w="705"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11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电气设备安装工程</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餐厅改造</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电气</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030402012003</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成套</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配电箱</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 1-ALZ</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2.型号、规格:550*650*120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3.安装方式:距地1.5米, 暗装</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030409001001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电力电缆</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1.型号:WDZ-YJY-4*95+1*16</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2.敷设方式:管内或桥架敷设</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030409001007</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电力电缆</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1.型号:WDZB-BYJ-5x16</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2.敷设方式 :管内或桥架敷设引自地下车库</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030409001002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电力电缆</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1.型号:WDZB-BYJ-5x6</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2.敷设方式:管内或桥架敷设</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030412001010</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配管</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1.名称:电气配管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2.规格:SC50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3.配置形式及部位:明配</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030412001004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配管</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1.名称:电气配管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2.规格:SC32</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3.配置形式及部位:明配</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030412001002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配管</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1.名称:电气配管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2.规格:SC20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3.配置形式及部位:明配</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126.55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8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 </w:t>
            </w:r>
          </w:p>
        </w:tc>
        <w:tc>
          <w:tcPr>
            <w:tcW w:w="175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030412001003</w:t>
            </w:r>
          </w:p>
        </w:tc>
        <w:tc>
          <w:tcPr>
            <w:tcW w:w="1272"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配管</w:t>
            </w:r>
          </w:p>
        </w:tc>
        <w:tc>
          <w:tcPr>
            <w:tcW w:w="483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1.名称:电气配管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2.规格:JDG25</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auto"/>
                <w:kern w:val="0"/>
                <w:sz w:val="24"/>
                <w:szCs w:val="24"/>
                <w:u w:val="none"/>
                <w:lang w:val="en-US" w:eastAsia="zh-CN" w:bidi="ar"/>
              </w:rPr>
              <w:t>3.配置形式及部位:明配</w:t>
            </w:r>
          </w:p>
        </w:tc>
        <w:tc>
          <w:tcPr>
            <w:tcW w:w="70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460.91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9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030412001005</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配管</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1.材质:硬塑料管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2.规格:PC16</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3.配置形式及部位:明配</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75.14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10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030412003001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配线</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1.配线形式:电气配线</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2.导线型号、材质、规格:WDZB-BYJ-2.5mm2</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3.敷设部位或线制:管内穿线</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1018.65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11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030412003002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配线</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1.配线形式:电气配线</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2.导线型号、材质、规格:WDZ-BYJ-4mm2</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3.敷设部位或线制:管内穿线</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743.73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12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030412003003</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配线</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1.配线形式:电气配线</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2.导线型号、材质、规格:WDZCN-BYJ-2x2.5</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3.敷设部位或线制:管内穿线</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77.14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13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030413002001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装饰灯</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1.名称:消防应急照明灯具</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2.安装高度：底距地2.6m壁装</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14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030413002002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装饰灯</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1.名称:消防应急标志灯具-疏散出口（双向）</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2.安装高度：门框上方0.2m挂装</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58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15 </w:t>
            </w:r>
          </w:p>
        </w:tc>
        <w:tc>
          <w:tcPr>
            <w:tcW w:w="175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030413002003</w:t>
            </w:r>
          </w:p>
        </w:tc>
        <w:tc>
          <w:tcPr>
            <w:tcW w:w="1272"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装饰灯</w:t>
            </w:r>
          </w:p>
        </w:tc>
        <w:tc>
          <w:tcPr>
            <w:tcW w:w="483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1.名称:消防应急标志灯具</w:t>
            </w:r>
          </w:p>
        </w:tc>
        <w:tc>
          <w:tcPr>
            <w:tcW w:w="70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16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030413001003</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吸顶灯</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1.名称:吸顶灯450*450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2.安装方式:吊顶安装</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17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030413001002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筒灯</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1.名称:筒灯φ120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2.安装方式:吊顶安装</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18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030703003001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出风口</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1.名称:出风口</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2.安装方式:吊顶安装</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19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030413001001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100*1200平板灯</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1.名称:100*1200平板灯</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2.安装方式:吊顶安装</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20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030413001004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600*600平板灯</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1.名称:600*600平板灯</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2.安装方式:吊顶安装</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21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030413012002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开关</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1.名称:单联开关</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2.安装方式:距地1.3米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22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030413012001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开关</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1.名称:三联开关</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2.安装方式:距地1.3米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23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030413013001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1.名称:安全型两、三孔暗装插座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2.型号:250V,五孔，10A</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3.安装方式:距地0.3米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24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030413013018</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1.名称:低位空调插座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2.型号:250V,五孔,16A</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3.安装方式:距地0.3米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585" w:type="dxa"/>
            <w:tcBorders>
              <w:top w:val="single" w:color="000000" w:sz="4" w:space="0"/>
              <w:left w:val="single" w:color="000000" w:sz="8" w:space="0"/>
              <w:bottom w:val="single" w:color="000000" w:sz="8"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758" w:type="dxa"/>
            <w:tcBorders>
              <w:top w:val="single" w:color="000000" w:sz="4" w:space="0"/>
              <w:left w:val="single" w:color="000000" w:sz="4" w:space="0"/>
              <w:bottom w:val="single" w:color="000000" w:sz="8"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272"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厨房改造电气</w:t>
            </w:r>
          </w:p>
        </w:tc>
        <w:tc>
          <w:tcPr>
            <w:tcW w:w="4830" w:type="dxa"/>
            <w:tcBorders>
              <w:top w:val="single" w:color="000000" w:sz="4" w:space="0"/>
              <w:left w:val="single" w:color="000000" w:sz="4" w:space="0"/>
              <w:bottom w:val="single" w:color="000000" w:sz="8"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5" w:type="dxa"/>
            <w:tcBorders>
              <w:top w:val="single" w:color="000000" w:sz="4" w:space="0"/>
              <w:left w:val="single" w:color="000000" w:sz="4" w:space="0"/>
              <w:bottom w:val="single" w:color="000000" w:sz="8"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110" w:type="dxa"/>
            <w:tcBorders>
              <w:top w:val="single" w:color="000000" w:sz="4" w:space="0"/>
              <w:left w:val="single" w:color="000000" w:sz="4" w:space="0"/>
              <w:bottom w:val="single" w:color="000000" w:sz="8"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25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030402012004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成套</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配电箱</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1.名称:1-CF</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2.型号、规格 :550X650X200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3.安装方式:明装,底边距地1.5m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26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030409001006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电力电缆</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1.型号:WDZ-YJY-5X16</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2.敷设方式:管内或桥架敷设</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27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030409001004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电力电缆</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1.型号:WDZ-YJY-5X6</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2.敷设方式:管内或桥架敷设</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28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030409001005</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电力电缆</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1.型号:WDZ-YJY-5X4</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2.敷设方式:管内或桥架敷设</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29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030409016001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桥架槽盒安装</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1.强电桥架：200x100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2.吊顶内敷设：外刷防火涂料</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30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030412001006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配管</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1.名称:电气配管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2.规格:SC65</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3.配置形式及部位:明配</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31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030412001007</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配管</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1.名称:电气配管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2.规格:SC32</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3.配置形式及部位:明配</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32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030412001008</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配管</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1.名称:电气配管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2.规格:SC25</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3.配置形式及部位:明配</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5" w:hRule="atLeast"/>
        </w:trPr>
        <w:tc>
          <w:tcPr>
            <w:tcW w:w="58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33 </w:t>
            </w:r>
          </w:p>
        </w:tc>
        <w:tc>
          <w:tcPr>
            <w:tcW w:w="175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030412001009</w:t>
            </w:r>
          </w:p>
        </w:tc>
        <w:tc>
          <w:tcPr>
            <w:tcW w:w="1272"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配管</w:t>
            </w:r>
          </w:p>
        </w:tc>
        <w:tc>
          <w:tcPr>
            <w:tcW w:w="483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1.名称:电气配管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2.规格:SC20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3.配置形式及部位:明配</w:t>
            </w:r>
          </w:p>
        </w:tc>
        <w:tc>
          <w:tcPr>
            <w:tcW w:w="70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810.3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34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030412003006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配线</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1.配线形式:电气配线</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2.导线型号、材质、规格:WDZ-BYJ-4mm2</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3.敷设部位或线制:管内穿线</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2219.49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35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030412003004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配线</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1.配线形式:电气配线</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2.导线型号 、材质、规格:WDZ-BYJ-6mm2</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3.敷设部位或线制:管内穿线</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36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030412003005</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配线</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1.配线形式:电气配线</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2.导线型号、材质、规格:WDZ-BYJ-10mm2</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3.敷设部位或线制:管内穿线</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37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030413013002</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备用插座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1.名称:备用插座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2.型号:220V/1.5KW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38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030413013003</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绞切机</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1.名称:绞切机插座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2.型号:220V/4.4KW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39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030413013004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电热水器插座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1.名称:电热水器插座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2.型号:220V/3KW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3.安装方式:距地1.5米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58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40 </w:t>
            </w:r>
          </w:p>
        </w:tc>
        <w:tc>
          <w:tcPr>
            <w:tcW w:w="175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030413013005</w:t>
            </w:r>
          </w:p>
        </w:tc>
        <w:tc>
          <w:tcPr>
            <w:tcW w:w="1272"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土豆</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脱皮机</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空开</w:t>
            </w:r>
          </w:p>
        </w:tc>
        <w:tc>
          <w:tcPr>
            <w:tcW w:w="483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1.名称:土豆脱皮机空开</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2.型号:380V/1.1KW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3.安装方式:距地1.2米</w:t>
            </w:r>
          </w:p>
        </w:tc>
        <w:tc>
          <w:tcPr>
            <w:tcW w:w="70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41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030413013006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双温四门高身柜</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1.名称:双温四门高身柜插座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2.型号:220V/0.55KW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3.安装方式:距地2.1米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42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030413013007</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双温六门高身柜</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1.名称:双温六门高身柜插座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2.型号:220V/0.75KW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3.安装方式:距地2.1米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43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030413013008</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冷藏平台雪柜插座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 :冷藏平台雪柜插座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2.型号220V/0.25KW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3.安装方式:距地2.1米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44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030413013009</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双门蒸饭车(电热)空开</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 :双门蒸饭车空开(电热)</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 型号：2*380V/12KW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3.安装方式:距地0.3米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45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030413013010</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电饼铛</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空开</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1.名称:电饼铛空开</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2.型号：380V/5KW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46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030413013011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电磁双头矮汤炉</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空开</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1.名称:电磁双头矮汤炉空开</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2.型号：2*380V/15KW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3.安装方式:距地0.3米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5" w:hRule="atLeast"/>
        </w:trPr>
        <w:tc>
          <w:tcPr>
            <w:tcW w:w="585"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47 </w:t>
            </w:r>
          </w:p>
        </w:tc>
        <w:tc>
          <w:tcPr>
            <w:tcW w:w="1758"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030413013012</w:t>
            </w:r>
          </w:p>
        </w:tc>
        <w:tc>
          <w:tcPr>
            <w:tcW w:w="1272"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单头单尾小炒灶</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空开</w:t>
            </w:r>
          </w:p>
        </w:tc>
        <w:tc>
          <w:tcPr>
            <w:tcW w:w="483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1.名称:单头单尾小炒灶空开</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2.型号：380V/30KW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3.安装方式:距地0.3米</w:t>
            </w:r>
          </w:p>
        </w:tc>
        <w:tc>
          <w:tcPr>
            <w:tcW w:w="70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48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030413013013</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厨房灭火系统插座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1.名称:单头单尾小炒灶插座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2.型号：220V/0.5KW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3.安装方式:距地0.3米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49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030413013014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热风循环消毒柜</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1.名称:热风循环消毒柜插座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2.型号：220V/2.5KW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3.安装方式:距地1.9米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50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030413013015</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双门留样柜插座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1.名称:双门留样柜插座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2.型号：220V/0.6KW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3.安装方式:距地2.2米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8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51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030413013016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五格售饭工作台</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1.名称:五格售饭工作台插座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2.型号：220V/3KW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3.安装方式:距地2.2米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52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030413013017</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风幕机</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插座</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1.名称:风幕机插座</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2.型号：220V/0.5KW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3.安装方式:距地2.3米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53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030413001005</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粘捕式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灭蝇灯</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1.名称:粘捕式灭蝇灯</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2.型号：220V/0.005KW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3.安装方式:距地2.3米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5"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54 </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030413001006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紫外线消毒灯</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1.名称:紫外线消毒灯</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2.型号：220V/0.003KW</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3.安装方式:从天花板落下并预留2米线长</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85"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585" w:type="dxa"/>
            <w:tcBorders>
              <w:top w:val="single" w:color="000000" w:sz="4" w:space="0"/>
              <w:left w:val="single" w:color="000000" w:sz="8" w:space="0"/>
              <w:bottom w:val="single" w:color="000000" w:sz="8" w:space="0"/>
              <w:right w:val="nil"/>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758" w:type="dxa"/>
            <w:tcBorders>
              <w:top w:val="single" w:color="000000" w:sz="4" w:space="0"/>
              <w:left w:val="nil"/>
              <w:bottom w:val="single" w:color="000000" w:sz="8" w:space="0"/>
              <w:right w:val="nil"/>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272" w:type="dxa"/>
            <w:tcBorders>
              <w:top w:val="single" w:color="000000" w:sz="4" w:space="0"/>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Chars="100"/>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w:t>
            </w:r>
          </w:p>
        </w:tc>
        <w:tc>
          <w:tcPr>
            <w:tcW w:w="4830" w:type="dxa"/>
            <w:tcBorders>
              <w:top w:val="single" w:color="000000" w:sz="4" w:space="0"/>
              <w:left w:val="nil"/>
              <w:bottom w:val="single" w:color="000000" w:sz="8"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计</w:t>
            </w:r>
          </w:p>
        </w:tc>
        <w:tc>
          <w:tcPr>
            <w:tcW w:w="705" w:type="dxa"/>
            <w:tcBorders>
              <w:top w:val="single" w:color="000000" w:sz="4" w:space="0"/>
              <w:left w:val="nil"/>
              <w:bottom w:val="single" w:color="000000" w:sz="8" w:space="0"/>
              <w:right w:val="nil"/>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110" w:type="dxa"/>
            <w:tcBorders>
              <w:top w:val="single" w:color="000000" w:sz="4" w:space="0"/>
              <w:left w:val="nil"/>
              <w:bottom w:val="single" w:color="000000" w:sz="8" w:space="0"/>
              <w:right w:val="nil"/>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bl>
    <w:p/>
    <w:tbl>
      <w:tblPr>
        <w:tblStyle w:val="26"/>
        <w:tblW w:w="10140" w:type="dxa"/>
        <w:tblInd w:w="-5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21"/>
        <w:gridCol w:w="834"/>
        <w:gridCol w:w="825"/>
        <w:gridCol w:w="1521"/>
        <w:gridCol w:w="2919"/>
        <w:gridCol w:w="592"/>
        <w:gridCol w:w="840"/>
        <w:gridCol w:w="345"/>
        <w:gridCol w:w="138"/>
        <w:gridCol w:w="570"/>
        <w:gridCol w:w="1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0140" w:type="dxa"/>
            <w:gridSpan w:val="11"/>
            <w:tcBorders>
              <w:top w:val="nil"/>
              <w:left w:val="nil"/>
              <w:bottom w:val="nil"/>
              <w:right w:val="nil"/>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Chars="300"/>
              <w:jc w:val="center"/>
              <w:textAlignment w:val="center"/>
              <w:rPr>
                <w:rFonts w:hint="eastAsia" w:ascii="仿宋" w:hAnsi="仿宋" w:eastAsia="仿宋" w:cs="仿宋"/>
                <w:b/>
                <w:bCs/>
                <w:i w:val="0"/>
                <w:iCs w:val="0"/>
                <w:color w:val="000000"/>
                <w:sz w:val="30"/>
                <w:szCs w:val="30"/>
                <w:u w:val="none"/>
              </w:rPr>
            </w:pPr>
            <w:r>
              <w:rPr>
                <w:rFonts w:hint="eastAsia" w:ascii="仿宋" w:hAnsi="仿宋" w:eastAsia="仿宋" w:cs="仿宋"/>
                <w:b/>
                <w:bCs/>
                <w:i w:val="0"/>
                <w:iCs w:val="0"/>
                <w:color w:val="000000"/>
                <w:kern w:val="0"/>
                <w:sz w:val="30"/>
                <w:szCs w:val="30"/>
                <w:u w:val="none"/>
                <w:lang w:val="en-US" w:eastAsia="zh-CN" w:bidi="ar"/>
              </w:rPr>
              <w:t>措施项目清单计价表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11"/>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60" w:lineRule="exact"/>
              <w:ind w:left="7200" w:hanging="7200" w:hangingChars="300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工程名称：电气设备安装工程                          专业/标段：通用安装工程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521" w:type="dxa"/>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65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项目编码</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469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项目特征或工作内容</w:t>
            </w:r>
          </w:p>
        </w:tc>
        <w:tc>
          <w:tcPr>
            <w:tcW w:w="7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通用措施</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031401001001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安全文明施工</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措施费</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031401002001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二次</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搬运费</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031401003001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夜间施工增加费</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031401004001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冬雨季施工增加费</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031401005001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测量放线定位复测费</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专业措施</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031402001001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脚手架</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0140" w:type="dxa"/>
            <w:gridSpan w:val="11"/>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140" w:type="dxa"/>
            <w:gridSpan w:val="11"/>
            <w:tcBorders>
              <w:top w:val="nil"/>
              <w:left w:val="nil"/>
              <w:bottom w:val="nil"/>
              <w:right w:val="nil"/>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Chars="200"/>
              <w:jc w:val="center"/>
              <w:textAlignment w:val="center"/>
              <w:rPr>
                <w:rFonts w:hint="eastAsia" w:ascii="仿宋" w:hAnsi="仿宋" w:eastAsia="仿宋" w:cs="仿宋"/>
                <w:b/>
                <w:bCs/>
                <w:i w:val="0"/>
                <w:iCs w:val="0"/>
                <w:color w:val="000000"/>
                <w:sz w:val="30"/>
                <w:szCs w:val="30"/>
                <w:u w:val="none"/>
              </w:rPr>
            </w:pPr>
            <w:r>
              <w:rPr>
                <w:rFonts w:hint="eastAsia" w:ascii="仿宋" w:hAnsi="仿宋" w:eastAsia="仿宋" w:cs="仿宋"/>
                <w:b/>
                <w:bCs/>
                <w:i w:val="0"/>
                <w:iCs w:val="0"/>
                <w:color w:val="000000"/>
                <w:kern w:val="0"/>
                <w:sz w:val="30"/>
                <w:szCs w:val="30"/>
                <w:u w:val="none"/>
                <w:lang w:val="en-US" w:eastAsia="zh-CN" w:bidi="ar"/>
              </w:rPr>
              <w:t>其他项目清单计价表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11"/>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60" w:lineRule="exact"/>
              <w:ind w:left="6960" w:hanging="6960" w:hangingChars="290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工程名称：电气设备安装工程                               专业/标段：通用安装工程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35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526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191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计量单位</w:t>
            </w:r>
          </w:p>
        </w:tc>
        <w:tc>
          <w:tcPr>
            <w:tcW w:w="1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355" w:type="dxa"/>
            <w:gridSpan w:val="2"/>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8785" w:type="dxa"/>
            <w:gridSpan w:val="9"/>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暂列金额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1.1 </w:t>
            </w:r>
          </w:p>
        </w:tc>
        <w:tc>
          <w:tcPr>
            <w:tcW w:w="6697"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48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878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专业工程暂估价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2.1 </w:t>
            </w:r>
          </w:p>
        </w:tc>
        <w:tc>
          <w:tcPr>
            <w:tcW w:w="6697"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48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878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计日工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3.1 </w:t>
            </w:r>
          </w:p>
        </w:tc>
        <w:tc>
          <w:tcPr>
            <w:tcW w:w="6697"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48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3.2 </w:t>
            </w:r>
          </w:p>
        </w:tc>
        <w:tc>
          <w:tcPr>
            <w:tcW w:w="6697"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48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3.3 </w:t>
            </w:r>
          </w:p>
        </w:tc>
        <w:tc>
          <w:tcPr>
            <w:tcW w:w="6697"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48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878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总承包服务费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4.1 </w:t>
            </w:r>
          </w:p>
        </w:tc>
        <w:tc>
          <w:tcPr>
            <w:tcW w:w="669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发包人供应材料保管费</w:t>
            </w:r>
          </w:p>
        </w:tc>
        <w:tc>
          <w:tcPr>
            <w:tcW w:w="48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4.2 </w:t>
            </w:r>
          </w:p>
        </w:tc>
        <w:tc>
          <w:tcPr>
            <w:tcW w:w="669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发包人发包专业工程管理服务费</w:t>
            </w:r>
            <w:r>
              <w:rPr>
                <w:rFonts w:hint="eastAsia" w:ascii="仿宋" w:hAnsi="仿宋" w:eastAsia="仿宋" w:cs="仿宋"/>
                <w:i w:val="0"/>
                <w:iCs w:val="0"/>
                <w:color w:val="000000"/>
                <w:kern w:val="0"/>
                <w:sz w:val="24"/>
                <w:szCs w:val="24"/>
                <w:u w:val="singl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协调与管理</w:t>
            </w:r>
          </w:p>
        </w:tc>
        <w:tc>
          <w:tcPr>
            <w:tcW w:w="48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4.3 </w:t>
            </w:r>
          </w:p>
        </w:tc>
        <w:tc>
          <w:tcPr>
            <w:tcW w:w="669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发包人发包专业工程管理服务费</w:t>
            </w:r>
            <w:r>
              <w:rPr>
                <w:rFonts w:hint="eastAsia" w:ascii="仿宋" w:hAnsi="仿宋" w:eastAsia="仿宋" w:cs="仿宋"/>
                <w:i w:val="0"/>
                <w:iCs w:val="0"/>
                <w:color w:val="000000"/>
                <w:kern w:val="0"/>
                <w:sz w:val="24"/>
                <w:szCs w:val="24"/>
                <w:u w:val="singl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协调、管理并提供配合服务</w:t>
            </w:r>
          </w:p>
        </w:tc>
        <w:tc>
          <w:tcPr>
            <w:tcW w:w="48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878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合同中约定的其他项目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5.1 </w:t>
            </w:r>
          </w:p>
        </w:tc>
        <w:tc>
          <w:tcPr>
            <w:tcW w:w="669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优质工程增加费</w:t>
            </w:r>
          </w:p>
        </w:tc>
        <w:tc>
          <w:tcPr>
            <w:tcW w:w="483"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5.2 </w:t>
            </w:r>
          </w:p>
        </w:tc>
        <w:tc>
          <w:tcPr>
            <w:tcW w:w="585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智慧工地增加费</w:t>
            </w:r>
          </w:p>
        </w:tc>
        <w:tc>
          <w:tcPr>
            <w:tcW w:w="1323"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355" w:type="dxa"/>
            <w:gridSpan w:val="2"/>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5857"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323"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10140"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140"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注：1.表中“合同中约定的其他项目 ”适用于期中支付和工程结算时填写；</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2.其中采用费率计价方式的 ，取费基数填写到“工程数量 ”列 ，费率填写到“综合单价 ”列 ；采用总价计价方式的可只填写“合价 ”列数值。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0140" w:type="dxa"/>
            <w:gridSpan w:val="11"/>
            <w:tcBorders>
              <w:top w:val="single" w:color="auto" w:sz="4" w:space="0"/>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分部分项工程项目清单计价表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11"/>
            <w:tcBorders>
              <w:top w:val="nil"/>
              <w:left w:val="nil"/>
              <w:bottom w:val="single" w:color="auto"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工程名称：给排水工程                                     专业/标段：通用安装工程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65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编码</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469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项目特征描述</w:t>
            </w:r>
          </w:p>
        </w:tc>
        <w:tc>
          <w:tcPr>
            <w:tcW w:w="7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 w:hRule="atLeast"/>
        </w:trPr>
        <w:tc>
          <w:tcPr>
            <w:tcW w:w="521" w:type="dxa"/>
            <w:tcBorders>
              <w:top w:val="single" w:color="auto"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59"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521"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给排水工程</w:t>
            </w:r>
          </w:p>
        </w:tc>
        <w:tc>
          <w:tcPr>
            <w:tcW w:w="4696" w:type="dxa"/>
            <w:gridSpan w:val="4"/>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031001007001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钢塑复合管热水管</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2.输送介质（给水、排水、热媒体、燃气、雨水）:给水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3.材质:e-PSP  1.6MPa钢塑复合管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4.规格:DN40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5.连接形式:智能电磁焊接</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031001007002</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钢塑复合管热水管</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2.输送介质（给水、排水、热媒体、燃气 、雨水）:给水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3.材质:e-PSP  1.6MPa钢塑复合管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4.规格:DN32</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5.连接形式:智能电磁焊接</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1"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165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031001007003</w:t>
            </w:r>
          </w:p>
        </w:tc>
        <w:tc>
          <w:tcPr>
            <w:tcW w:w="1521"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钢塑复合管热水管</w:t>
            </w:r>
          </w:p>
        </w:tc>
        <w:tc>
          <w:tcPr>
            <w:tcW w:w="4696" w:type="dxa"/>
            <w:gridSpan w:val="4"/>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2.输送介质（给水、排水、热媒体、燃气、雨水）:给水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3.材质:e-PSP  1.6MPa钢塑复合管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4.规格:DN25</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5.连接形式:智能电磁焊接</w:t>
            </w:r>
          </w:p>
        </w:tc>
        <w:tc>
          <w:tcPr>
            <w:tcW w:w="708"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49.65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0140" w:type="dxa"/>
            <w:gridSpan w:val="11"/>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分部分项工程项目清单计价表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11"/>
            <w:tcBorders>
              <w:top w:val="nil"/>
              <w:left w:val="nil"/>
              <w:bottom w:val="single" w:color="auto"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工程名称：给排水工程                                    专业/标段：  通用安装工程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65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项目编码</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469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项目特征描述</w:t>
            </w:r>
          </w:p>
        </w:tc>
        <w:tc>
          <w:tcPr>
            <w:tcW w:w="7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trPr>
        <w:tc>
          <w:tcPr>
            <w:tcW w:w="521" w:type="dxa"/>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1659"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031001007004</w:t>
            </w:r>
          </w:p>
        </w:tc>
        <w:tc>
          <w:tcPr>
            <w:tcW w:w="1521"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钢塑复合管热水管</w:t>
            </w:r>
          </w:p>
        </w:tc>
        <w:tc>
          <w:tcPr>
            <w:tcW w:w="4696" w:type="dxa"/>
            <w:gridSpan w:val="4"/>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2.输送介质（给水、排水、热媒体、燃气、雨水）:给水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3.材质:e-PSP 1.6MPa钢塑复合管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4.规格:DN20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5.连接形式:智能电磁焊接</w:t>
            </w:r>
          </w:p>
        </w:tc>
        <w:tc>
          <w:tcPr>
            <w:tcW w:w="708"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031001007005</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钢塑复合管热水管</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2.输送介质（给水、排水、热媒体、燃气、雨水）:给水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3.材质:e-PSP  1.6MPa钢塑复合管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4.规格:DN15</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5.连接形式:智能电磁焊接</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5"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031001006005</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PP-R管</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2.输送介质（给水、排水、热媒体、燃气、雨水）:给水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3.材质:PP-R管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4.规格:DN50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5.连接形式:热熔连接</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70" w:hRule="atLeast"/>
        </w:trPr>
        <w:tc>
          <w:tcPr>
            <w:tcW w:w="521"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7 </w:t>
            </w:r>
          </w:p>
        </w:tc>
        <w:tc>
          <w:tcPr>
            <w:tcW w:w="165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031001006006</w:t>
            </w:r>
          </w:p>
        </w:tc>
        <w:tc>
          <w:tcPr>
            <w:tcW w:w="1521"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PP-R管</w:t>
            </w:r>
          </w:p>
        </w:tc>
        <w:tc>
          <w:tcPr>
            <w:tcW w:w="4696" w:type="dxa"/>
            <w:gridSpan w:val="4"/>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2.输送介质（给水、排水、热媒体、燃气、雨水）:给水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3.材质:PP-R管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4.规格:DN40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5.连接形式:热熔连接</w:t>
            </w:r>
          </w:p>
        </w:tc>
        <w:tc>
          <w:tcPr>
            <w:tcW w:w="708"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0140" w:type="dxa"/>
            <w:gridSpan w:val="11"/>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分部分项工程项目清单计价表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11"/>
            <w:tcBorders>
              <w:top w:val="nil"/>
              <w:left w:val="nil"/>
              <w:bottom w:val="single" w:color="auto"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工程名称：给排水工程                                   专业/标段：  通用安装工程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65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Chars="10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项目编码</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469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项目特征描述</w:t>
            </w:r>
          </w:p>
        </w:tc>
        <w:tc>
          <w:tcPr>
            <w:tcW w:w="7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0" w:hRule="atLeast"/>
        </w:trPr>
        <w:tc>
          <w:tcPr>
            <w:tcW w:w="521" w:type="dxa"/>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8 </w:t>
            </w:r>
          </w:p>
        </w:tc>
        <w:tc>
          <w:tcPr>
            <w:tcW w:w="1659"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031001006007</w:t>
            </w:r>
          </w:p>
        </w:tc>
        <w:tc>
          <w:tcPr>
            <w:tcW w:w="1521"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PP-R管</w:t>
            </w:r>
          </w:p>
        </w:tc>
        <w:tc>
          <w:tcPr>
            <w:tcW w:w="4696" w:type="dxa"/>
            <w:gridSpan w:val="4"/>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燃气、雨水）:给水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3.材质:PP-R管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4.规格:DN32</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5.连接形式:热熔连接</w:t>
            </w:r>
          </w:p>
        </w:tc>
        <w:tc>
          <w:tcPr>
            <w:tcW w:w="708"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9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031001006001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PP-R管</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燃气、雨水）:给水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3.材质:PP-R管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4.规格:DN25</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5.连接形式:热熔连接</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10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031001006002</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PP-R管</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燃气、雨水）:给水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3.材质:PP-R管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4.规格:DN20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5.连接形式:热熔连接</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11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031007001001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管道支架</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1.材质:碳钢热镀锌</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12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031002010001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双止回阀倒流</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防止器</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1.类型:倒流防止器</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2.型号、规格:DN50</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组</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521" w:type="dxa"/>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13 </w:t>
            </w:r>
          </w:p>
        </w:tc>
        <w:tc>
          <w:tcPr>
            <w:tcW w:w="165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031002001005</w:t>
            </w:r>
          </w:p>
        </w:tc>
        <w:tc>
          <w:tcPr>
            <w:tcW w:w="1521"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闸阀</w:t>
            </w:r>
          </w:p>
        </w:tc>
        <w:tc>
          <w:tcPr>
            <w:tcW w:w="4696" w:type="dxa"/>
            <w:gridSpan w:val="4"/>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1.类型 :截止阀</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2.型号、规格:DN40</w:t>
            </w:r>
          </w:p>
        </w:tc>
        <w:tc>
          <w:tcPr>
            <w:tcW w:w="708"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035"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0140" w:type="dxa"/>
            <w:gridSpan w:val="11"/>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分部分项工程项目清单计价表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11"/>
            <w:tcBorders>
              <w:top w:val="nil"/>
              <w:left w:val="nil"/>
              <w:bottom w:val="single" w:color="auto"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工程名称： 给排水工程                                   专业/标段：  通用安装工程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65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项目编码</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469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项目特征描述</w:t>
            </w:r>
          </w:p>
        </w:tc>
        <w:tc>
          <w:tcPr>
            <w:tcW w:w="7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521" w:type="dxa"/>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14 </w:t>
            </w:r>
          </w:p>
        </w:tc>
        <w:tc>
          <w:tcPr>
            <w:tcW w:w="1659"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031002001006</w:t>
            </w:r>
          </w:p>
        </w:tc>
        <w:tc>
          <w:tcPr>
            <w:tcW w:w="1521"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自动排气阀  ARSX乙型安装</w:t>
            </w:r>
          </w:p>
        </w:tc>
        <w:tc>
          <w:tcPr>
            <w:tcW w:w="4696" w:type="dxa"/>
            <w:gridSpan w:val="4"/>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1.名称:自动排气阀  ARSX乙型安装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2.型号、规格:DN15</w:t>
            </w:r>
          </w:p>
        </w:tc>
        <w:tc>
          <w:tcPr>
            <w:tcW w:w="708"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03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15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031002001007</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截止阀</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1.类型:截止阀</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2.型号、规格:DN40</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16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031002001008</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截止阀</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1.类型 :截止阀</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2.型号、规格:DN20</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17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031001006008</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U-PVC塑料排水管</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1.安装部位（室内、外）:室内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2.输送介质（给水、排水、热媒体、燃气、雨水）:排水</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3.材质:U-PVC排水塑料管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4.规格:DN200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5.连接形式 :承插粘接</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6.套管形式、材质、规格:套管</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18 </w:t>
            </w: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031002011001</w:t>
            </w: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水表</w:t>
            </w: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1.名称:水表</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 型号、规格:DN40</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21"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59"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52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4696"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140" w:type="dxa"/>
            <w:gridSpan w:val="11"/>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bl>
    <w:p/>
    <w:tbl>
      <w:tblPr>
        <w:tblStyle w:val="26"/>
        <w:tblW w:w="10140" w:type="dxa"/>
        <w:tblInd w:w="-5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0"/>
        <w:gridCol w:w="555"/>
        <w:gridCol w:w="1185"/>
        <w:gridCol w:w="2895"/>
        <w:gridCol w:w="2655"/>
        <w:gridCol w:w="667"/>
        <w:gridCol w:w="138"/>
        <w:gridCol w:w="570"/>
        <w:gridCol w:w="1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10140" w:type="dxa"/>
            <w:gridSpan w:val="9"/>
            <w:tcBorders>
              <w:top w:val="nil"/>
              <w:left w:val="nil"/>
              <w:bottom w:val="nil"/>
              <w:right w:val="nil"/>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Chars="300"/>
              <w:jc w:val="center"/>
              <w:textAlignment w:val="center"/>
              <w:rPr>
                <w:rFonts w:hint="eastAsia" w:ascii="仿宋" w:hAnsi="仿宋" w:eastAsia="仿宋" w:cs="仿宋"/>
                <w:b/>
                <w:bCs/>
                <w:i w:val="0"/>
                <w:iCs w:val="0"/>
                <w:color w:val="000000"/>
                <w:sz w:val="30"/>
                <w:szCs w:val="30"/>
                <w:u w:val="none"/>
              </w:rPr>
            </w:pPr>
            <w:r>
              <w:rPr>
                <w:rFonts w:hint="eastAsia" w:ascii="仿宋" w:hAnsi="仿宋" w:eastAsia="仿宋" w:cs="仿宋"/>
                <w:b/>
                <w:bCs/>
                <w:i w:val="0"/>
                <w:iCs w:val="0"/>
                <w:color w:val="000000"/>
                <w:kern w:val="0"/>
                <w:sz w:val="30"/>
                <w:szCs w:val="30"/>
                <w:u w:val="none"/>
                <w:lang w:val="en-US" w:eastAsia="zh-CN" w:bidi="ar"/>
              </w:rPr>
              <w:t>措施项目清单计价表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9"/>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60" w:lineRule="exact"/>
              <w:ind w:left="8160" w:hanging="8160" w:hangingChars="340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工程名称：给排水工程                                     专业/标段：通用安装工程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7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项目编码</w:t>
            </w:r>
          </w:p>
        </w:tc>
        <w:tc>
          <w:tcPr>
            <w:tcW w:w="28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33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项目特征或工作内容</w:t>
            </w:r>
          </w:p>
        </w:tc>
        <w:tc>
          <w:tcPr>
            <w:tcW w:w="7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w:t>
            </w:r>
          </w:p>
        </w:tc>
        <w:tc>
          <w:tcPr>
            <w:tcW w:w="1740"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289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通用措施</w:t>
            </w:r>
          </w:p>
        </w:tc>
        <w:tc>
          <w:tcPr>
            <w:tcW w:w="3322"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031401001001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安全文明施工措施费</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031401004001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冬雨季施工增加费</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031401003001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夜间施工增加费</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031401002001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二次搬运费</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031401005001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测量放线定位复测费</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专业措施</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031402001001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脚手架</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0140" w:type="dxa"/>
            <w:gridSpan w:val="9"/>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140" w:type="dxa"/>
            <w:gridSpan w:val="9"/>
            <w:tcBorders>
              <w:top w:val="nil"/>
              <w:left w:val="nil"/>
              <w:bottom w:val="nil"/>
              <w:right w:val="nil"/>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Chars="200"/>
              <w:jc w:val="center"/>
              <w:textAlignment w:val="center"/>
              <w:rPr>
                <w:rFonts w:hint="eastAsia" w:ascii="仿宋" w:hAnsi="仿宋" w:eastAsia="仿宋" w:cs="仿宋"/>
                <w:b/>
                <w:bCs/>
                <w:i w:val="0"/>
                <w:iCs w:val="0"/>
                <w:color w:val="000000"/>
                <w:sz w:val="30"/>
                <w:szCs w:val="30"/>
                <w:u w:val="none"/>
              </w:rPr>
            </w:pPr>
            <w:r>
              <w:rPr>
                <w:rFonts w:hint="eastAsia" w:ascii="仿宋" w:hAnsi="仿宋" w:eastAsia="仿宋" w:cs="仿宋"/>
                <w:b/>
                <w:bCs/>
                <w:i w:val="0"/>
                <w:iCs w:val="0"/>
                <w:color w:val="000000"/>
                <w:kern w:val="0"/>
                <w:sz w:val="30"/>
                <w:szCs w:val="30"/>
                <w:u w:val="none"/>
                <w:lang w:val="en-US" w:eastAsia="zh-CN" w:bidi="ar"/>
              </w:rPr>
              <w:t>其他项目清单计价表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9"/>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60" w:lineRule="exact"/>
              <w:ind w:left="7200" w:hanging="7200" w:hangingChars="300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工程名称：给排水工程                                     专业/标段：通用安装工程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9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673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8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计量单位</w:t>
            </w:r>
          </w:p>
        </w:tc>
        <w:tc>
          <w:tcPr>
            <w:tcW w:w="1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95" w:type="dxa"/>
            <w:gridSpan w:val="2"/>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9145" w:type="dxa"/>
            <w:gridSpan w:val="7"/>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暂列金额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1.1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914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专业工程暂估价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2.1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914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计日工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3.1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3.2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3.3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914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总承包服务费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4.1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发包人供应材料保管费</w:t>
            </w: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4.2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发包人发包专业工程管理服务费</w:t>
            </w:r>
            <w:r>
              <w:rPr>
                <w:rFonts w:hint="eastAsia" w:ascii="仿宋" w:hAnsi="仿宋" w:eastAsia="仿宋" w:cs="仿宋"/>
                <w:i w:val="0"/>
                <w:iCs w:val="0"/>
                <w:color w:val="000000"/>
                <w:kern w:val="0"/>
                <w:sz w:val="24"/>
                <w:szCs w:val="24"/>
                <w:u w:val="singl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协调与管理</w:t>
            </w: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4.3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发包人发包专业工程管理服务费</w:t>
            </w:r>
            <w:r>
              <w:rPr>
                <w:rFonts w:hint="eastAsia" w:ascii="仿宋" w:hAnsi="仿宋" w:eastAsia="仿宋" w:cs="仿宋"/>
                <w:i w:val="0"/>
                <w:iCs w:val="0"/>
                <w:color w:val="000000"/>
                <w:kern w:val="0"/>
                <w:sz w:val="24"/>
                <w:szCs w:val="24"/>
                <w:u w:val="singl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协调、管理并提供配合服务</w:t>
            </w: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914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合同中约定的其他项目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5.1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优质工程增加费</w:t>
            </w: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5.2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智慧工地增加费</w:t>
            </w: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140" w:type="dxa"/>
            <w:gridSpan w:val="9"/>
            <w:tcBorders>
              <w:top w:val="single" w:color="000000" w:sz="4" w:space="0"/>
              <w:left w:val="single" w:color="000000" w:sz="8"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140" w:type="dxa"/>
            <w:gridSpan w:val="9"/>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注：1. 表中“合同中约定的其他项目 ”适用于期中支付和工程结算时填写；</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2.其中采用费率计价方式的 ，取费基数填写到“工程数量 ”列 ，费率填写到“综合单价 ”列 ；采用总价计价方式的可只填写“合价 ”列数值。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0140" w:type="dxa"/>
            <w:gridSpan w:val="9"/>
            <w:tcBorders>
              <w:top w:val="nil"/>
              <w:left w:val="nil"/>
              <w:bottom w:val="nil"/>
              <w:right w:val="nil"/>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b/>
                <w:bCs/>
                <w:i w:val="0"/>
                <w:iCs w:val="0"/>
                <w:color w:val="000000"/>
                <w:sz w:val="30"/>
                <w:szCs w:val="30"/>
                <w:u w:val="none"/>
              </w:rPr>
            </w:pPr>
            <w:r>
              <w:rPr>
                <w:rFonts w:hint="eastAsia" w:ascii="仿宋" w:hAnsi="仿宋" w:eastAsia="仿宋" w:cs="仿宋"/>
                <w:b/>
                <w:bCs/>
                <w:i w:val="0"/>
                <w:iCs w:val="0"/>
                <w:color w:val="000000"/>
                <w:kern w:val="0"/>
                <w:sz w:val="30"/>
                <w:szCs w:val="30"/>
                <w:u w:val="none"/>
                <w:lang w:val="en-US" w:eastAsia="zh-CN" w:bidi="ar"/>
              </w:rPr>
              <w:t>分部分项工程项目清单计价表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9"/>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60" w:lineRule="exact"/>
              <w:ind w:left="7680" w:hanging="7680" w:hangingChars="320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工程名称：消火栓工程                                  专业/标段：通用安装工程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4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7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项目编码</w:t>
            </w:r>
          </w:p>
        </w:tc>
        <w:tc>
          <w:tcPr>
            <w:tcW w:w="28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33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项目特征描述</w:t>
            </w:r>
          </w:p>
        </w:tc>
        <w:tc>
          <w:tcPr>
            <w:tcW w:w="7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440" w:type="dxa"/>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740"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030901002001</w:t>
            </w:r>
          </w:p>
        </w:tc>
        <w:tc>
          <w:tcPr>
            <w:tcW w:w="289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消火栓</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管道</w:t>
            </w:r>
          </w:p>
        </w:tc>
        <w:tc>
          <w:tcPr>
            <w:tcW w:w="332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1.材质:热浸镀锌无缝钢管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2.规格:DN100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3.连接形式:沟槽连接</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4.防腐及油漆:刷樟丹二道,红色调和漆二道</w:t>
            </w:r>
          </w:p>
        </w:tc>
        <w:tc>
          <w:tcPr>
            <w:tcW w:w="708"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5"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030901002002</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消火栓</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管道</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1.材质:热浸镀锌无缝钢管</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2.规格:DN65</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3.连接形式:沟槽连接</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4.防腐及油漆:刷樟丹二道,红色调和漆二道</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030901017001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闸阀</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1.规格、压力等级:DN100</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2.连接形式:</w:t>
            </w:r>
            <w:bookmarkStart w:id="2" w:name="OLE_LINK4"/>
            <w:r>
              <w:rPr>
                <w:rFonts w:hint="eastAsia" w:ascii="仿宋" w:hAnsi="仿宋" w:eastAsia="仿宋" w:cs="仿宋"/>
                <w:i w:val="0"/>
                <w:iCs w:val="0"/>
                <w:color w:val="000000"/>
                <w:kern w:val="0"/>
                <w:sz w:val="24"/>
                <w:szCs w:val="24"/>
                <w:u w:val="none"/>
                <w:lang w:val="en-US" w:eastAsia="zh-CN" w:bidi="ar"/>
              </w:rPr>
              <w:t>法兰连接</w:t>
            </w:r>
            <w:bookmarkEnd w:id="2"/>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030901012001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室内</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消火栓</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1.型号、规格:DN65室内单阀消火栓</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030912001001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手提式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灭火器</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【项目特征】</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1.规格、型号:手提式磷酸铵盐干粉灭火器ABC5</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具</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140" w:type="dxa"/>
            <w:gridSpan w:val="9"/>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0140" w:type="dxa"/>
            <w:gridSpan w:val="9"/>
            <w:tcBorders>
              <w:top w:val="nil"/>
              <w:left w:val="nil"/>
              <w:bottom w:val="nil"/>
              <w:right w:val="nil"/>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Chars="300"/>
              <w:jc w:val="center"/>
              <w:textAlignment w:val="center"/>
              <w:rPr>
                <w:rFonts w:hint="eastAsia" w:ascii="仿宋" w:hAnsi="仿宋" w:eastAsia="仿宋" w:cs="仿宋"/>
                <w:b/>
                <w:bCs/>
                <w:i w:val="0"/>
                <w:iCs w:val="0"/>
                <w:color w:val="000000"/>
                <w:sz w:val="30"/>
                <w:szCs w:val="30"/>
                <w:u w:val="none"/>
              </w:rPr>
            </w:pPr>
            <w:r>
              <w:rPr>
                <w:rFonts w:hint="eastAsia" w:ascii="仿宋" w:hAnsi="仿宋" w:eastAsia="仿宋" w:cs="仿宋"/>
                <w:b/>
                <w:bCs/>
                <w:i w:val="0"/>
                <w:iCs w:val="0"/>
                <w:color w:val="000000"/>
                <w:kern w:val="0"/>
                <w:sz w:val="30"/>
                <w:szCs w:val="30"/>
                <w:u w:val="none"/>
                <w:lang w:val="en-US" w:eastAsia="zh-CN" w:bidi="ar"/>
              </w:rPr>
              <w:t>措施项目清单计价表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9"/>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60" w:lineRule="exact"/>
              <w:ind w:left="7440" w:hanging="7440" w:hangingChars="310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工程名称：消火栓工程                                     专业/标段：通用安装工程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7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项目编码</w:t>
            </w:r>
          </w:p>
        </w:tc>
        <w:tc>
          <w:tcPr>
            <w:tcW w:w="28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33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项目特征或工作内容</w:t>
            </w:r>
          </w:p>
        </w:tc>
        <w:tc>
          <w:tcPr>
            <w:tcW w:w="7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计量</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工程</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w:t>
            </w:r>
          </w:p>
        </w:tc>
        <w:tc>
          <w:tcPr>
            <w:tcW w:w="1740"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289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通用措施</w:t>
            </w:r>
          </w:p>
        </w:tc>
        <w:tc>
          <w:tcPr>
            <w:tcW w:w="3322"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auto"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031401001001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安全文明施工措施费</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031401004001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冬雨季施工增加费</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031401003001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夜间施工增加费</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031401002001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二次搬运费</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031401005001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测量放线定位复测费</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专业措施</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031402001001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脚手架</w:t>
            </w: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righ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40" w:type="dxa"/>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74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3322"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0140" w:type="dxa"/>
            <w:gridSpan w:val="9"/>
            <w:tcBorders>
              <w:top w:val="single" w:color="000000" w:sz="4" w:space="0"/>
              <w:left w:val="single" w:color="000000" w:sz="8" w:space="0"/>
              <w:bottom w:val="single" w:color="000000" w:sz="8"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140" w:type="dxa"/>
            <w:gridSpan w:val="9"/>
            <w:tcBorders>
              <w:top w:val="nil"/>
              <w:left w:val="nil"/>
              <w:bottom w:val="nil"/>
              <w:right w:val="nil"/>
            </w:tcBorders>
            <w:shd w:val="clear" w:color="auto" w:fill="auto"/>
            <w:noWrap/>
            <w:vAlign w:val="bottom"/>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Chars="200"/>
              <w:jc w:val="center"/>
              <w:textAlignment w:val="center"/>
              <w:rPr>
                <w:rFonts w:hint="eastAsia" w:ascii="仿宋" w:hAnsi="仿宋" w:eastAsia="仿宋" w:cs="仿宋"/>
                <w:b/>
                <w:bCs/>
                <w:i w:val="0"/>
                <w:iCs w:val="0"/>
                <w:color w:val="000000"/>
                <w:sz w:val="30"/>
                <w:szCs w:val="30"/>
                <w:u w:val="none"/>
              </w:rPr>
            </w:pPr>
            <w:r>
              <w:rPr>
                <w:rFonts w:hint="eastAsia" w:ascii="仿宋" w:hAnsi="仿宋" w:eastAsia="仿宋" w:cs="仿宋"/>
                <w:b/>
                <w:bCs/>
                <w:i w:val="0"/>
                <w:iCs w:val="0"/>
                <w:color w:val="000000"/>
                <w:kern w:val="0"/>
                <w:sz w:val="30"/>
                <w:szCs w:val="30"/>
                <w:u w:val="none"/>
                <w:lang w:val="en-US" w:eastAsia="zh-CN" w:bidi="ar"/>
              </w:rPr>
              <w:t>其他项目清单计价表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0140" w:type="dxa"/>
            <w:gridSpan w:val="9"/>
            <w:tcBorders>
              <w:top w:val="nil"/>
              <w:left w:val="nil"/>
              <w:bottom w:val="single" w:color="auto" w:sz="4" w:space="0"/>
              <w:right w:val="nil"/>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60" w:lineRule="exact"/>
              <w:ind w:left="8400" w:hanging="8400" w:hangingChars="350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工程名称：消火栓工程                                     专业/标段：通用安装工程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99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673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项目名称</w:t>
            </w:r>
          </w:p>
        </w:tc>
        <w:tc>
          <w:tcPr>
            <w:tcW w:w="8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计量单位</w:t>
            </w:r>
          </w:p>
        </w:tc>
        <w:tc>
          <w:tcPr>
            <w:tcW w:w="16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工程数量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95" w:type="dxa"/>
            <w:gridSpan w:val="2"/>
            <w:tcBorders>
              <w:top w:val="single" w:color="auto"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9145" w:type="dxa"/>
            <w:gridSpan w:val="7"/>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暂列金额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1.1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914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专业工程暂估价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2.1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914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计日工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3.1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3.2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3.3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p>
        </w:tc>
        <w:tc>
          <w:tcPr>
            <w:tcW w:w="914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总承包服务费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4.1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发包人供应材料保管费</w:t>
            </w: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4.2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发包人发包专业工程管理服务费_协调与</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管理</w:t>
            </w: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4.3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发包人发包专业工程管理服务费_协调、</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管理并提供配合服务</w:t>
            </w: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914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合同中约定的其他项目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5.1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优质工程增加费</w:t>
            </w: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5.2 </w:t>
            </w: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智慧工地增加费</w:t>
            </w: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95" w:type="dxa"/>
            <w:gridSpan w:val="2"/>
            <w:tcBorders>
              <w:top w:val="single" w:color="000000" w:sz="4" w:space="0"/>
              <w:left w:val="single" w:color="000000" w:sz="8"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6735"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8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c>
          <w:tcPr>
            <w:tcW w:w="16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10140" w:type="dxa"/>
            <w:gridSpan w:val="9"/>
            <w:tcBorders>
              <w:top w:val="single" w:color="000000" w:sz="4" w:space="0"/>
              <w:left w:val="single" w:color="000000" w:sz="8"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                              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10140" w:type="dxa"/>
            <w:gridSpan w:val="9"/>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注：1.表中“合同中约定的其他项目 ”适用于期中支付和工程结算时填写；</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2.其中采用费率计价方式的 ，取费基数填写到“工程数量 ”列 ，  费率填写到“综合单价 ”列 ；采用总价计价方式的可只填写“合价 ”列数值。</w:t>
            </w:r>
          </w:p>
        </w:tc>
      </w:tr>
    </w:tbl>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b/>
          <w:color w:val="auto"/>
        </w:rPr>
        <w:t>二、工程范围：</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color w:val="auto"/>
        </w:rPr>
        <w:t>本次工程招标的范围为工程量清单全部内容。</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b/>
          <w:color w:val="auto"/>
        </w:rPr>
        <w:t>三、工程材料：</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本工程材料均选用国优产品，本工程材料价格参考市场价，供应商自主报价。</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工程材料在工程实施过程中，由</w:t>
      </w:r>
      <w:r>
        <w:rPr>
          <w:rFonts w:hint="eastAsia" w:ascii="仿宋" w:hAnsi="仿宋" w:eastAsia="仿宋" w:cs="仿宋"/>
          <w:color w:val="auto"/>
          <w:lang w:eastAsia="zh-CN"/>
        </w:rPr>
        <w:t>采购方</w:t>
      </w:r>
      <w:r>
        <w:rPr>
          <w:rFonts w:hint="eastAsia" w:ascii="仿宋" w:hAnsi="仿宋" w:eastAsia="仿宋" w:cs="仿宋"/>
          <w:color w:val="auto"/>
        </w:rPr>
        <w:t>认质。凡在工程实施过程因设计变更引起的施工费用，由发包方和承包方共同签字确认变更后协商解决。</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b/>
          <w:color w:val="auto"/>
        </w:rPr>
        <w:t>四、材料供应与验收</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color w:val="auto"/>
        </w:rPr>
        <w:t>1.承包方供应的材料应按合同规定按时、按质、按量供应，必须附有产品合格证或质量检验证书才能用于工程。发包方采用抽检办法责成承包方分批次进行检测，费用由承包方承担。</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2．因材料质量不合格所造成的损失由材料采购方负责。 </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3．根据工程需要，经发包人代表签证，承包方可使用代用材料。因发包方原因使用时，由发包方承担增加的经济支出，因承包方原因使用时，由承包方承担增加的费用。</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color w:val="auto"/>
        </w:rPr>
        <w:t>4．因材料供应不及时造成停工待料时，其停、窝工损失由供货责任方承担。</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color w:val="auto"/>
        </w:rPr>
      </w:pPr>
      <w:r>
        <w:rPr>
          <w:rFonts w:hint="eastAsia" w:ascii="仿宋" w:hAnsi="仿宋" w:eastAsia="仿宋" w:cs="仿宋"/>
          <w:b/>
          <w:color w:val="auto"/>
        </w:rPr>
        <w:t>五、工程质量、技术要求</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1．本工程质量等级要求合格。</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2．承包方必须按照招标要求及国家现行有关施工验收规范组织施工，建立健全质量保证体系，做到安全生产及文明施工，工程竣工验收质量达不到</w:t>
      </w:r>
      <w:r>
        <w:rPr>
          <w:rFonts w:hint="eastAsia" w:ascii="仿宋" w:hAnsi="仿宋" w:eastAsia="仿宋" w:cs="仿宋"/>
          <w:color w:val="auto"/>
          <w:lang w:eastAsia="zh-CN"/>
        </w:rPr>
        <w:t>采购方</w:t>
      </w:r>
      <w:r>
        <w:rPr>
          <w:rFonts w:hint="eastAsia" w:ascii="仿宋" w:hAnsi="仿宋" w:eastAsia="仿宋" w:cs="仿宋"/>
          <w:color w:val="auto"/>
        </w:rPr>
        <w:t>要求的合格标准，发包方有权罚没质量保证金。</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3．本工程所需施工材料、设备均由承包方负责供应，必须满足设计要求和国家有关标准，并应具有合格证等质量证明资料，经发包方人员认定后方可使用。</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4．各工序应严格按施工组织设计进行质量控制，每道工序完工后，应进行检查，相关专业工种之间应及时进行交接检验，并形成记录。未经检查验收不得进行下一道工序。</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5．工程完工后，承包方应在组织有关人员进行自行检验评定后，向发包人提交工程验收报告及相关施工资料。</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6．承包方在质量保修期内，应按照有关法律、法规规定和双方合同条款约定，承担本工程的质量保修责任。</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7．质保期按国家现行行业标准及相关地方政策规范执行，质保期内出现的质量问题由承包方负责；质保期过后，如出现质量问题，亦应积极协助解决。</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8．服务承诺：要求具有完善的维保服务体系，高效的工作作风，优秀的技术维修人员。</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b/>
          <w:color w:val="auto"/>
        </w:rPr>
      </w:pPr>
      <w:r>
        <w:rPr>
          <w:rFonts w:hint="eastAsia" w:ascii="仿宋" w:hAnsi="仿宋" w:eastAsia="仿宋" w:cs="仿宋"/>
          <w:b/>
          <w:color w:val="auto"/>
        </w:rPr>
        <w:t>六、工程施工配合要求</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1．发包方责任：</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1-1 负责工程的总体协调和管理；</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1-2 确认承包人的总体方案和施工方案；</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1-3 审查承包人的施工人员并办理出入证；</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1-4 协助承包人协调水、电及临时设施等相关事宜，为施工创造条件。</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1-5 组织对施工材料及总体工程进行验收。</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2．承包方责任：</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2-1 负责工程施工组织设计，并经发包方确认；</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2-2 按照投标文件中确定的施工进度计划和工程方案进行施工，确保按期完工，工程计划及进度调整必须征得发包人同意。</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2-3 服从发包方的管理，施工人员必须经发包方审定，遵守发包方的有关规定，服从管理，文明施工。</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2-4 负责施工区域内的安全、保卫及消防工作。</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2-5 负责交工前的产品保护工作。</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2-6 做好安排，合理调度人员，保证连续施工，确保按期完工。</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2-7 施工期间水、电等相关事宜的协调及费用由</w:t>
      </w:r>
      <w:r>
        <w:rPr>
          <w:rFonts w:hint="eastAsia" w:ascii="仿宋" w:hAnsi="仿宋" w:eastAsia="仿宋" w:cs="仿宋"/>
          <w:color w:val="auto"/>
          <w:lang w:eastAsia="zh-CN"/>
        </w:rPr>
        <w:t>成交</w:t>
      </w:r>
      <w:r>
        <w:rPr>
          <w:rFonts w:hint="eastAsia" w:ascii="仿宋" w:hAnsi="仿宋" w:eastAsia="仿宋" w:cs="仿宋"/>
          <w:color w:val="auto"/>
        </w:rPr>
        <w:t>单位承担。 </w:t>
      </w:r>
    </w:p>
    <w:p>
      <w:pPr>
        <w:keepNext w:val="0"/>
        <w:keepLines w:val="0"/>
        <w:pageBreakBefore w:val="0"/>
        <w:widowControl/>
        <w:kinsoku/>
        <w:wordWrap/>
        <w:overflowPunct/>
        <w:topLinePunct w:val="0"/>
        <w:autoSpaceDE/>
        <w:autoSpaceDN/>
        <w:bidi w:val="0"/>
        <w:adjustRightInd w:val="0"/>
        <w:snapToGrid w:val="0"/>
        <w:spacing w:line="440" w:lineRule="exact"/>
        <w:ind w:firstLine="588" w:firstLineChars="245"/>
        <w:textAlignment w:val="auto"/>
        <w:rPr>
          <w:rFonts w:hint="eastAsia" w:ascii="仿宋" w:hAnsi="仿宋" w:eastAsia="仿宋" w:cs="仿宋"/>
          <w:b/>
          <w:color w:val="auto"/>
          <w:sz w:val="28"/>
          <w:szCs w:val="28"/>
        </w:rPr>
      </w:pPr>
      <w:r>
        <w:rPr>
          <w:rFonts w:hint="eastAsia" w:ascii="仿宋" w:hAnsi="仿宋" w:eastAsia="仿宋" w:cs="仿宋"/>
          <w:b/>
          <w:color w:val="auto"/>
        </w:rPr>
        <w:t>七、质量验收标准：按国家现行行业标准及相关地方政策规范执行。</w:t>
      </w:r>
    </w:p>
    <w:p>
      <w:pPr>
        <w:keepNext w:val="0"/>
        <w:keepLines w:val="0"/>
        <w:pageBreakBefore w:val="0"/>
        <w:widowControl/>
        <w:kinsoku/>
        <w:wordWrap/>
        <w:overflowPunct/>
        <w:topLinePunct w:val="0"/>
        <w:autoSpaceDE/>
        <w:autoSpaceDN/>
        <w:bidi w:val="0"/>
        <w:adjustRightInd w:val="0"/>
        <w:snapToGrid w:val="0"/>
        <w:spacing w:line="440" w:lineRule="exact"/>
        <w:ind w:firstLine="645"/>
        <w:jc w:val="center"/>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p>
    <w:p>
      <w:pPr>
        <w:pStyle w:val="3"/>
        <w:bidi w:val="0"/>
        <w:jc w:val="center"/>
        <w:rPr>
          <w:rFonts w:hint="eastAsia"/>
          <w:sz w:val="28"/>
          <w:szCs w:val="28"/>
        </w:rPr>
      </w:pPr>
      <w:r>
        <w:rPr>
          <w:rFonts w:hint="eastAsia"/>
          <w:sz w:val="28"/>
          <w:szCs w:val="28"/>
        </w:rPr>
        <w:t>第四部分  商务要求</w:t>
      </w:r>
    </w:p>
    <w:p>
      <w:pPr>
        <w:keepNext w:val="0"/>
        <w:keepLines w:val="0"/>
        <w:pageBreakBefore w:val="0"/>
        <w:widowControl/>
        <w:kinsoku/>
        <w:wordWrap/>
        <w:overflowPunct/>
        <w:topLinePunct w:val="0"/>
        <w:autoSpaceDE/>
        <w:autoSpaceDN/>
        <w:bidi w:val="0"/>
        <w:adjustRightInd w:val="0"/>
        <w:snapToGrid w:val="0"/>
        <w:spacing w:line="440" w:lineRule="exact"/>
        <w:ind w:firstLine="588" w:firstLineChars="245"/>
        <w:textAlignment w:val="auto"/>
        <w:outlineLvl w:val="9"/>
        <w:rPr>
          <w:rFonts w:hint="eastAsia" w:ascii="仿宋" w:hAnsi="仿宋" w:eastAsia="仿宋" w:cs="仿宋"/>
          <w:color w:val="auto"/>
        </w:rPr>
      </w:pPr>
      <w:r>
        <w:rPr>
          <w:rFonts w:hint="eastAsia" w:ascii="仿宋" w:hAnsi="仿宋" w:eastAsia="仿宋" w:cs="仿宋"/>
          <w:b/>
          <w:color w:val="auto"/>
        </w:rPr>
        <w:t>一、项目地点</w:t>
      </w:r>
      <w:r>
        <w:rPr>
          <w:rFonts w:hint="eastAsia" w:ascii="仿宋" w:hAnsi="仿宋" w:eastAsia="仿宋" w:cs="仿宋"/>
          <w:b/>
          <w:color w:val="auto"/>
          <w:lang w:eastAsia="zh-CN"/>
        </w:rPr>
        <w:t>：</w:t>
      </w:r>
      <w:r>
        <w:rPr>
          <w:rFonts w:hint="eastAsia" w:ascii="仿宋" w:hAnsi="仿宋" w:eastAsia="仿宋" w:cs="仿宋"/>
          <w:color w:val="auto"/>
          <w:lang w:eastAsia="zh-CN"/>
        </w:rPr>
        <w:t>平利县</w:t>
      </w:r>
      <w:r>
        <w:rPr>
          <w:rFonts w:hint="eastAsia" w:ascii="仿宋" w:hAnsi="仿宋" w:eastAsia="仿宋" w:cs="仿宋"/>
          <w:color w:val="auto"/>
          <w:lang w:val="en-US" w:eastAsia="zh-CN"/>
        </w:rPr>
        <w:t>职业教育中心</w:t>
      </w:r>
      <w:r>
        <w:rPr>
          <w:rFonts w:hint="eastAsia" w:ascii="仿宋" w:hAnsi="仿宋" w:eastAsia="仿宋" w:cs="仿宋"/>
          <w:color w:val="auto"/>
        </w:rPr>
        <w:t>指定地点。</w:t>
      </w:r>
    </w:p>
    <w:p>
      <w:pPr>
        <w:keepNext w:val="0"/>
        <w:keepLines w:val="0"/>
        <w:pageBreakBefore w:val="0"/>
        <w:widowControl/>
        <w:kinsoku/>
        <w:wordWrap/>
        <w:overflowPunct/>
        <w:topLinePunct w:val="0"/>
        <w:autoSpaceDE/>
        <w:autoSpaceDN/>
        <w:bidi w:val="0"/>
        <w:adjustRightInd w:val="0"/>
        <w:snapToGrid w:val="0"/>
        <w:spacing w:line="440" w:lineRule="exact"/>
        <w:ind w:firstLine="588" w:firstLineChars="245"/>
        <w:textAlignment w:val="auto"/>
        <w:outlineLvl w:val="9"/>
        <w:rPr>
          <w:rFonts w:hint="eastAsia" w:ascii="仿宋" w:hAnsi="仿宋" w:eastAsia="仿宋" w:cs="仿宋"/>
          <w:b/>
          <w:color w:val="auto"/>
        </w:rPr>
      </w:pPr>
      <w:r>
        <w:rPr>
          <w:rFonts w:hint="eastAsia" w:ascii="仿宋" w:hAnsi="仿宋" w:eastAsia="仿宋" w:cs="仿宋"/>
          <w:b/>
          <w:color w:val="auto"/>
        </w:rPr>
        <w:t>二、工期：</w:t>
      </w:r>
      <w:r>
        <w:rPr>
          <w:rFonts w:hint="eastAsia" w:ascii="仿宋" w:hAnsi="仿宋" w:eastAsia="仿宋" w:cs="仿宋"/>
          <w:b/>
          <w:color w:val="auto"/>
          <w:lang w:val="en-US" w:eastAsia="zh-CN"/>
        </w:rPr>
        <w:t>60日历天</w:t>
      </w:r>
      <w:r>
        <w:rPr>
          <w:rFonts w:hint="eastAsia" w:ascii="仿宋" w:hAnsi="仿宋" w:eastAsia="仿宋" w:cs="仿宋"/>
          <w:b/>
          <w:color w:val="auto"/>
        </w:rPr>
        <w:t>。</w:t>
      </w:r>
    </w:p>
    <w:p>
      <w:pPr>
        <w:keepNext w:val="0"/>
        <w:keepLines w:val="0"/>
        <w:pageBreakBefore w:val="0"/>
        <w:widowControl/>
        <w:kinsoku/>
        <w:wordWrap/>
        <w:overflowPunct/>
        <w:topLinePunct w:val="0"/>
        <w:autoSpaceDE/>
        <w:autoSpaceDN/>
        <w:bidi w:val="0"/>
        <w:adjustRightInd w:val="0"/>
        <w:snapToGrid w:val="0"/>
        <w:spacing w:line="440" w:lineRule="exact"/>
        <w:ind w:firstLine="588" w:firstLineChars="245"/>
        <w:textAlignment w:val="auto"/>
        <w:outlineLvl w:val="9"/>
        <w:rPr>
          <w:rFonts w:hint="eastAsia" w:ascii="仿宋" w:hAnsi="仿宋" w:eastAsia="仿宋" w:cs="仿宋"/>
          <w:b/>
          <w:color w:val="auto"/>
        </w:rPr>
      </w:pPr>
      <w:r>
        <w:rPr>
          <w:rFonts w:hint="eastAsia" w:ascii="仿宋" w:hAnsi="仿宋" w:eastAsia="仿宋" w:cs="仿宋"/>
          <w:b/>
          <w:color w:val="auto"/>
        </w:rPr>
        <w:t>三、合同价款：</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1．合同总价包括：包工包料、包工期、包质量、包安全文明施工的施工总承包及其它相关费用。</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2．合同总价不受市场价变化的影响。</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outlineLvl w:val="9"/>
        <w:rPr>
          <w:rFonts w:hint="eastAsia" w:ascii="仿宋" w:hAnsi="仿宋" w:eastAsia="仿宋" w:cs="仿宋"/>
          <w:b/>
          <w:color w:val="auto"/>
        </w:rPr>
      </w:pPr>
      <w:r>
        <w:rPr>
          <w:rFonts w:hint="eastAsia" w:ascii="仿宋" w:hAnsi="仿宋" w:eastAsia="仿宋" w:cs="仿宋"/>
          <w:b/>
          <w:color w:val="auto"/>
        </w:rPr>
        <w:t>四、款项结算</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1．合同款的支付：具体以与采购方签订的合同为准。</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2．结算方式：</w:t>
      </w:r>
      <w:r>
        <w:rPr>
          <w:rFonts w:hint="eastAsia" w:ascii="仿宋" w:hAnsi="仿宋" w:eastAsia="仿宋" w:cs="仿宋"/>
          <w:color w:val="auto"/>
          <w:lang w:eastAsia="zh-CN"/>
        </w:rPr>
        <w:t>平利县</w:t>
      </w:r>
      <w:r>
        <w:rPr>
          <w:rFonts w:hint="eastAsia" w:ascii="仿宋" w:hAnsi="仿宋" w:eastAsia="仿宋" w:cs="仿宋"/>
          <w:color w:val="auto"/>
          <w:lang w:val="en-US" w:eastAsia="zh-CN"/>
        </w:rPr>
        <w:t>职业教育中心</w:t>
      </w:r>
      <w:r>
        <w:rPr>
          <w:rFonts w:hint="eastAsia" w:ascii="仿宋" w:hAnsi="仿宋" w:eastAsia="仿宋" w:cs="仿宋"/>
          <w:color w:val="auto"/>
        </w:rPr>
        <w:t>负责结算，发票开至</w:t>
      </w:r>
      <w:r>
        <w:rPr>
          <w:rFonts w:hint="eastAsia" w:ascii="仿宋" w:hAnsi="仿宋" w:eastAsia="仿宋" w:cs="仿宋"/>
          <w:color w:val="auto"/>
          <w:lang w:eastAsia="zh-CN"/>
        </w:rPr>
        <w:t>平利县</w:t>
      </w:r>
      <w:r>
        <w:rPr>
          <w:rFonts w:hint="eastAsia" w:ascii="仿宋" w:hAnsi="仿宋" w:eastAsia="仿宋" w:cs="仿宋"/>
          <w:color w:val="auto"/>
          <w:lang w:val="en-US" w:eastAsia="zh-CN"/>
        </w:rPr>
        <w:t>职业教育中心</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440" w:lineRule="exact"/>
        <w:ind w:firstLine="597" w:firstLineChars="249"/>
        <w:textAlignment w:val="auto"/>
        <w:rPr>
          <w:rFonts w:hint="eastAsia" w:ascii="仿宋" w:hAnsi="仿宋" w:eastAsia="仿宋" w:cs="仿宋"/>
          <w:b/>
          <w:bCs/>
          <w:color w:val="auto"/>
        </w:rPr>
      </w:pPr>
      <w:r>
        <w:rPr>
          <w:rFonts w:hint="eastAsia" w:ascii="仿宋" w:hAnsi="仿宋" w:eastAsia="仿宋" w:cs="仿宋"/>
          <w:b/>
          <w:bCs/>
          <w:color w:val="auto"/>
        </w:rPr>
        <w:t>五、工程质量</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1．本工程的工程质量应符合国家工程质量验收标准合格以上要求，供应商应按现行的国家施工验收规范和质量评定标准等技术文件为依据施工，一次性验收合格。</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2．所使用材料必须是符合现行国家标准或行业规定的合格产品。设计、施工和材料使用，严格控制有毒有害气体材料，必须遵守消防安全、环境保护等国家强制性规定,使用前必须经采购单位和质监部门验收合格后才能使用。</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3．材料质量出现问题，成交人负责包修、包退、包换，费用由供应商承担。</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4．须严格按照经</w:t>
      </w:r>
      <w:r>
        <w:rPr>
          <w:rFonts w:hint="eastAsia" w:ascii="仿宋" w:hAnsi="仿宋" w:eastAsia="仿宋" w:cs="仿宋"/>
          <w:color w:val="auto"/>
          <w:lang w:eastAsia="zh-CN"/>
        </w:rPr>
        <w:t>采购方</w:t>
      </w:r>
      <w:r>
        <w:rPr>
          <w:rFonts w:hint="eastAsia" w:ascii="仿宋" w:hAnsi="仿宋" w:eastAsia="仿宋" w:cs="仿宋"/>
          <w:color w:val="auto"/>
        </w:rPr>
        <w:t>批准的施工方案施工，执行国家或行业质量标准和验收规范。达不到强制标准的项目必须无条件返工，并承担损失。</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5．成交人要严格按要求施工，无条件接受质量监督部门和</w:t>
      </w:r>
      <w:r>
        <w:rPr>
          <w:rFonts w:hint="eastAsia" w:ascii="仿宋" w:hAnsi="仿宋" w:eastAsia="仿宋" w:cs="仿宋"/>
          <w:color w:val="auto"/>
          <w:lang w:eastAsia="zh-CN"/>
        </w:rPr>
        <w:t>采购方</w:t>
      </w:r>
      <w:r>
        <w:rPr>
          <w:rFonts w:hint="eastAsia" w:ascii="仿宋" w:hAnsi="仿宋" w:eastAsia="仿宋" w:cs="仿宋"/>
          <w:color w:val="auto"/>
        </w:rPr>
        <w:t>监理人员的监督。</w:t>
      </w:r>
    </w:p>
    <w:p>
      <w:pPr>
        <w:keepNext w:val="0"/>
        <w:keepLines w:val="0"/>
        <w:pageBreakBefore w:val="0"/>
        <w:widowControl/>
        <w:kinsoku/>
        <w:wordWrap/>
        <w:overflowPunct/>
        <w:topLinePunct w:val="0"/>
        <w:autoSpaceDE/>
        <w:autoSpaceDN/>
        <w:bidi w:val="0"/>
        <w:adjustRightInd w:val="0"/>
        <w:snapToGrid w:val="0"/>
        <w:spacing w:line="440" w:lineRule="exact"/>
        <w:ind w:firstLine="597" w:firstLineChars="249"/>
        <w:textAlignment w:val="auto"/>
        <w:rPr>
          <w:rFonts w:hint="eastAsia" w:ascii="仿宋" w:hAnsi="仿宋" w:eastAsia="仿宋" w:cs="仿宋"/>
          <w:b/>
          <w:bCs/>
          <w:color w:val="auto"/>
        </w:rPr>
      </w:pPr>
      <w:r>
        <w:rPr>
          <w:rFonts w:hint="eastAsia" w:ascii="仿宋" w:hAnsi="仿宋" w:eastAsia="仿宋" w:cs="仿宋"/>
          <w:b/>
          <w:bCs/>
          <w:color w:val="auto"/>
        </w:rPr>
        <w:t>六、技术服务</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1．成交人必须按国家相应法律法规承诺免费质保期，终身维修并标明质保期后的具体维修维护事宜。</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2．长期提供优惠的后续材料。</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3．全部工程免费质保期为一年</w:t>
      </w:r>
      <w:r>
        <w:rPr>
          <w:rFonts w:hint="eastAsia" w:ascii="仿宋" w:hAnsi="仿宋" w:eastAsia="仿宋" w:cs="仿宋"/>
          <w:color w:val="auto"/>
          <w:lang w:eastAsia="zh-CN"/>
        </w:rPr>
        <w:t>，质保期内</w:t>
      </w:r>
      <w:r>
        <w:rPr>
          <w:rFonts w:hint="eastAsia" w:ascii="仿宋" w:hAnsi="仿宋" w:eastAsia="仿宋" w:cs="仿宋"/>
          <w:color w:val="auto"/>
        </w:rPr>
        <w:t>随时响应</w:t>
      </w:r>
      <w:r>
        <w:rPr>
          <w:rFonts w:hint="eastAsia" w:ascii="仿宋" w:hAnsi="仿宋" w:eastAsia="仿宋" w:cs="仿宋"/>
          <w:color w:val="auto"/>
          <w:lang w:eastAsia="zh-CN"/>
        </w:rPr>
        <w:t>采购方</w:t>
      </w:r>
      <w:r>
        <w:rPr>
          <w:rFonts w:hint="eastAsia" w:ascii="仿宋" w:hAnsi="仿宋" w:eastAsia="仿宋" w:cs="仿宋"/>
          <w:color w:val="auto"/>
        </w:rPr>
        <w:t>的要求，每年定期对工程进行检查，做好跟踪服务。</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4．接到维修电话后能保证2小时内响应，应在24小时内给予答复，并派出专业的维修人员在七个工作日内到用户现场进行维修服务，全部费用由成交人支付。</w:t>
      </w:r>
    </w:p>
    <w:p>
      <w:pPr>
        <w:keepNext w:val="0"/>
        <w:keepLines w:val="0"/>
        <w:pageBreakBefore w:val="0"/>
        <w:widowControl/>
        <w:kinsoku/>
        <w:wordWrap/>
        <w:overflowPunct/>
        <w:topLinePunct w:val="0"/>
        <w:autoSpaceDE/>
        <w:autoSpaceDN/>
        <w:bidi w:val="0"/>
        <w:adjustRightInd w:val="0"/>
        <w:snapToGrid w:val="0"/>
        <w:spacing w:line="440" w:lineRule="exact"/>
        <w:ind w:firstLine="660"/>
        <w:textAlignment w:val="auto"/>
        <w:rPr>
          <w:rFonts w:hint="eastAsia" w:ascii="仿宋" w:hAnsi="仿宋" w:eastAsia="仿宋" w:cs="仿宋"/>
          <w:color w:val="auto"/>
        </w:rPr>
      </w:pPr>
      <w:r>
        <w:rPr>
          <w:rFonts w:hint="eastAsia" w:ascii="仿宋" w:hAnsi="仿宋" w:eastAsia="仿宋" w:cs="仿宋"/>
          <w:color w:val="auto"/>
        </w:rPr>
        <w:t>5．成交人应提供在安康市/平利县维修点地址、电话、联系人。</w:t>
      </w:r>
    </w:p>
    <w:p>
      <w:pPr>
        <w:keepNext w:val="0"/>
        <w:keepLines w:val="0"/>
        <w:pageBreakBefore w:val="0"/>
        <w:widowControl/>
        <w:kinsoku/>
        <w:wordWrap/>
        <w:overflowPunct/>
        <w:topLinePunct w:val="0"/>
        <w:autoSpaceDE/>
        <w:autoSpaceDN/>
        <w:bidi w:val="0"/>
        <w:adjustRightInd w:val="0"/>
        <w:snapToGrid w:val="0"/>
        <w:spacing w:line="440" w:lineRule="exact"/>
        <w:ind w:firstLine="597" w:firstLineChars="249"/>
        <w:textAlignment w:val="auto"/>
        <w:rPr>
          <w:rFonts w:hint="eastAsia" w:ascii="仿宋" w:hAnsi="仿宋" w:eastAsia="仿宋" w:cs="仿宋"/>
          <w:b/>
          <w:bCs/>
          <w:color w:val="auto"/>
        </w:rPr>
      </w:pPr>
      <w:r>
        <w:rPr>
          <w:rFonts w:hint="eastAsia" w:ascii="仿宋" w:hAnsi="仿宋" w:eastAsia="仿宋" w:cs="仿宋"/>
          <w:b/>
          <w:bCs/>
          <w:color w:val="auto"/>
        </w:rPr>
        <w:t>七、验收</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1．项目完成后，成交人需提供全套施工、竣工验收报告等书面资料，并按国家有关部门的标准要求检测验收。</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2．成交人应提前通知</w:t>
      </w:r>
      <w:r>
        <w:rPr>
          <w:rFonts w:hint="eastAsia" w:ascii="仿宋" w:hAnsi="仿宋" w:eastAsia="仿宋" w:cs="仿宋"/>
          <w:color w:val="auto"/>
          <w:lang w:eastAsia="zh-CN"/>
        </w:rPr>
        <w:t>采购方</w:t>
      </w:r>
      <w:r>
        <w:rPr>
          <w:rFonts w:hint="eastAsia" w:ascii="仿宋" w:hAnsi="仿宋" w:eastAsia="仿宋" w:cs="仿宋"/>
          <w:color w:val="auto"/>
        </w:rPr>
        <w:t>，由</w:t>
      </w:r>
      <w:r>
        <w:rPr>
          <w:rFonts w:hint="eastAsia" w:ascii="仿宋" w:hAnsi="仿宋" w:eastAsia="仿宋" w:cs="仿宋"/>
          <w:color w:val="auto"/>
          <w:lang w:eastAsia="zh-CN"/>
        </w:rPr>
        <w:t>采购方</w:t>
      </w:r>
      <w:r>
        <w:rPr>
          <w:rFonts w:hint="eastAsia" w:ascii="仿宋" w:hAnsi="仿宋" w:eastAsia="仿宋" w:cs="仿宋"/>
          <w:color w:val="auto"/>
        </w:rPr>
        <w:t>会同有关人员根据工程量清单及磋商文件等进行验收。</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3．验收合格后，成交人应与</w:t>
      </w:r>
      <w:r>
        <w:rPr>
          <w:rFonts w:hint="eastAsia" w:ascii="仿宋" w:hAnsi="仿宋" w:eastAsia="仿宋" w:cs="仿宋"/>
          <w:color w:val="auto"/>
          <w:lang w:eastAsia="zh-CN"/>
        </w:rPr>
        <w:t>采购方</w:t>
      </w:r>
      <w:r>
        <w:rPr>
          <w:rFonts w:hint="eastAsia" w:ascii="仿宋" w:hAnsi="仿宋" w:eastAsia="仿宋" w:cs="仿宋"/>
          <w:color w:val="auto"/>
        </w:rPr>
        <w:t>办理相关的验收交接手续，填写交接验收单，验收各方签字后送合同各方。</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4．验收依据：</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4.1 合同文本、磋商文件、磋商响应文件。</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color w:val="auto"/>
        </w:rPr>
      </w:pPr>
      <w:r>
        <w:rPr>
          <w:rFonts w:hint="eastAsia" w:ascii="仿宋" w:hAnsi="仿宋" w:eastAsia="仿宋" w:cs="仿宋"/>
          <w:color w:val="auto"/>
        </w:rPr>
        <w:t>4.2 国家或现行行业标准、规范等规定的标准和方法。</w:t>
      </w:r>
    </w:p>
    <w:p>
      <w:pPr>
        <w:keepNext w:val="0"/>
        <w:keepLines w:val="0"/>
        <w:pageBreakBefore w:val="0"/>
        <w:widowControl/>
        <w:kinsoku/>
        <w:wordWrap/>
        <w:overflowPunct/>
        <w:topLinePunct w:val="0"/>
        <w:autoSpaceDE/>
        <w:autoSpaceDN/>
        <w:bidi w:val="0"/>
        <w:adjustRightInd w:val="0"/>
        <w:snapToGrid w:val="0"/>
        <w:spacing w:line="440" w:lineRule="exact"/>
        <w:ind w:firstLine="597" w:firstLineChars="249"/>
        <w:textAlignment w:val="auto"/>
        <w:rPr>
          <w:rFonts w:hint="eastAsia" w:ascii="仿宋" w:hAnsi="仿宋" w:eastAsia="仿宋" w:cs="仿宋"/>
          <w:b/>
          <w:bCs/>
          <w:color w:val="auto"/>
        </w:rPr>
      </w:pPr>
      <w:r>
        <w:rPr>
          <w:rFonts w:hint="eastAsia" w:ascii="仿宋" w:hAnsi="仿宋" w:eastAsia="仿宋" w:cs="仿宋"/>
          <w:b/>
          <w:bCs/>
          <w:color w:val="auto"/>
        </w:rPr>
        <w:t>八、违约责任</w:t>
      </w:r>
    </w:p>
    <w:p>
      <w:pPr>
        <w:keepNext w:val="0"/>
        <w:keepLines w:val="0"/>
        <w:pageBreakBefore w:val="0"/>
        <w:widowControl/>
        <w:kinsoku/>
        <w:wordWrap/>
        <w:overflowPunct/>
        <w:topLinePunct w:val="0"/>
        <w:autoSpaceDE/>
        <w:autoSpaceDN/>
        <w:bidi w:val="0"/>
        <w:adjustRightInd w:val="0"/>
        <w:snapToGrid w:val="0"/>
        <w:spacing w:line="440" w:lineRule="exact"/>
        <w:ind w:left="645"/>
        <w:textAlignment w:val="auto"/>
        <w:rPr>
          <w:rFonts w:hint="eastAsia" w:ascii="仿宋" w:hAnsi="仿宋" w:eastAsia="仿宋" w:cs="仿宋"/>
          <w:color w:val="auto"/>
        </w:rPr>
      </w:pPr>
      <w:r>
        <w:rPr>
          <w:rFonts w:hint="eastAsia" w:ascii="仿宋" w:hAnsi="仿宋" w:eastAsia="仿宋" w:cs="仿宋"/>
          <w:color w:val="auto"/>
        </w:rPr>
        <w:t>1．按《合同法》中的相关条款执行。</w:t>
      </w:r>
    </w:p>
    <w:p>
      <w:pPr>
        <w:keepNext w:val="0"/>
        <w:keepLines w:val="0"/>
        <w:pageBreakBefore w:val="0"/>
        <w:widowControl/>
        <w:kinsoku/>
        <w:wordWrap/>
        <w:overflowPunct/>
        <w:topLinePunct w:val="0"/>
        <w:autoSpaceDE/>
        <w:autoSpaceDN/>
        <w:bidi w:val="0"/>
        <w:adjustRightInd w:val="0"/>
        <w:snapToGrid w:val="0"/>
        <w:spacing w:line="440" w:lineRule="exact"/>
        <w:ind w:firstLine="645"/>
        <w:textAlignment w:val="auto"/>
        <w:rPr>
          <w:rFonts w:hint="eastAsia" w:ascii="仿宋" w:hAnsi="仿宋" w:eastAsia="仿宋" w:cs="仿宋"/>
          <w:b/>
          <w:color w:val="auto"/>
          <w:sz w:val="28"/>
          <w:szCs w:val="28"/>
        </w:rPr>
      </w:pPr>
      <w:r>
        <w:rPr>
          <w:rFonts w:hint="eastAsia" w:ascii="仿宋" w:hAnsi="仿宋" w:eastAsia="仿宋" w:cs="仿宋"/>
          <w:color w:val="auto"/>
        </w:rPr>
        <w:t>2．未按合同要求施工或服务质量不能满足技术要求，采购人会同监督单位、宏泰项目管理有限公司有权终止合同，甚至对供方违约行为进行追究。</w:t>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r>
        <w:rPr>
          <w:rFonts w:hint="eastAsia" w:ascii="仿宋" w:hAnsi="仿宋" w:eastAsia="仿宋" w:cs="仿宋"/>
          <w:b/>
          <w:color w:val="auto"/>
          <w:sz w:val="28"/>
          <w:szCs w:val="28"/>
        </w:rPr>
        <w:br w:type="textWrapping"/>
      </w:r>
    </w:p>
    <w:p>
      <w:pPr>
        <w:pStyle w:val="3"/>
        <w:bidi w:val="0"/>
        <w:jc w:val="center"/>
        <w:rPr>
          <w:rFonts w:hint="eastAsia"/>
          <w:sz w:val="28"/>
          <w:szCs w:val="28"/>
        </w:rPr>
      </w:pPr>
      <w:r>
        <w:rPr>
          <w:rFonts w:hint="eastAsia"/>
          <w:sz w:val="28"/>
          <w:szCs w:val="28"/>
        </w:rPr>
        <w:t>第五部分  合同主要条款（参考）</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sz w:val="24"/>
          <w:szCs w:val="24"/>
          <w:u w:val="none"/>
        </w:rPr>
      </w:pPr>
      <w:r>
        <w:rPr>
          <w:rFonts w:hint="eastAsia" w:ascii="仿宋" w:hAnsi="仿宋" w:eastAsia="仿宋" w:cs="仿宋"/>
          <w:sz w:val="24"/>
          <w:szCs w:val="24"/>
        </w:rPr>
        <w:t>依据《中华人民共和国政府采购法》及其他有关法律、法规之规定，签订</w:t>
      </w:r>
      <w:r>
        <w:rPr>
          <w:rFonts w:hint="eastAsia" w:ascii="仿宋" w:hAnsi="仿宋" w:eastAsia="仿宋" w:cs="仿宋"/>
          <w:color w:val="000000"/>
          <w:sz w:val="24"/>
          <w:szCs w:val="24"/>
        </w:rPr>
        <w:t>本</w:t>
      </w:r>
      <w:r>
        <w:rPr>
          <w:rFonts w:hint="eastAsia" w:ascii="仿宋" w:hAnsi="仿宋" w:eastAsia="仿宋" w:cs="仿宋"/>
          <w:b/>
          <w:sz w:val="24"/>
          <w:szCs w:val="24"/>
          <w:u w:val="single"/>
          <w:lang w:val="en-US" w:eastAsia="zh-CN"/>
        </w:rPr>
        <w:t>平利县职业教育中心新校区餐厅改造项目</w:t>
      </w:r>
      <w:r>
        <w:rPr>
          <w:rFonts w:hint="eastAsia" w:ascii="仿宋" w:hAnsi="仿宋" w:eastAsia="仿宋" w:cs="仿宋"/>
          <w:b/>
          <w:sz w:val="24"/>
          <w:szCs w:val="24"/>
          <w:u w:val="none"/>
        </w:rPr>
        <w:t>合同。</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bookmarkStart w:id="3" w:name="_Toc341030114"/>
      <w:r>
        <w:rPr>
          <w:rFonts w:hint="eastAsia" w:ascii="仿宋" w:hAnsi="仿宋" w:eastAsia="仿宋" w:cs="仿宋"/>
          <w:sz w:val="24"/>
          <w:szCs w:val="24"/>
        </w:rPr>
        <w:t>第一条工程范围：</w:t>
      </w:r>
      <w:r>
        <w:rPr>
          <w:rFonts w:hint="eastAsia" w:ascii="仿宋" w:hAnsi="仿宋" w:eastAsia="仿宋" w:cs="仿宋"/>
          <w:b/>
          <w:bCs/>
          <w:sz w:val="24"/>
          <w:szCs w:val="24"/>
          <w:u w:val="single"/>
        </w:rPr>
        <w:t>根</w:t>
      </w:r>
      <w:r>
        <w:rPr>
          <w:rFonts w:hint="eastAsia" w:ascii="仿宋" w:hAnsi="仿宋" w:eastAsia="仿宋" w:cs="仿宋"/>
          <w:b/>
          <w:sz w:val="24"/>
          <w:szCs w:val="24"/>
          <w:u w:val="single"/>
        </w:rPr>
        <w:t>据甲方最终工程范围及质量验收标准</w:t>
      </w:r>
      <w:bookmarkEnd w:id="3"/>
      <w:r>
        <w:rPr>
          <w:rFonts w:hint="eastAsia" w:ascii="仿宋" w:hAnsi="仿宋" w:eastAsia="仿宋" w:cs="仿宋"/>
          <w:sz w:val="24"/>
          <w:szCs w:val="24"/>
        </w:rPr>
        <w:t>交工期限：乙方应在</w:t>
      </w:r>
      <w:r>
        <w:rPr>
          <w:rFonts w:hint="eastAsia" w:ascii="仿宋" w:hAnsi="仿宋" w:eastAsia="仿宋" w:cs="仿宋"/>
          <w:b/>
          <w:sz w:val="24"/>
          <w:szCs w:val="24"/>
          <w:u w:val="single"/>
        </w:rPr>
        <w:t>202</w:t>
      </w:r>
      <w:r>
        <w:rPr>
          <w:rFonts w:hint="eastAsia" w:ascii="仿宋" w:hAnsi="仿宋" w:eastAsia="仿宋" w:cs="仿宋"/>
          <w:b/>
          <w:sz w:val="24"/>
          <w:szCs w:val="24"/>
          <w:u w:val="single"/>
          <w:lang w:val="en-US" w:eastAsia="zh-CN"/>
        </w:rPr>
        <w:t>6</w:t>
      </w:r>
      <w:r>
        <w:rPr>
          <w:rFonts w:hint="eastAsia" w:ascii="仿宋" w:hAnsi="仿宋" w:eastAsia="仿宋" w:cs="仿宋"/>
          <w:b/>
          <w:sz w:val="24"/>
          <w:szCs w:val="24"/>
          <w:u w:val="single"/>
        </w:rPr>
        <w:t>年  月底</w:t>
      </w:r>
      <w:r>
        <w:rPr>
          <w:rFonts w:hint="eastAsia" w:ascii="仿宋" w:hAnsi="仿宋" w:eastAsia="仿宋" w:cs="仿宋"/>
          <w:sz w:val="24"/>
          <w:szCs w:val="24"/>
        </w:rPr>
        <w:t>完成所有的工程内容。</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bookmarkStart w:id="4" w:name="_Toc341030115"/>
      <w:r>
        <w:rPr>
          <w:rFonts w:hint="eastAsia" w:ascii="仿宋" w:hAnsi="仿宋" w:eastAsia="仿宋" w:cs="仿宋"/>
          <w:sz w:val="24"/>
          <w:szCs w:val="24"/>
        </w:rPr>
        <w:t>第二条</w:t>
      </w:r>
      <w:bookmarkEnd w:id="4"/>
      <w:r>
        <w:rPr>
          <w:rFonts w:hint="eastAsia" w:ascii="仿宋" w:hAnsi="仿宋" w:eastAsia="仿宋" w:cs="仿宋"/>
          <w:sz w:val="24"/>
          <w:szCs w:val="24"/>
        </w:rPr>
        <w:t>工程质量及验收标准</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2.1 工程材料的质量要求</w:t>
      </w:r>
      <w:r>
        <w:rPr>
          <w:rFonts w:hint="eastAsia" w:ascii="仿宋" w:hAnsi="仿宋" w:eastAsia="仿宋" w:cs="仿宋"/>
          <w:sz w:val="24"/>
          <w:szCs w:val="24"/>
          <w:u w:val="single"/>
        </w:rPr>
        <w:t>：乙方应保证所使用材料必须是符合现行国家标准或行业规定的合格产品。设计、施工和材料使用，严格控制有毒有害气体材料,必须遵守消防安全、环境保护等国家强制性规定,使用前必须经采购单位和质监部门验收合格后才能使用。如无相关国家标准，依次执行本行行业设计、安全、质量标准有关规范及企业标准及招标文件的要求。</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u w:val="none"/>
        </w:rPr>
      </w:pPr>
      <w:r>
        <w:rPr>
          <w:rFonts w:hint="eastAsia" w:ascii="仿宋" w:hAnsi="仿宋" w:eastAsia="仿宋" w:cs="仿宋"/>
          <w:sz w:val="24"/>
          <w:szCs w:val="24"/>
          <w:u w:val="none"/>
        </w:rPr>
        <w:t>2.2乙方应负责并保证其工程正常合理进行，在工期范围之内完成所有工程。</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u w:val="none"/>
        </w:rPr>
        <w:t>2.3 工程质量要求：</w:t>
      </w:r>
      <w:r>
        <w:rPr>
          <w:rFonts w:hint="eastAsia" w:ascii="仿宋" w:hAnsi="仿宋" w:eastAsia="仿宋" w:cs="仿宋"/>
          <w:sz w:val="24"/>
          <w:szCs w:val="24"/>
        </w:rPr>
        <w:t>乙方工程质量应符合最新国家及行业质量标准、技术规范、验收标准。</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bookmarkStart w:id="5" w:name="_Toc341030116"/>
      <w:r>
        <w:rPr>
          <w:rFonts w:hint="eastAsia" w:ascii="仿宋" w:hAnsi="仿宋" w:eastAsia="仿宋" w:cs="仿宋"/>
          <w:sz w:val="24"/>
          <w:szCs w:val="24"/>
        </w:rPr>
        <w:t>第三条</w:t>
      </w:r>
      <w:bookmarkEnd w:id="5"/>
      <w:r>
        <w:rPr>
          <w:rFonts w:hint="eastAsia" w:ascii="仿宋" w:hAnsi="仿宋" w:eastAsia="仿宋" w:cs="仿宋"/>
          <w:sz w:val="24"/>
          <w:szCs w:val="24"/>
        </w:rPr>
        <w:t>交工期限</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3.1乙方应于  年  月底完成</w:t>
      </w:r>
      <w:r>
        <w:rPr>
          <w:rFonts w:hint="eastAsia" w:ascii="仿宋" w:hAnsi="仿宋" w:eastAsia="仿宋" w:cs="仿宋"/>
          <w:sz w:val="24"/>
          <w:szCs w:val="24"/>
          <w:lang w:val="en-US" w:eastAsia="zh-CN"/>
        </w:rPr>
        <w:t>平利县职业教育中心新校区餐厅改造项目</w:t>
      </w:r>
      <w:r>
        <w:rPr>
          <w:rFonts w:hint="eastAsia" w:ascii="仿宋" w:hAnsi="仿宋" w:eastAsia="仿宋" w:cs="仿宋"/>
          <w:sz w:val="24"/>
          <w:szCs w:val="24"/>
        </w:rPr>
        <w:t>的所有工程，并通过甲方组织的验收并于年月底完成通过政府相关管理部门的验收。</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3.2工程施工期间，乙方应遵守安全、文明规定，服从项目管理单位的管理，承担安全文明施工责任和工程完工保护责任。</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3.3工程完成后，乙方应按照工程验收备案制的要求，向采购人报送竣工资料。</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bookmarkStart w:id="6" w:name="_Toc341030117"/>
      <w:r>
        <w:rPr>
          <w:rFonts w:hint="eastAsia" w:ascii="仿宋" w:hAnsi="仿宋" w:eastAsia="仿宋" w:cs="仿宋"/>
          <w:sz w:val="24"/>
          <w:szCs w:val="24"/>
        </w:rPr>
        <w:t>第四条合同价款及支付</w:t>
      </w:r>
      <w:bookmarkEnd w:id="6"/>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4.1本合同价款总额为</w:t>
      </w:r>
      <w:r>
        <w:rPr>
          <w:rFonts w:hint="eastAsia" w:ascii="仿宋" w:hAnsi="仿宋" w:eastAsia="仿宋" w:cs="仿宋"/>
          <w:b/>
          <w:bCs/>
          <w:sz w:val="24"/>
          <w:szCs w:val="24"/>
          <w:u w:val="single"/>
        </w:rPr>
        <w:t>（人民币）元（¥       .00）</w:t>
      </w:r>
      <w:r>
        <w:rPr>
          <w:rFonts w:hint="eastAsia" w:ascii="仿宋" w:hAnsi="仿宋" w:eastAsia="仿宋" w:cs="仿宋"/>
          <w:sz w:val="24"/>
          <w:szCs w:val="24"/>
        </w:rPr>
        <w:t>，价格构成详见</w:t>
      </w:r>
      <w:r>
        <w:rPr>
          <w:rFonts w:hint="eastAsia" w:ascii="仿宋" w:hAnsi="仿宋" w:eastAsia="仿宋" w:cs="仿宋"/>
          <w:b/>
          <w:bCs/>
          <w:sz w:val="24"/>
          <w:szCs w:val="24"/>
          <w:u w:val="single"/>
        </w:rPr>
        <w:t>投标文件报价部分</w:t>
      </w:r>
      <w:r>
        <w:rPr>
          <w:rFonts w:hint="eastAsia" w:ascii="仿宋" w:hAnsi="仿宋" w:eastAsia="仿宋" w:cs="仿宋"/>
          <w:sz w:val="24"/>
          <w:szCs w:val="24"/>
        </w:rPr>
        <w:t>。</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4.2合同履行过程中，如根据甲方（采购方）需求出现方案调整、变化，导致工程量增减的，变更、增减部分价款将根据投标人报价表中相关单价结算。</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4.3合同价款的支付：</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sz w:val="24"/>
          <w:szCs w:val="24"/>
          <w:lang w:eastAsia="zh-CN"/>
        </w:rPr>
      </w:pPr>
      <w:bookmarkStart w:id="7" w:name="_Toc341030118"/>
      <w:r>
        <w:rPr>
          <w:rFonts w:hint="eastAsia" w:ascii="仿宋" w:hAnsi="仿宋" w:eastAsia="仿宋" w:cs="仿宋"/>
          <w:b w:val="0"/>
          <w:bCs w:val="0"/>
          <w:sz w:val="24"/>
          <w:szCs w:val="24"/>
        </w:rPr>
        <w:t>1．合同价款的支付</w:t>
      </w:r>
      <w:r>
        <w:rPr>
          <w:rFonts w:hint="eastAsia" w:ascii="仿宋" w:hAnsi="仿宋" w:eastAsia="仿宋" w:cs="仿宋"/>
          <w:b w:val="0"/>
          <w:bCs w:val="0"/>
          <w:sz w:val="24"/>
          <w:szCs w:val="24"/>
          <w:lang w:eastAsia="zh-CN"/>
        </w:rPr>
        <w:t>：</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b w:val="0"/>
          <w:bCs w:val="0"/>
          <w:sz w:val="24"/>
          <w:szCs w:val="24"/>
        </w:rPr>
        <w:t>2．因财政拨款未能按计划及时到达采购人专项账户而影响价款支付时，中标人不得以此为由拖延工期。在此期间产生的一切</w:t>
      </w:r>
      <w:r>
        <w:rPr>
          <w:rFonts w:hint="eastAsia" w:ascii="仿宋" w:hAnsi="仿宋" w:eastAsia="仿宋" w:cs="仿宋"/>
          <w:sz w:val="24"/>
          <w:szCs w:val="24"/>
        </w:rPr>
        <w:t>费用，采购人不予承担。</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3．发票开至</w:t>
      </w:r>
      <w:r>
        <w:rPr>
          <w:rFonts w:hint="eastAsia" w:ascii="仿宋" w:hAnsi="仿宋" w:eastAsia="仿宋" w:cs="仿宋"/>
          <w:b/>
          <w:bCs/>
          <w:sz w:val="24"/>
          <w:szCs w:val="24"/>
          <w:lang w:eastAsia="zh-CN"/>
        </w:rPr>
        <w:t>平利县职业教育中心。</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第五条  指定履约人员</w:t>
      </w:r>
      <w:bookmarkEnd w:id="7"/>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甲方指定（姓名）代表甲方验收，签收（或送达）合同履行资料。</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乙方指定（姓名）代表乙方交工，签收（或送达）合同履行资料。</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上述指定人员如需变更，应以书面形式于变更之日通知对方。</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非指定人员签署的履行资料，在结算时甲方不予认可。</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sz w:val="24"/>
          <w:szCs w:val="24"/>
        </w:rPr>
      </w:pPr>
      <w:bookmarkStart w:id="8" w:name="_Toc341030119"/>
      <w:r>
        <w:rPr>
          <w:rFonts w:hint="eastAsia" w:ascii="仿宋" w:hAnsi="仿宋" w:eastAsia="仿宋" w:cs="仿宋"/>
          <w:b w:val="0"/>
          <w:bCs w:val="0"/>
          <w:sz w:val="24"/>
          <w:szCs w:val="24"/>
        </w:rPr>
        <w:t>第六条工程验收</w:t>
      </w:r>
      <w:bookmarkEnd w:id="8"/>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z w:val="24"/>
          <w:szCs w:val="24"/>
          <w:u w:val="single"/>
        </w:rPr>
      </w:pPr>
      <w:r>
        <w:rPr>
          <w:rFonts w:hint="eastAsia" w:ascii="仿宋" w:hAnsi="仿宋" w:eastAsia="仿宋" w:cs="仿宋"/>
          <w:b w:val="0"/>
          <w:bCs w:val="0"/>
          <w:sz w:val="24"/>
          <w:szCs w:val="24"/>
        </w:rPr>
        <w:t>6.1工程验收：</w:t>
      </w:r>
      <w:r>
        <w:rPr>
          <w:rFonts w:hint="eastAsia" w:ascii="仿宋" w:hAnsi="仿宋" w:eastAsia="仿宋" w:cs="仿宋"/>
          <w:b/>
          <w:bCs/>
          <w:sz w:val="24"/>
          <w:szCs w:val="24"/>
          <w:u w:val="single"/>
        </w:rPr>
        <w:t>所有工程材料到达现场后 2 日内，甲方组织专业人员或部门对乙方交工的工程材料进行初步验收。工程材料不符合相关国家、行业及约定标准或没有按规定提供约定的证明文件的，甲方拒绝接受。此项验收仅为工程初步验收，并不免除乙方承担的质量责任。</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sz w:val="24"/>
          <w:szCs w:val="24"/>
          <w:u w:val="single"/>
        </w:rPr>
      </w:pPr>
      <w:r>
        <w:rPr>
          <w:rFonts w:hint="eastAsia" w:ascii="仿宋" w:hAnsi="仿宋" w:eastAsia="仿宋" w:cs="仿宋"/>
          <w:b w:val="0"/>
          <w:bCs w:val="0"/>
          <w:sz w:val="24"/>
          <w:szCs w:val="24"/>
          <w:u w:val="none"/>
        </w:rPr>
        <w:t>6.2争议解决：</w:t>
      </w:r>
      <w:r>
        <w:rPr>
          <w:rFonts w:hint="eastAsia" w:ascii="仿宋" w:hAnsi="仿宋" w:eastAsia="仿宋" w:cs="仿宋"/>
          <w:b/>
          <w:bCs/>
          <w:sz w:val="24"/>
          <w:szCs w:val="24"/>
          <w:u w:val="single"/>
        </w:rPr>
        <w:t>双方对工程是否符合约定标准产生争议时，送相关质检部检测，检测结果将作为裁决依据送仲裁部门进行仲裁。检测费、裁决费用由乙方预付，裁决符合约定标准的，由甲方承担；不符合标准的，由乙方承担。</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sz w:val="24"/>
          <w:szCs w:val="24"/>
        </w:rPr>
      </w:pPr>
      <w:r>
        <w:rPr>
          <w:rFonts w:hint="eastAsia" w:ascii="仿宋" w:hAnsi="仿宋" w:eastAsia="仿宋" w:cs="仿宋"/>
          <w:b w:val="0"/>
          <w:bCs w:val="0"/>
          <w:sz w:val="24"/>
          <w:szCs w:val="24"/>
          <w:u w:val="none"/>
        </w:rPr>
        <w:t>6.3工程验收：</w:t>
      </w:r>
      <w:r>
        <w:rPr>
          <w:rFonts w:hint="eastAsia" w:ascii="仿宋" w:hAnsi="仿宋" w:eastAsia="仿宋" w:cs="仿宋"/>
          <w:b/>
          <w:bCs/>
          <w:sz w:val="24"/>
          <w:szCs w:val="24"/>
          <w:u w:val="single"/>
        </w:rPr>
        <w:t>全部工程完毕后，乙方进行各项检查。检查符合要求的，通知甲方组织验收。因工程材料质量导</w:t>
      </w:r>
      <w:r>
        <w:rPr>
          <w:rFonts w:hint="eastAsia" w:ascii="仿宋" w:hAnsi="仿宋" w:eastAsia="仿宋" w:cs="仿宋"/>
          <w:b/>
          <w:sz w:val="24"/>
          <w:szCs w:val="24"/>
          <w:u w:val="single"/>
        </w:rPr>
        <w:t>致检查不符合要求的，乙方应免费更换，使之达到工程质量验收标准，同时承担拆除、重新安装的费用和本合同约定的违约责任</w:t>
      </w:r>
      <w:r>
        <w:rPr>
          <w:rFonts w:hint="eastAsia" w:ascii="仿宋" w:hAnsi="仿宋" w:eastAsia="仿宋" w:cs="仿宋"/>
          <w:b/>
          <w:sz w:val="24"/>
          <w:szCs w:val="24"/>
        </w:rPr>
        <w:t>。</w:t>
      </w:r>
    </w:p>
    <w:p>
      <w:pPr>
        <w:keepNext w:val="0"/>
        <w:keepLines w:val="0"/>
        <w:pageBreakBefore w:val="0"/>
        <w:widowControl/>
        <w:kinsoku/>
        <w:wordWrap/>
        <w:overflowPunct/>
        <w:topLinePunct w:val="0"/>
        <w:autoSpaceDE/>
        <w:autoSpaceDN/>
        <w:bidi w:val="0"/>
        <w:spacing w:line="440" w:lineRule="exact"/>
        <w:ind w:right="-1"/>
        <w:textAlignment w:val="auto"/>
        <w:outlineLvl w:val="9"/>
        <w:rPr>
          <w:rFonts w:hint="eastAsia" w:ascii="仿宋" w:hAnsi="仿宋" w:eastAsia="仿宋" w:cs="仿宋"/>
          <w:sz w:val="24"/>
          <w:szCs w:val="24"/>
        </w:rPr>
      </w:pPr>
      <w:bookmarkStart w:id="9" w:name="_Toc341030120"/>
      <w:r>
        <w:rPr>
          <w:rFonts w:hint="eastAsia" w:ascii="仿宋" w:hAnsi="仿宋" w:eastAsia="仿宋" w:cs="仿宋"/>
          <w:sz w:val="24"/>
          <w:szCs w:val="24"/>
        </w:rPr>
        <w:t>第七条质保期及服务</w:t>
      </w:r>
      <w:bookmarkEnd w:id="9"/>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7.1全部工程免费质保期为一年，自所有工程完工最终验收合格之日起算。</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7.2 质量保证期内的服务：</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outlineLvl w:val="9"/>
        <w:rPr>
          <w:rFonts w:hint="eastAsia" w:ascii="仿宋" w:hAnsi="仿宋" w:eastAsia="仿宋" w:cs="仿宋"/>
          <w:sz w:val="24"/>
          <w:szCs w:val="24"/>
        </w:rPr>
      </w:pPr>
      <w:bookmarkStart w:id="10" w:name="_Toc341030122"/>
      <w:r>
        <w:rPr>
          <w:rFonts w:hint="eastAsia" w:ascii="仿宋" w:hAnsi="仿宋" w:eastAsia="仿宋" w:cs="仿宋"/>
          <w:sz w:val="24"/>
          <w:szCs w:val="24"/>
        </w:rPr>
        <w:t>第八条风险承担</w:t>
      </w:r>
      <w:bookmarkEnd w:id="10"/>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乙方承担工程验收完成前的灭失、毁损等一切风险。</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outlineLvl w:val="9"/>
        <w:rPr>
          <w:rFonts w:hint="eastAsia" w:ascii="仿宋" w:hAnsi="仿宋" w:eastAsia="仿宋" w:cs="仿宋"/>
          <w:sz w:val="24"/>
          <w:szCs w:val="24"/>
        </w:rPr>
      </w:pPr>
      <w:bookmarkStart w:id="11" w:name="_Toc341030123"/>
      <w:r>
        <w:rPr>
          <w:rFonts w:hint="eastAsia" w:ascii="仿宋" w:hAnsi="仿宋" w:eastAsia="仿宋" w:cs="仿宋"/>
          <w:sz w:val="24"/>
          <w:szCs w:val="24"/>
        </w:rPr>
        <w:t>第九条违约条款</w:t>
      </w:r>
      <w:bookmarkEnd w:id="11"/>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9.1质量违约责任</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9.1.1乙方交付的工程材料部分质量不符合约定，无论质量不符合约定是制造原因所致，还是运输、包装、仓储保管、安装过程等原因所致，乙方均应承担下列违约责任：</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（1）更换至符合约定要求；</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（2）承担更换的所有费用；</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（3）更换后，仍不符合约定要求的，甲方可解除合同，合同解除的，乙方应返还甲方已支付的价款，并向甲方支付合同价款</w:t>
      </w:r>
      <w:r>
        <w:rPr>
          <w:rFonts w:hint="eastAsia" w:ascii="仿宋" w:hAnsi="仿宋" w:eastAsia="仿宋" w:cs="仿宋"/>
          <w:b/>
          <w:sz w:val="24"/>
          <w:szCs w:val="24"/>
          <w:u w:val="single"/>
        </w:rPr>
        <w:t xml:space="preserve"> 1% </w:t>
      </w:r>
      <w:r>
        <w:rPr>
          <w:rFonts w:hint="eastAsia" w:ascii="仿宋" w:hAnsi="仿宋" w:eastAsia="仿宋" w:cs="仿宋"/>
          <w:sz w:val="24"/>
          <w:szCs w:val="24"/>
        </w:rPr>
        <w:t>的违约金。因更换导致工程交付、安装工期迟延，按以下</w:t>
      </w:r>
      <w:r>
        <w:rPr>
          <w:rFonts w:hint="eastAsia" w:ascii="仿宋" w:hAnsi="仿宋" w:eastAsia="仿宋" w:cs="仿宋"/>
          <w:sz w:val="24"/>
          <w:szCs w:val="24"/>
          <w:u w:val="single"/>
        </w:rPr>
        <w:t>第</w:t>
      </w:r>
      <w:r>
        <w:rPr>
          <w:rFonts w:hint="eastAsia" w:ascii="仿宋" w:hAnsi="仿宋" w:eastAsia="仿宋" w:cs="仿宋"/>
          <w:b/>
          <w:sz w:val="24"/>
          <w:szCs w:val="24"/>
          <w:u w:val="single"/>
        </w:rPr>
        <w:t>9.2条款</w:t>
      </w:r>
      <w:r>
        <w:rPr>
          <w:rFonts w:hint="eastAsia" w:ascii="仿宋" w:hAnsi="仿宋" w:eastAsia="仿宋" w:cs="仿宋"/>
          <w:sz w:val="24"/>
          <w:szCs w:val="24"/>
        </w:rPr>
        <w:t>承担迟延违约责任。</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9.1.2乙方工程质量不符合约定，应负责整改至符合约定标准，并承担整改发生的全部费用，导致工期迟延的，按下</w:t>
      </w:r>
      <w:r>
        <w:rPr>
          <w:rFonts w:hint="eastAsia" w:ascii="仿宋" w:hAnsi="仿宋" w:eastAsia="仿宋" w:cs="仿宋"/>
          <w:sz w:val="24"/>
          <w:szCs w:val="24"/>
          <w:u w:val="single"/>
        </w:rPr>
        <w:t>第</w:t>
      </w:r>
      <w:r>
        <w:rPr>
          <w:rFonts w:hint="eastAsia" w:ascii="仿宋" w:hAnsi="仿宋" w:eastAsia="仿宋" w:cs="仿宋"/>
          <w:b/>
          <w:sz w:val="24"/>
          <w:szCs w:val="24"/>
          <w:u w:val="single"/>
        </w:rPr>
        <w:t>9.2条款</w:t>
      </w:r>
      <w:r>
        <w:rPr>
          <w:rFonts w:hint="eastAsia" w:ascii="仿宋" w:hAnsi="仿宋" w:eastAsia="仿宋" w:cs="仿宋"/>
          <w:sz w:val="24"/>
          <w:szCs w:val="24"/>
        </w:rPr>
        <w:t>款承担违约责任。</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9.2期限违约责任</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9.2.1非甲方原因导致工程通过验收的日期迟于合同约定工期届满之日，每迟延1日，乙方按合同价款总额</w:t>
      </w:r>
      <w:r>
        <w:rPr>
          <w:rFonts w:hint="eastAsia" w:ascii="仿宋" w:hAnsi="仿宋" w:eastAsia="仿宋" w:cs="仿宋"/>
          <w:b/>
          <w:sz w:val="24"/>
          <w:szCs w:val="24"/>
          <w:u w:val="single"/>
        </w:rPr>
        <w:t>1‰</w:t>
      </w:r>
      <w:r>
        <w:rPr>
          <w:rFonts w:hint="eastAsia" w:ascii="仿宋" w:hAnsi="仿宋" w:eastAsia="仿宋" w:cs="仿宋"/>
          <w:sz w:val="24"/>
          <w:szCs w:val="24"/>
        </w:rPr>
        <w:t>标准向甲方支付违约金。乙方自合同签订之日起20个工作日仍未按工期要求提供相关产品，则甲方有权解除合同，由此造成的一切损失由乙方承担。因天气、气候等非人为因素造成的延迟工期、对接不属乙方责任，乙方不承担因此给甲方带来的一切后果。</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9.2.2甲方没有按本合同约定的时间和数额支付合同约定款项的，收到书面催付15日后按迟延支付金额的</w:t>
      </w:r>
      <w:r>
        <w:rPr>
          <w:rFonts w:hint="eastAsia" w:ascii="仿宋" w:hAnsi="仿宋" w:eastAsia="仿宋" w:cs="仿宋"/>
          <w:b/>
          <w:sz w:val="24"/>
          <w:szCs w:val="24"/>
          <w:u w:val="single"/>
        </w:rPr>
        <w:t>1‰</w:t>
      </w:r>
      <w:r>
        <w:rPr>
          <w:rFonts w:hint="eastAsia" w:ascii="仿宋" w:hAnsi="仿宋" w:eastAsia="仿宋" w:cs="仿宋"/>
          <w:sz w:val="24"/>
          <w:szCs w:val="24"/>
        </w:rPr>
        <w:t>（日）的标准向乙方支付违约金。该违约金最高不超过合同价款总额的</w:t>
      </w:r>
      <w:r>
        <w:rPr>
          <w:rFonts w:hint="eastAsia" w:ascii="仿宋" w:hAnsi="仿宋" w:eastAsia="仿宋" w:cs="仿宋"/>
          <w:b/>
          <w:sz w:val="24"/>
          <w:szCs w:val="24"/>
          <w:u w:val="single"/>
        </w:rPr>
        <w:t xml:space="preserve"> 2% </w:t>
      </w:r>
      <w:r>
        <w:rPr>
          <w:rFonts w:hint="eastAsia" w:ascii="仿宋" w:hAnsi="仿宋" w:eastAsia="仿宋" w:cs="仿宋"/>
          <w:sz w:val="24"/>
          <w:szCs w:val="24"/>
          <w:u w:val="single"/>
        </w:rPr>
        <w:t>。</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9.3其他违约责任</w:t>
      </w:r>
    </w:p>
    <w:p>
      <w:pPr>
        <w:keepNext w:val="0"/>
        <w:keepLines w:val="0"/>
        <w:pageBreakBefore w:val="0"/>
        <w:widowControl/>
        <w:kinsoku/>
        <w:wordWrap/>
        <w:overflowPunct/>
        <w:topLinePunct w:val="0"/>
        <w:autoSpaceDE/>
        <w:autoSpaceDN/>
        <w:bidi w:val="0"/>
        <w:spacing w:line="440" w:lineRule="exact"/>
        <w:ind w:right="-1" w:firstLine="360" w:firstLineChars="150"/>
        <w:textAlignment w:val="auto"/>
        <w:rPr>
          <w:rFonts w:hint="eastAsia" w:ascii="仿宋" w:hAnsi="仿宋" w:eastAsia="仿宋" w:cs="仿宋"/>
          <w:sz w:val="24"/>
          <w:szCs w:val="24"/>
        </w:rPr>
      </w:pPr>
      <w:r>
        <w:rPr>
          <w:rFonts w:hint="eastAsia" w:ascii="仿宋" w:hAnsi="仿宋" w:eastAsia="仿宋" w:cs="仿宋"/>
          <w:sz w:val="24"/>
          <w:szCs w:val="24"/>
        </w:rPr>
        <w:t>乙方在质量保证期限内，不提供本合同约定的质保服务的，按每逾期1天甲方将扣除质保金总额</w:t>
      </w:r>
      <w:r>
        <w:rPr>
          <w:rFonts w:hint="eastAsia" w:ascii="仿宋" w:hAnsi="仿宋" w:eastAsia="仿宋" w:cs="仿宋"/>
          <w:b/>
          <w:sz w:val="24"/>
          <w:szCs w:val="24"/>
          <w:u w:val="single"/>
        </w:rPr>
        <w:t>5‰</w:t>
      </w:r>
      <w:r>
        <w:rPr>
          <w:rFonts w:hint="eastAsia" w:ascii="仿宋" w:hAnsi="仿宋" w:eastAsia="仿宋" w:cs="仿宋"/>
          <w:sz w:val="24"/>
          <w:szCs w:val="24"/>
        </w:rPr>
        <w:t>的违约金，并还需立即提供服务。</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9.4乙方依据上述条款应向甲方支付的违约金、赔偿金，甲方有权从合同价款、质量保证金中等额扣除。</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第十条其他</w:t>
      </w:r>
    </w:p>
    <w:p>
      <w:pPr>
        <w:keepNext w:val="0"/>
        <w:keepLines w:val="0"/>
        <w:pageBreakBefore w:val="0"/>
        <w:widowControl/>
        <w:kinsoku/>
        <w:wordWrap/>
        <w:overflowPunct/>
        <w:topLinePunct w:val="0"/>
        <w:autoSpaceDE/>
        <w:autoSpaceDN/>
        <w:bidi w:val="0"/>
        <w:spacing w:line="440" w:lineRule="exact"/>
        <w:ind w:right="-1"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10.1争议解决</w:t>
      </w:r>
    </w:p>
    <w:p>
      <w:pPr>
        <w:keepNext w:val="0"/>
        <w:keepLines w:val="0"/>
        <w:pageBreakBefore w:val="0"/>
        <w:widowControl/>
        <w:kinsoku/>
        <w:wordWrap/>
        <w:overflowPunct/>
        <w:topLinePunct w:val="0"/>
        <w:autoSpaceDE/>
        <w:autoSpaceDN/>
        <w:bidi w:val="0"/>
        <w:spacing w:line="440" w:lineRule="exact"/>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因本合同产生的其它争议，双方协商解决，协商不成的，由仲裁机构仲裁。</w:t>
      </w:r>
    </w:p>
    <w:p>
      <w:pPr>
        <w:keepNext w:val="0"/>
        <w:keepLines w:val="0"/>
        <w:pageBreakBefore w:val="0"/>
        <w:widowControl/>
        <w:kinsoku/>
        <w:wordWrap/>
        <w:overflowPunct/>
        <w:topLinePunct w:val="0"/>
        <w:autoSpaceDE/>
        <w:autoSpaceDN/>
        <w:bidi w:val="0"/>
        <w:spacing w:line="440" w:lineRule="exact"/>
        <w:ind w:firstLine="480" w:firstLineChars="200"/>
        <w:jc w:val="left"/>
        <w:textAlignment w:val="auto"/>
        <w:rPr>
          <w:rFonts w:hint="eastAsia" w:ascii="仿宋" w:hAnsi="仿宋" w:eastAsia="仿宋" w:cs="仿宋"/>
          <w:b/>
          <w:color w:val="auto"/>
          <w:sz w:val="24"/>
          <w:szCs w:val="24"/>
          <w:u w:val="single"/>
          <w:lang w:eastAsia="zh-CN"/>
        </w:rPr>
      </w:pPr>
      <w:r>
        <w:rPr>
          <w:rFonts w:hint="eastAsia" w:ascii="仿宋" w:hAnsi="仿宋" w:eastAsia="仿宋" w:cs="仿宋"/>
          <w:b/>
          <w:color w:val="auto"/>
          <w:sz w:val="24"/>
          <w:szCs w:val="24"/>
          <w:u w:val="single"/>
          <w:lang w:eastAsia="zh-CN"/>
        </w:rPr>
        <w:t>附件：</w:t>
      </w:r>
    </w:p>
    <w:p>
      <w:pPr>
        <w:widowControl/>
        <w:spacing w:line="560" w:lineRule="exact"/>
        <w:jc w:val="center"/>
        <w:rPr>
          <w:rFonts w:hint="eastAsia" w:ascii="仿宋" w:hAnsi="仿宋" w:eastAsia="仿宋" w:cs="仿宋"/>
          <w:b/>
          <w:color w:val="auto"/>
          <w:sz w:val="28"/>
          <w:szCs w:val="28"/>
          <w:u w:val="none"/>
          <w:lang w:eastAsia="zh-CN"/>
        </w:rPr>
      </w:pPr>
      <w:bookmarkStart w:id="12" w:name="_Toc30141"/>
      <w:r>
        <w:rPr>
          <w:rFonts w:hint="eastAsia" w:ascii="仿宋" w:hAnsi="仿宋" w:eastAsia="仿宋" w:cs="仿宋"/>
          <w:b/>
          <w:color w:val="auto"/>
          <w:sz w:val="28"/>
          <w:szCs w:val="28"/>
          <w:u w:val="none"/>
          <w:lang w:eastAsia="zh-CN"/>
        </w:rPr>
        <w:t>工程质量保修书</w:t>
      </w:r>
      <w:bookmarkEnd w:id="12"/>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kern w:val="0"/>
          <w:sz w:val="24"/>
          <w:szCs w:val="24"/>
          <w:u w:val="single"/>
        </w:rPr>
      </w:pPr>
      <w:r>
        <w:rPr>
          <w:rFonts w:hint="eastAsia" w:ascii="仿宋" w:hAnsi="仿宋" w:eastAsia="仿宋" w:cs="仿宋"/>
          <w:b/>
          <w:bCs/>
          <w:color w:val="auto"/>
          <w:kern w:val="0"/>
          <w:sz w:val="24"/>
          <w:szCs w:val="24"/>
        </w:rPr>
        <w:t>发包人(全称)：</w:t>
      </w:r>
      <w:r>
        <w:rPr>
          <w:rFonts w:hint="eastAsia" w:ascii="仿宋" w:hAnsi="仿宋" w:eastAsia="仿宋" w:cs="仿宋"/>
          <w:b/>
          <w:bCs/>
          <w:color w:val="auto"/>
          <w:kern w:val="0"/>
          <w:sz w:val="24"/>
          <w:szCs w:val="24"/>
          <w:u w:val="single"/>
        </w:rPr>
        <w:t xml:space="preserve"> </w:t>
      </w:r>
      <w:r>
        <w:rPr>
          <w:rFonts w:hint="eastAsia" w:ascii="仿宋" w:hAnsi="仿宋" w:eastAsia="仿宋" w:cs="仿宋"/>
          <w:b/>
          <w:color w:val="auto"/>
          <w:sz w:val="24"/>
          <w:szCs w:val="24"/>
          <w:u w:val="single"/>
          <w:lang w:eastAsia="zh-CN"/>
        </w:rPr>
        <w:t>平利县</w:t>
      </w:r>
      <w:r>
        <w:rPr>
          <w:rFonts w:hint="eastAsia" w:ascii="仿宋" w:hAnsi="仿宋" w:eastAsia="仿宋" w:cs="仿宋"/>
          <w:b/>
          <w:color w:val="auto"/>
          <w:sz w:val="24"/>
          <w:szCs w:val="24"/>
          <w:u w:val="single"/>
          <w:lang w:val="en-US" w:eastAsia="zh-CN"/>
        </w:rPr>
        <w:t>职业教育中心</w:t>
      </w: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kern w:val="0"/>
          <w:sz w:val="24"/>
          <w:szCs w:val="24"/>
          <w:u w:val="single"/>
        </w:rPr>
      </w:pPr>
      <w:r>
        <w:rPr>
          <w:rFonts w:hint="eastAsia" w:ascii="仿宋" w:hAnsi="仿宋" w:eastAsia="仿宋" w:cs="仿宋"/>
          <w:b/>
          <w:bCs/>
          <w:color w:val="auto"/>
          <w:kern w:val="0"/>
          <w:sz w:val="24"/>
          <w:szCs w:val="24"/>
        </w:rPr>
        <w:t>承包人(全称)：</w:t>
      </w:r>
      <w:r>
        <w:rPr>
          <w:rFonts w:hint="eastAsia" w:ascii="仿宋" w:hAnsi="仿宋" w:eastAsia="仿宋" w:cs="仿宋"/>
          <w:b/>
          <w:bCs/>
          <w:color w:val="auto"/>
          <w:kern w:val="0"/>
          <w:sz w:val="24"/>
          <w:szCs w:val="24"/>
          <w:u w:val="single"/>
        </w:rPr>
        <w:t xml:space="preserve"> </w:t>
      </w:r>
      <w:r>
        <w:rPr>
          <w:rFonts w:hint="eastAsia" w:ascii="仿宋" w:hAnsi="仿宋" w:eastAsia="仿宋" w:cs="仿宋"/>
          <w:b/>
          <w:color w:val="auto"/>
          <w:sz w:val="24"/>
          <w:szCs w:val="24"/>
          <w:u w:val="single"/>
        </w:rPr>
        <w:t>[&lt;乙方&gt;]</w:t>
      </w:r>
      <w:r>
        <w:rPr>
          <w:rFonts w:hint="eastAsia" w:ascii="仿宋" w:hAnsi="仿宋" w:eastAsia="仿宋" w:cs="仿宋"/>
          <w:b/>
          <w:bCs/>
          <w:color w:val="auto"/>
          <w:kern w:val="0"/>
          <w:sz w:val="24"/>
          <w:szCs w:val="24"/>
          <w:u w:val="single"/>
        </w:rPr>
        <w:t xml:space="preserve">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为保证</w:t>
      </w:r>
      <w:r>
        <w:rPr>
          <w:rFonts w:hint="eastAsia" w:ascii="仿宋" w:hAnsi="仿宋" w:eastAsia="仿宋" w:cs="仿宋"/>
          <w:b/>
          <w:bCs/>
          <w:color w:val="auto"/>
          <w:kern w:val="0"/>
          <w:sz w:val="24"/>
          <w:szCs w:val="24"/>
          <w:u w:val="single"/>
        </w:rPr>
        <w:t>平利县职业教育中心新校区餐厅改造项目</w:t>
      </w:r>
      <w:r>
        <w:rPr>
          <w:rFonts w:hint="eastAsia" w:ascii="仿宋" w:hAnsi="仿宋" w:eastAsia="仿宋" w:cs="仿宋"/>
          <w:color w:val="auto"/>
          <w:kern w:val="0"/>
          <w:sz w:val="24"/>
          <w:szCs w:val="24"/>
        </w:rPr>
        <w:t>（工程名称）在合理使用期限内正常使用，发包人、承包人协商一致签订工程质量保修书。承包人在质量保修期内按照有关管理规定及双方约定承担工程质量保修责任。</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一、工程质量保修范围和内容</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质量保修范围包括电气管线、上下水管线的安装工程等项目。具体质量保修内容双方约定为：</w:t>
      </w:r>
      <w:r>
        <w:rPr>
          <w:rFonts w:hint="eastAsia" w:ascii="仿宋" w:hAnsi="仿宋" w:eastAsia="仿宋" w:cs="仿宋"/>
          <w:color w:val="auto"/>
          <w:kern w:val="0"/>
          <w:sz w:val="24"/>
          <w:szCs w:val="24"/>
          <w:u w:val="single"/>
        </w:rPr>
        <w:t xml:space="preserve">由承包人施工的所有工作内容 </w:t>
      </w:r>
      <w:r>
        <w:rPr>
          <w:rFonts w:hint="eastAsia" w:ascii="仿宋" w:hAnsi="仿宋" w:eastAsia="仿宋" w:cs="仿宋"/>
          <w:color w:val="auto"/>
          <w:kern w:val="0"/>
          <w:sz w:val="24"/>
          <w:szCs w:val="24"/>
        </w:rPr>
        <w:t>。</w:t>
      </w:r>
    </w:p>
    <w:p>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lang w:val="en-US" w:eastAsia="zh-CN" w:bidi="ar-SA"/>
        </w:rPr>
        <w:t>二、</w:t>
      </w:r>
      <w:r>
        <w:rPr>
          <w:rFonts w:hint="eastAsia" w:ascii="仿宋" w:hAnsi="仿宋" w:eastAsia="仿宋" w:cs="仿宋"/>
          <w:b/>
          <w:bCs/>
          <w:color w:val="auto"/>
          <w:kern w:val="0"/>
          <w:sz w:val="24"/>
          <w:szCs w:val="24"/>
        </w:rPr>
        <w:t>质量保修期</w:t>
      </w:r>
    </w:p>
    <w:p>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质量保修期自工程竣工验收合格之日起计算。分单项竣工验收的工程，按单项工程分别计算质量保修期。</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双方根据《建设工程质量管理条例》及国家有关规定，结合具体工程约定质量保修期如下：</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w:t>
      </w:r>
      <w:r>
        <w:rPr>
          <w:rFonts w:hint="eastAsia" w:ascii="仿宋" w:hAnsi="仿宋" w:eastAsia="仿宋" w:cs="仿宋"/>
          <w:color w:val="auto"/>
          <w:kern w:val="0"/>
          <w:sz w:val="24"/>
          <w:szCs w:val="24"/>
        </w:rPr>
        <w:t>、电气管线、上下水管线安装工程为</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rPr>
        <w:t>、食堂专用设备与餐具的采购安装</w:t>
      </w:r>
      <w:r>
        <w:rPr>
          <w:rFonts w:hint="eastAsia" w:ascii="仿宋" w:hAnsi="仿宋" w:eastAsia="仿宋" w:cs="仿宋"/>
          <w:color w:val="auto"/>
          <w:kern w:val="0"/>
          <w:sz w:val="24"/>
          <w:szCs w:val="24"/>
          <w:lang w:val="en-US" w:eastAsia="zh-CN"/>
        </w:rPr>
        <w:t>工程为</w:t>
      </w:r>
      <w:r>
        <w:rPr>
          <w:rFonts w:hint="eastAsia" w:ascii="仿宋" w:hAnsi="仿宋" w:eastAsia="仿宋" w:cs="仿宋"/>
          <w:color w:val="auto"/>
          <w:kern w:val="0"/>
          <w:sz w:val="24"/>
          <w:szCs w:val="24"/>
          <w:u w:val="single"/>
        </w:rPr>
        <w:t xml:space="preserve"> \ </w:t>
      </w:r>
      <w:r>
        <w:rPr>
          <w:rFonts w:hint="eastAsia" w:ascii="仿宋" w:hAnsi="仿宋" w:eastAsia="仿宋" w:cs="仿宋"/>
          <w:color w:val="auto"/>
          <w:kern w:val="0"/>
          <w:sz w:val="24"/>
          <w:szCs w:val="24"/>
        </w:rPr>
        <w:t>年；</w:t>
      </w:r>
    </w:p>
    <w:p>
      <w:pPr>
        <w:pStyle w:val="21"/>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、其他约定：</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 xml:space="preserve">三、质量保修责任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1、属于保修范围和内容的项目，承包人应在接到修理通知之日后7天内派人修理。承包人不在约定期限内派人修理，发包人可委托其他人员修理，保修费用</w:t>
      </w:r>
      <w:r>
        <w:rPr>
          <w:rFonts w:hint="eastAsia" w:ascii="仿宋" w:hAnsi="仿宋" w:eastAsia="仿宋" w:cs="仿宋"/>
          <w:color w:val="auto"/>
          <w:kern w:val="0"/>
          <w:sz w:val="24"/>
          <w:szCs w:val="24"/>
          <w:lang w:val="en-US" w:eastAsia="zh-CN"/>
        </w:rPr>
        <w:t>由承包人承担</w:t>
      </w:r>
      <w:r>
        <w:rPr>
          <w:rFonts w:hint="eastAsia" w:ascii="仿宋" w:hAnsi="仿宋" w:eastAsia="仿宋" w:cs="仿宋"/>
          <w:color w:val="auto"/>
          <w:kern w:val="0"/>
          <w:sz w:val="24"/>
          <w:szCs w:val="24"/>
        </w:rPr>
        <w:t>。</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2、发生须紧急抢修事故（如上水跑水、燃气漏气等），承包人接到事故通知后，应立即到达事故现场抢修。非承包人施工质量引起的事故，抢修费用由发包人承担。</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3、在国家规定的工程合理使用期限内，承包人确保地基基础工程和主体结构的质量。因承包人原因致使工程在合理使用期限内造成人身和财产损害的，承包人应承担损害赔偿责任。</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lang w:val="en-US" w:eastAsia="zh-CN"/>
        </w:rPr>
        <w:t>四</w:t>
      </w:r>
      <w:r>
        <w:rPr>
          <w:rFonts w:hint="eastAsia" w:ascii="仿宋" w:hAnsi="仿宋" w:eastAsia="仿宋" w:cs="仿宋"/>
          <w:b/>
          <w:bCs/>
          <w:color w:val="auto"/>
          <w:kern w:val="0"/>
          <w:sz w:val="24"/>
          <w:szCs w:val="24"/>
        </w:rPr>
        <w:t>、其  他</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双方约定的其他工程质量保修事项：</w:t>
      </w:r>
      <w:r>
        <w:rPr>
          <w:rFonts w:hint="eastAsia" w:ascii="仿宋" w:hAnsi="仿宋" w:eastAsia="仿宋" w:cs="仿宋"/>
          <w:color w:val="auto"/>
          <w:kern w:val="0"/>
          <w:sz w:val="24"/>
          <w:szCs w:val="24"/>
          <w:u w:val="single"/>
        </w:rPr>
        <w:t xml:space="preserve"> 执行现行规定 </w:t>
      </w:r>
      <w:r>
        <w:rPr>
          <w:rFonts w:hint="eastAsia" w:ascii="仿宋" w:hAnsi="仿宋" w:eastAsia="仿宋" w:cs="仿宋"/>
          <w:color w:val="auto"/>
          <w:kern w:val="0"/>
          <w:sz w:val="24"/>
          <w:szCs w:val="24"/>
        </w:rPr>
        <w:t>。</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本工程质量保修作书为施工合同的附件，由施工合同发包人、承包人双方共同签订。</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kern w:val="0"/>
          <w:sz w:val="24"/>
          <w:szCs w:val="24"/>
        </w:rPr>
      </w:pP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发  包  人（盖章）：</w:t>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rPr>
        <w:tab/>
      </w:r>
      <w:r>
        <w:rPr>
          <w:rFonts w:hint="eastAsia" w:ascii="仿宋" w:hAnsi="仿宋" w:eastAsia="仿宋" w:cs="仿宋"/>
          <w:color w:val="auto"/>
          <w:kern w:val="0"/>
          <w:sz w:val="24"/>
          <w:szCs w:val="24"/>
        </w:rPr>
        <w:t>承  包  人（盖章）：</w:t>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kern w:val="0"/>
          <w:sz w:val="24"/>
          <w:szCs w:val="24"/>
        </w:rPr>
      </w:pP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法定代表人（签字）：</w:t>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rPr>
        <w:tab/>
      </w:r>
      <w:r>
        <w:rPr>
          <w:rFonts w:hint="eastAsia" w:ascii="仿宋" w:hAnsi="仿宋" w:eastAsia="仿宋" w:cs="仿宋"/>
          <w:color w:val="auto"/>
          <w:kern w:val="0"/>
          <w:sz w:val="24"/>
          <w:szCs w:val="24"/>
        </w:rPr>
        <w:t>法定代表人（签字）：</w:t>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p>
    <w:p>
      <w:pPr>
        <w:pStyle w:val="2"/>
        <w:rPr>
          <w:rFonts w:hint="eastAsia"/>
        </w:rPr>
      </w:pP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委托代理人（签字）：</w:t>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rPr>
        <w:tab/>
      </w:r>
      <w:r>
        <w:rPr>
          <w:rFonts w:hint="eastAsia" w:ascii="仿宋" w:hAnsi="仿宋" w:eastAsia="仿宋" w:cs="仿宋"/>
          <w:color w:val="auto"/>
          <w:kern w:val="0"/>
          <w:sz w:val="24"/>
          <w:szCs w:val="24"/>
        </w:rPr>
        <w:t>委托代理人（签字）：</w:t>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r>
        <w:rPr>
          <w:rFonts w:hint="eastAsia" w:ascii="仿宋" w:hAnsi="仿宋" w:eastAsia="仿宋" w:cs="仿宋"/>
          <w:color w:val="auto"/>
          <w:kern w:val="0"/>
          <w:sz w:val="24"/>
          <w:szCs w:val="24"/>
          <w:u w:val="single"/>
        </w:rPr>
        <w:tab/>
      </w:r>
    </w:p>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4"/>
          <w:szCs w:val="24"/>
        </w:rPr>
      </w:pPr>
    </w:p>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 xml:space="preserve">                                            </w:t>
      </w:r>
      <w:r>
        <w:rPr>
          <w:rFonts w:hint="eastAsia" w:ascii="仿宋" w:hAnsi="仿宋" w:eastAsia="仿宋" w:cs="仿宋"/>
          <w:color w:val="auto"/>
          <w:kern w:val="0"/>
          <w:sz w:val="24"/>
          <w:szCs w:val="24"/>
        </w:rPr>
        <w:t>签订日期：</w:t>
      </w:r>
      <w:r>
        <w:rPr>
          <w:rFonts w:hint="eastAsia" w:ascii="仿宋" w:hAnsi="仿宋" w:eastAsia="仿宋" w:cs="仿宋"/>
          <w:color w:val="auto"/>
          <w:sz w:val="24"/>
          <w:szCs w:val="24"/>
          <w:u w:val="single"/>
        </w:rPr>
        <w:t>[&lt;签订日期&gt;]</w:t>
      </w: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kern w:val="0"/>
          <w:sz w:val="24"/>
          <w:szCs w:val="24"/>
        </w:rPr>
        <w:sectPr>
          <w:headerReference r:id="rId4" w:type="first"/>
          <w:headerReference r:id="rId3" w:type="default"/>
          <w:footerReference r:id="rId5" w:type="default"/>
          <w:pgSz w:w="11907" w:h="16840"/>
          <w:pgMar w:top="1440" w:right="1417" w:bottom="1440" w:left="1417" w:header="737" w:footer="907" w:gutter="0"/>
          <w:pgNumType w:fmt="decimal" w:start="1"/>
          <w:cols w:space="720" w:num="1"/>
          <w:titlePg/>
          <w:docGrid w:type="linesAndChars" w:linePitch="435" w:charSpace="0"/>
        </w:sectPr>
      </w:pPr>
    </w:p>
    <w:p>
      <w:pPr>
        <w:tabs>
          <w:tab w:val="right" w:pos="4860"/>
        </w:tabs>
        <w:adjustRightInd w:val="0"/>
        <w:snapToGrid w:val="0"/>
        <w:spacing w:line="520" w:lineRule="exact"/>
        <w:jc w:val="center"/>
        <w:outlineLvl w:val="0"/>
        <w:rPr>
          <w:rFonts w:hint="eastAsia" w:ascii="仿宋" w:hAnsi="仿宋" w:eastAsia="仿宋" w:cs="仿宋"/>
          <w:b/>
          <w:color w:val="auto"/>
          <w:sz w:val="32"/>
          <w:szCs w:val="32"/>
        </w:rPr>
      </w:pPr>
      <w:r>
        <w:rPr>
          <w:rFonts w:hint="eastAsia" w:ascii="仿宋" w:hAnsi="仿宋" w:eastAsia="仿宋" w:cs="仿宋"/>
          <w:b/>
          <w:color w:val="auto"/>
          <w:sz w:val="28"/>
          <w:szCs w:val="28"/>
        </w:rPr>
        <w:t>第六部分  竞争性磋商响应文件（格式）</w:t>
      </w:r>
    </w:p>
    <w:p>
      <w:pPr>
        <w:adjustRightInd w:val="0"/>
        <w:snapToGrid w:val="0"/>
        <w:spacing w:line="400" w:lineRule="exact"/>
        <w:rPr>
          <w:rFonts w:hint="eastAsia" w:ascii="仿宋" w:hAnsi="仿宋" w:eastAsia="仿宋" w:cs="仿宋"/>
          <w:b/>
          <w:color w:val="auto"/>
        </w:rPr>
      </w:pPr>
    </w:p>
    <w:p>
      <w:pPr>
        <w:adjustRightInd w:val="0"/>
        <w:snapToGrid w:val="0"/>
        <w:spacing w:line="400" w:lineRule="exact"/>
        <w:rPr>
          <w:rFonts w:hint="default" w:ascii="仿宋" w:hAnsi="仿宋" w:eastAsia="仿宋" w:cs="仿宋"/>
          <w:b/>
          <w:color w:val="auto"/>
          <w:sz w:val="30"/>
          <w:szCs w:val="30"/>
          <w:lang w:val="en-US" w:eastAsia="zh-CN"/>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HTZB2026-AK-0</w:t>
      </w:r>
      <w:r>
        <w:rPr>
          <w:rFonts w:hint="eastAsia" w:ascii="仿宋" w:hAnsi="仿宋" w:eastAsia="仿宋" w:cs="仿宋"/>
          <w:b/>
          <w:color w:val="auto"/>
          <w:sz w:val="30"/>
          <w:szCs w:val="30"/>
          <w:lang w:val="en-US" w:eastAsia="zh-CN"/>
        </w:rPr>
        <w:t>27</w:t>
      </w:r>
    </w:p>
    <w:p>
      <w:pPr>
        <w:adjustRightInd w:val="0"/>
        <w:snapToGrid w:val="0"/>
        <w:spacing w:line="400" w:lineRule="exact"/>
        <w:jc w:val="right"/>
        <w:rPr>
          <w:rFonts w:hint="eastAsia" w:ascii="仿宋" w:hAnsi="仿宋" w:eastAsia="仿宋" w:cs="仿宋"/>
          <w:b/>
          <w:color w:val="auto"/>
        </w:rPr>
      </w:pPr>
    </w:p>
    <w:p>
      <w:pPr>
        <w:adjustRightInd w:val="0"/>
        <w:snapToGrid w:val="0"/>
        <w:spacing w:line="400" w:lineRule="exact"/>
        <w:jc w:val="right"/>
        <w:rPr>
          <w:rFonts w:hint="eastAsia" w:ascii="仿宋" w:hAnsi="仿宋" w:eastAsia="仿宋" w:cs="仿宋"/>
          <w:b/>
          <w:color w:val="auto"/>
        </w:rPr>
      </w:pPr>
    </w:p>
    <w:p>
      <w:pPr>
        <w:adjustRightInd w:val="0"/>
        <w:snapToGrid w:val="0"/>
        <w:spacing w:line="360" w:lineRule="auto"/>
        <w:rPr>
          <w:rFonts w:hint="eastAsia" w:ascii="仿宋" w:hAnsi="仿宋" w:eastAsia="仿宋" w:cs="仿宋"/>
          <w:color w:val="auto"/>
        </w:rPr>
      </w:pP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tabs>
          <w:tab w:val="left" w:pos="3000"/>
          <w:tab w:val="center" w:pos="4535"/>
        </w:tabs>
        <w:adjustRightInd w:val="0"/>
        <w:snapToGrid w:val="0"/>
        <w:spacing w:line="360" w:lineRule="auto"/>
        <w:rPr>
          <w:rFonts w:hint="eastAsia" w:ascii="仿宋" w:hAnsi="仿宋" w:eastAsia="仿宋" w:cs="仿宋"/>
          <w:color w:val="auto"/>
          <w:sz w:val="32"/>
          <w:szCs w:val="32"/>
        </w:rPr>
      </w:pPr>
      <w:r>
        <w:rPr>
          <w:rFonts w:hint="eastAsia" w:ascii="仿宋" w:hAnsi="仿宋" w:eastAsia="仿宋" w:cs="仿宋"/>
          <w:color w:val="auto"/>
          <w:sz w:val="32"/>
          <w:szCs w:val="32"/>
        </w:rPr>
        <w:tab/>
      </w:r>
      <w:r>
        <w:rPr>
          <w:rFonts w:hint="eastAsia" w:ascii="仿宋" w:hAnsi="仿宋" w:eastAsia="仿宋" w:cs="仿宋"/>
          <w:color w:val="auto"/>
          <w:sz w:val="32"/>
          <w:szCs w:val="32"/>
        </w:rPr>
        <w:tab/>
      </w:r>
    </w:p>
    <w:p>
      <w:pPr>
        <w:adjustRightInd w:val="0"/>
        <w:snapToGrid w:val="0"/>
        <w:spacing w:line="360" w:lineRule="auto"/>
        <w:jc w:val="center"/>
        <w:rPr>
          <w:rFonts w:hint="eastAsia" w:ascii="仿宋" w:hAnsi="仿宋" w:eastAsia="仿宋" w:cs="仿宋"/>
          <w:b/>
          <w:color w:val="auto"/>
          <w:sz w:val="44"/>
          <w:szCs w:val="44"/>
          <w:lang w:eastAsia="zh-CN"/>
        </w:rPr>
      </w:pPr>
      <w:r>
        <w:rPr>
          <w:rFonts w:hint="eastAsia" w:ascii="仿宋" w:hAnsi="仿宋" w:eastAsia="仿宋" w:cs="仿宋"/>
          <w:b/>
          <w:color w:val="auto"/>
          <w:sz w:val="44"/>
          <w:szCs w:val="44"/>
          <w:lang w:eastAsia="zh-CN"/>
        </w:rPr>
        <w:t>平利县职业教育中心新校区餐厅改造项目</w:t>
      </w:r>
    </w:p>
    <w:p>
      <w:pPr>
        <w:adjustRightInd w:val="0"/>
        <w:snapToGrid w:val="0"/>
        <w:spacing w:line="360" w:lineRule="auto"/>
        <w:jc w:val="center"/>
        <w:rPr>
          <w:rFonts w:hint="eastAsia" w:ascii="仿宋" w:hAnsi="仿宋" w:eastAsia="仿宋" w:cs="仿宋"/>
          <w:b/>
          <w:color w:val="auto"/>
          <w:sz w:val="44"/>
          <w:szCs w:val="44"/>
        </w:rPr>
      </w:pPr>
      <w:r>
        <w:rPr>
          <w:rFonts w:hint="eastAsia" w:ascii="仿宋" w:hAnsi="仿宋" w:eastAsia="仿宋" w:cs="仿宋"/>
          <w:b/>
          <w:color w:val="auto"/>
          <w:sz w:val="44"/>
          <w:szCs w:val="44"/>
          <w:lang w:val="en-US" w:eastAsia="zh-CN"/>
        </w:rPr>
        <w:t>竞争性</w:t>
      </w:r>
      <w:r>
        <w:rPr>
          <w:rFonts w:hint="eastAsia" w:ascii="仿宋" w:hAnsi="仿宋" w:eastAsia="仿宋" w:cs="仿宋"/>
          <w:b/>
          <w:color w:val="auto"/>
          <w:sz w:val="44"/>
          <w:szCs w:val="44"/>
        </w:rPr>
        <w:t>磋商响应文件</w:t>
      </w: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800" w:lineRule="exact"/>
        <w:ind w:firstLine="1576"/>
        <w:rPr>
          <w:rFonts w:hint="eastAsia" w:ascii="仿宋" w:hAnsi="仿宋" w:eastAsia="仿宋" w:cs="仿宋"/>
          <w:b/>
          <w:bCs/>
          <w:color w:val="auto"/>
          <w:sz w:val="30"/>
          <w:szCs w:val="30"/>
          <w:lang w:eastAsia="zh-CN"/>
        </w:rPr>
      </w:pPr>
    </w:p>
    <w:p>
      <w:pPr>
        <w:adjustRightInd w:val="0"/>
        <w:snapToGrid w:val="0"/>
        <w:spacing w:line="800" w:lineRule="exact"/>
        <w:ind w:firstLine="1576"/>
        <w:rPr>
          <w:rFonts w:hint="eastAsia" w:ascii="仿宋" w:hAnsi="仿宋" w:eastAsia="仿宋" w:cs="仿宋"/>
          <w:b/>
          <w:bCs/>
          <w:color w:val="auto"/>
          <w:sz w:val="30"/>
          <w:szCs w:val="30"/>
          <w:lang w:eastAsia="zh-CN"/>
        </w:rPr>
      </w:pPr>
    </w:p>
    <w:p>
      <w:pPr>
        <w:adjustRightInd w:val="0"/>
        <w:snapToGrid w:val="0"/>
        <w:spacing w:line="800" w:lineRule="exact"/>
        <w:ind w:firstLine="1576"/>
        <w:rPr>
          <w:rFonts w:hint="eastAsia" w:ascii="仿宋" w:hAnsi="仿宋" w:eastAsia="仿宋" w:cs="仿宋"/>
          <w:color w:val="auto"/>
          <w:sz w:val="32"/>
          <w:szCs w:val="32"/>
          <w:u w:val="single"/>
          <w:lang w:val="en-US" w:eastAsia="zh-CN"/>
        </w:rPr>
      </w:pPr>
      <w:r>
        <w:rPr>
          <w:rFonts w:hint="eastAsia" w:ascii="仿宋" w:hAnsi="仿宋" w:eastAsia="仿宋" w:cs="仿宋"/>
          <w:b/>
          <w:bCs/>
          <w:color w:val="auto"/>
          <w:sz w:val="30"/>
          <w:szCs w:val="30"/>
          <w:lang w:eastAsia="zh-CN"/>
        </w:rPr>
        <w:t>供应商（盖章）</w:t>
      </w:r>
      <w:r>
        <w:rPr>
          <w:rFonts w:hint="eastAsia" w:ascii="仿宋" w:hAnsi="仿宋" w:eastAsia="仿宋" w:cs="仿宋"/>
          <w:b/>
          <w:color w:val="auto"/>
          <w:sz w:val="30"/>
          <w:szCs w:val="30"/>
        </w:rPr>
        <w:t>:</w:t>
      </w:r>
      <w:r>
        <w:rPr>
          <w:rFonts w:hint="eastAsia" w:ascii="仿宋" w:hAnsi="仿宋" w:eastAsia="仿宋" w:cs="仿宋"/>
          <w:b/>
          <w:color w:val="auto"/>
          <w:sz w:val="30"/>
          <w:szCs w:val="30"/>
          <w:lang w:val="en-US" w:eastAsia="zh-CN"/>
        </w:rPr>
        <w:t xml:space="preserve"> </w:t>
      </w:r>
      <w:r>
        <w:rPr>
          <w:rFonts w:hint="eastAsia" w:ascii="仿宋" w:hAnsi="仿宋" w:eastAsia="仿宋" w:cs="仿宋"/>
          <w:b/>
          <w:color w:val="auto"/>
          <w:sz w:val="30"/>
          <w:szCs w:val="30"/>
          <w:u w:val="single"/>
          <w:lang w:val="en-US" w:eastAsia="zh-CN"/>
        </w:rPr>
        <w:t xml:space="preserve">                     </w:t>
      </w:r>
    </w:p>
    <w:p>
      <w:pPr>
        <w:adjustRightInd w:val="0"/>
        <w:snapToGrid w:val="0"/>
        <w:spacing w:line="800" w:lineRule="exact"/>
        <w:ind w:firstLine="1576"/>
        <w:rPr>
          <w:rFonts w:hint="eastAsia" w:ascii="仿宋" w:hAnsi="仿宋" w:eastAsia="仿宋" w:cs="仿宋"/>
          <w:b/>
          <w:color w:val="auto"/>
          <w:sz w:val="30"/>
          <w:szCs w:val="30"/>
          <w:u w:val="single"/>
          <w:lang w:val="en-US" w:eastAsia="zh-CN"/>
        </w:rPr>
      </w:pPr>
      <w:r>
        <w:rPr>
          <w:rFonts w:hint="eastAsia" w:ascii="仿宋" w:hAnsi="仿宋" w:eastAsia="仿宋" w:cs="仿宋"/>
          <w:b/>
          <w:bCs/>
          <w:color w:val="auto"/>
          <w:sz w:val="30"/>
          <w:szCs w:val="30"/>
          <w:lang w:eastAsia="zh-CN"/>
        </w:rPr>
        <w:t>法人或委托人（签字）</w:t>
      </w:r>
      <w:r>
        <w:rPr>
          <w:rFonts w:hint="eastAsia" w:ascii="仿宋" w:hAnsi="仿宋" w:eastAsia="仿宋" w:cs="仿宋"/>
          <w:b/>
          <w:color w:val="auto"/>
          <w:sz w:val="30"/>
          <w:szCs w:val="30"/>
        </w:rPr>
        <w:t>：</w:t>
      </w:r>
      <w:r>
        <w:rPr>
          <w:rFonts w:hint="eastAsia" w:ascii="仿宋" w:hAnsi="仿宋" w:eastAsia="仿宋" w:cs="仿宋"/>
          <w:b/>
          <w:color w:val="auto"/>
          <w:sz w:val="30"/>
          <w:szCs w:val="30"/>
          <w:u w:val="single"/>
          <w:lang w:val="en-US" w:eastAsia="zh-CN"/>
        </w:rPr>
        <w:t xml:space="preserve">               </w:t>
      </w:r>
      <w:r>
        <w:rPr>
          <w:rFonts w:hint="eastAsia" w:ascii="仿宋" w:hAnsi="仿宋" w:eastAsia="仿宋" w:cs="仿宋"/>
          <w:b/>
          <w:color w:val="auto"/>
          <w:sz w:val="30"/>
          <w:szCs w:val="30"/>
          <w:lang w:val="en-US" w:eastAsia="zh-CN"/>
        </w:rPr>
        <w:t xml:space="preserve">    </w:t>
      </w:r>
    </w:p>
    <w:p>
      <w:pPr>
        <w:adjustRightInd w:val="0"/>
        <w:snapToGrid w:val="0"/>
        <w:spacing w:line="800" w:lineRule="exact"/>
        <w:ind w:firstLine="1576"/>
        <w:rPr>
          <w:rFonts w:hint="eastAsia" w:ascii="仿宋" w:hAnsi="仿宋" w:eastAsia="仿宋" w:cs="仿宋"/>
          <w:color w:val="auto"/>
          <w:sz w:val="30"/>
          <w:szCs w:val="30"/>
          <w:u w:val="single"/>
          <w:lang w:val="en-US" w:eastAsia="zh-CN"/>
        </w:rPr>
      </w:pPr>
      <w:r>
        <w:rPr>
          <w:rFonts w:hint="eastAsia" w:ascii="仿宋" w:hAnsi="仿宋" w:eastAsia="仿宋" w:cs="仿宋"/>
          <w:b/>
          <w:color w:val="auto"/>
          <w:sz w:val="30"/>
          <w:szCs w:val="30"/>
        </w:rPr>
        <w:t xml:space="preserve">时  </w:t>
      </w:r>
      <w:r>
        <w:rPr>
          <w:rFonts w:hint="eastAsia" w:ascii="仿宋" w:hAnsi="仿宋" w:eastAsia="仿宋" w:cs="仿宋"/>
          <w:b/>
          <w:color w:val="auto"/>
          <w:sz w:val="30"/>
          <w:szCs w:val="30"/>
          <w:lang w:val="en-US" w:eastAsia="zh-CN"/>
        </w:rPr>
        <w:t xml:space="preserve">    </w:t>
      </w:r>
      <w:r>
        <w:rPr>
          <w:rFonts w:hint="eastAsia" w:ascii="仿宋" w:hAnsi="仿宋" w:eastAsia="仿宋" w:cs="仿宋"/>
          <w:b/>
          <w:color w:val="auto"/>
          <w:sz w:val="30"/>
          <w:szCs w:val="30"/>
        </w:rPr>
        <w:t xml:space="preserve">  间</w:t>
      </w:r>
      <w:r>
        <w:rPr>
          <w:rFonts w:hint="eastAsia" w:ascii="仿宋" w:hAnsi="仿宋" w:eastAsia="仿宋" w:cs="仿宋"/>
          <w:color w:val="auto"/>
          <w:sz w:val="30"/>
          <w:szCs w:val="30"/>
        </w:rPr>
        <w:t>：</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lang w:val="en-US" w:eastAsia="zh-CN"/>
        </w:rPr>
        <w:t xml:space="preserve">  </w:t>
      </w:r>
    </w:p>
    <w:p>
      <w:pPr>
        <w:adjustRightInd w:val="0"/>
        <w:snapToGrid w:val="0"/>
        <w:spacing w:line="360" w:lineRule="auto"/>
        <w:rPr>
          <w:rFonts w:hint="eastAsia" w:ascii="仿宋" w:hAnsi="仿宋" w:eastAsia="仿宋" w:cs="仿宋"/>
          <w:b/>
          <w:color w:val="auto"/>
          <w:sz w:val="30"/>
          <w:szCs w:val="30"/>
        </w:rPr>
      </w:pPr>
    </w:p>
    <w:p>
      <w:pPr>
        <w:adjustRightInd w:val="0"/>
        <w:snapToGrid w:val="0"/>
        <w:spacing w:line="360" w:lineRule="auto"/>
        <w:jc w:val="center"/>
        <w:rPr>
          <w:rFonts w:hint="eastAsia" w:ascii="仿宋" w:hAnsi="仿宋" w:eastAsia="仿宋" w:cs="仿宋"/>
          <w:b/>
          <w:color w:val="auto"/>
          <w:sz w:val="44"/>
          <w:szCs w:val="44"/>
        </w:rPr>
      </w:pP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360" w:lineRule="auto"/>
        <w:jc w:val="center"/>
        <w:rPr>
          <w:rFonts w:hint="eastAsia" w:ascii="仿宋" w:hAnsi="仿宋" w:eastAsia="仿宋" w:cs="仿宋"/>
          <w:b/>
          <w:color w:val="auto"/>
          <w:sz w:val="30"/>
          <w:szCs w:val="30"/>
        </w:rPr>
      </w:pPr>
      <w:r>
        <w:rPr>
          <w:rFonts w:hint="eastAsia" w:ascii="仿宋" w:hAnsi="仿宋" w:eastAsia="仿宋" w:cs="仿宋"/>
          <w:b/>
          <w:color w:val="auto"/>
          <w:sz w:val="36"/>
          <w:szCs w:val="36"/>
        </w:rPr>
        <w:t>目  录</w:t>
      </w:r>
    </w:p>
    <w:p>
      <w:pPr>
        <w:adjustRightInd w:val="0"/>
        <w:snapToGrid w:val="0"/>
        <w:spacing w:line="400" w:lineRule="exact"/>
        <w:ind w:firstLine="1494" w:firstLineChars="496"/>
        <w:rPr>
          <w:rFonts w:hint="eastAsia" w:ascii="仿宋" w:hAnsi="仿宋" w:eastAsia="仿宋" w:cs="仿宋"/>
          <w:b/>
          <w:bCs/>
          <w:color w:val="auto"/>
          <w:sz w:val="30"/>
          <w:szCs w:val="30"/>
        </w:rPr>
      </w:pP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第一章：竞争性磋商响应函</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第二章：磋商报价表</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第三章：供应商资格证明文件</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第四章：供应商概况</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第五章：供应商拒绝政府采购领域商业贿赂承诺书</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第六章：响应方案</w:t>
      </w:r>
    </w:p>
    <w:p>
      <w:pPr>
        <w:adjustRightInd w:val="0"/>
        <w:snapToGrid w:val="0"/>
        <w:spacing w:line="480" w:lineRule="auto"/>
        <w:ind w:firstLine="1205" w:firstLineChars="400"/>
        <w:rPr>
          <w:rFonts w:hint="eastAsia" w:ascii="仿宋" w:hAnsi="仿宋" w:eastAsia="仿宋" w:cs="仿宋"/>
          <w:b/>
          <w:bCs/>
          <w:color w:val="auto"/>
          <w:sz w:val="30"/>
          <w:szCs w:val="30"/>
          <w:lang w:eastAsia="zh-CN"/>
        </w:rPr>
      </w:pPr>
      <w:r>
        <w:rPr>
          <w:rFonts w:hint="eastAsia" w:ascii="仿宋" w:hAnsi="仿宋" w:eastAsia="仿宋" w:cs="仿宋"/>
          <w:b/>
          <w:bCs/>
          <w:color w:val="auto"/>
          <w:sz w:val="30"/>
          <w:szCs w:val="30"/>
          <w:lang w:eastAsia="zh-CN"/>
        </w:rPr>
        <w:t>第七章：项目业绩一览表</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w:t>
      </w:r>
      <w:r>
        <w:rPr>
          <w:rFonts w:hint="eastAsia" w:ascii="仿宋" w:hAnsi="仿宋" w:eastAsia="仿宋" w:cs="仿宋"/>
          <w:b/>
          <w:bCs/>
          <w:color w:val="auto"/>
          <w:sz w:val="30"/>
          <w:szCs w:val="30"/>
          <w:lang w:eastAsia="zh-CN"/>
        </w:rPr>
        <w:t>八</w:t>
      </w:r>
      <w:r>
        <w:rPr>
          <w:rFonts w:hint="eastAsia" w:ascii="仿宋" w:hAnsi="仿宋" w:eastAsia="仿宋" w:cs="仿宋"/>
          <w:b/>
          <w:bCs/>
          <w:color w:val="auto"/>
          <w:sz w:val="30"/>
          <w:szCs w:val="30"/>
        </w:rPr>
        <w:t>章：已标价工程量清单</w:t>
      </w: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rPr>
          <w:rFonts w:hint="eastAsia" w:ascii="仿宋" w:hAnsi="仿宋" w:eastAsia="仿宋" w:cs="仿宋"/>
          <w:b/>
          <w:bCs/>
          <w:color w:val="auto"/>
          <w:sz w:val="30"/>
          <w:szCs w:val="30"/>
        </w:rPr>
      </w:pPr>
    </w:p>
    <w:p>
      <w:pPr>
        <w:pStyle w:val="16"/>
        <w:rPr>
          <w:rFonts w:hint="eastAsia" w:ascii="仿宋" w:hAnsi="仿宋" w:eastAsia="仿宋" w:cs="仿宋"/>
          <w:color w:val="auto"/>
        </w:rPr>
      </w:pPr>
    </w:p>
    <w:p>
      <w:pPr>
        <w:pStyle w:val="16"/>
        <w:ind w:firstLine="602"/>
        <w:rPr>
          <w:rFonts w:hint="eastAsia" w:ascii="仿宋" w:hAnsi="仿宋" w:eastAsia="仿宋" w:cs="仿宋"/>
          <w:b/>
          <w:bCs/>
          <w:color w:val="auto"/>
          <w:kern w:val="0"/>
          <w:sz w:val="30"/>
          <w:szCs w:val="30"/>
        </w:rPr>
      </w:pPr>
    </w:p>
    <w:p>
      <w:pPr>
        <w:rPr>
          <w:rFonts w:hint="eastAsia" w:ascii="仿宋" w:hAnsi="仿宋" w:eastAsia="仿宋" w:cs="仿宋"/>
          <w:b/>
          <w:bCs/>
          <w:color w:val="auto"/>
          <w:sz w:val="30"/>
          <w:szCs w:val="30"/>
        </w:rPr>
      </w:pPr>
    </w:p>
    <w:p>
      <w:pPr>
        <w:pStyle w:val="16"/>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pStyle w:val="2"/>
        <w:rPr>
          <w:rFonts w:hint="eastAsia" w:ascii="仿宋" w:hAnsi="仿宋" w:eastAsia="仿宋" w:cs="仿宋"/>
          <w:color w:val="auto"/>
        </w:rPr>
      </w:pPr>
    </w:p>
    <w:p>
      <w:pPr>
        <w:bidi w:val="0"/>
        <w:jc w:val="center"/>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第一章 </w:t>
      </w:r>
      <w:r>
        <w:rPr>
          <w:rFonts w:hint="eastAsia" w:ascii="仿宋" w:hAnsi="仿宋" w:eastAsia="仿宋" w:cs="仿宋"/>
          <w:b/>
          <w:bCs/>
          <w:color w:val="auto"/>
          <w:sz w:val="28"/>
          <w:szCs w:val="28"/>
          <w:lang w:val="en-US" w:eastAsia="zh-CN"/>
        </w:rPr>
        <w:t xml:space="preserve"> </w:t>
      </w:r>
      <w:r>
        <w:rPr>
          <w:rFonts w:hint="eastAsia" w:ascii="仿宋" w:hAnsi="仿宋" w:eastAsia="仿宋" w:cs="仿宋"/>
          <w:b/>
          <w:bCs/>
          <w:color w:val="auto"/>
          <w:sz w:val="28"/>
          <w:szCs w:val="28"/>
        </w:rPr>
        <w:t>竞争性磋商响应函</w:t>
      </w:r>
    </w:p>
    <w:p>
      <w:pPr>
        <w:adjustRightInd w:val="0"/>
        <w:snapToGrid w:val="0"/>
        <w:spacing w:line="360" w:lineRule="auto"/>
        <w:rPr>
          <w:rFonts w:hint="eastAsia" w:ascii="仿宋" w:hAnsi="仿宋" w:eastAsia="仿宋" w:cs="仿宋"/>
          <w:b/>
          <w:color w:val="auto"/>
        </w:rPr>
      </w:pPr>
    </w:p>
    <w:p>
      <w:pPr>
        <w:keepNext w:val="0"/>
        <w:keepLines w:val="0"/>
        <w:pageBreakBefore w:val="0"/>
        <w:widowControl/>
        <w:kinsoku/>
        <w:overflowPunct/>
        <w:topLinePunct w:val="0"/>
        <w:autoSpaceDE/>
        <w:autoSpaceDN/>
        <w:bidi w:val="0"/>
        <w:adjustRightInd w:val="0"/>
        <w:snapToGrid w:val="0"/>
        <w:spacing w:line="440" w:lineRule="exact"/>
        <w:textAlignment w:val="auto"/>
        <w:rPr>
          <w:rFonts w:hint="eastAsia" w:ascii="仿宋" w:hAnsi="仿宋" w:eastAsia="仿宋" w:cs="仿宋"/>
          <w:b/>
          <w:bCs/>
          <w:color w:val="auto"/>
        </w:rPr>
      </w:pPr>
      <w:r>
        <w:rPr>
          <w:rFonts w:hint="eastAsia" w:ascii="仿宋" w:hAnsi="仿宋" w:eastAsia="仿宋" w:cs="仿宋"/>
          <w:b/>
          <w:color w:val="auto"/>
        </w:rPr>
        <w:t>宏泰项目管理有限公司</w:t>
      </w:r>
      <w:r>
        <w:rPr>
          <w:rFonts w:hint="eastAsia" w:ascii="仿宋" w:hAnsi="仿宋" w:eastAsia="仿宋" w:cs="仿宋"/>
          <w:b/>
          <w:bCs/>
          <w:color w:val="auto"/>
        </w:rPr>
        <w:t>：</w:t>
      </w:r>
    </w:p>
    <w:p>
      <w:pPr>
        <w:keepNext w:val="0"/>
        <w:keepLines w:val="0"/>
        <w:pageBreakBefore w:val="0"/>
        <w:widowControl/>
        <w:kinsoku/>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我单位收到</w:t>
      </w:r>
      <w:r>
        <w:rPr>
          <w:rFonts w:hint="eastAsia" w:ascii="仿宋" w:hAnsi="仿宋" w:eastAsia="仿宋" w:cs="仿宋"/>
          <w:b/>
          <w:bCs/>
          <w:color w:val="auto"/>
          <w:lang w:eastAsia="zh-CN"/>
        </w:rPr>
        <w:t>HTZB2026-AK-0</w:t>
      </w:r>
      <w:r>
        <w:rPr>
          <w:rFonts w:hint="eastAsia" w:ascii="仿宋" w:hAnsi="仿宋" w:eastAsia="仿宋" w:cs="仿宋"/>
          <w:b/>
          <w:bCs/>
          <w:color w:val="auto"/>
          <w:lang w:val="en-US" w:eastAsia="zh-CN"/>
        </w:rPr>
        <w:t>27</w:t>
      </w:r>
      <w:r>
        <w:rPr>
          <w:rFonts w:hint="eastAsia" w:ascii="仿宋" w:hAnsi="仿宋" w:eastAsia="仿宋" w:cs="仿宋"/>
          <w:color w:val="auto"/>
        </w:rPr>
        <w:t>号磋商文件，经详细研究，我们决定参加</w:t>
      </w:r>
      <w:r>
        <w:rPr>
          <w:rFonts w:hint="eastAsia" w:ascii="仿宋" w:hAnsi="仿宋" w:eastAsia="仿宋" w:cs="仿宋"/>
          <w:color w:val="auto"/>
          <w:u w:val="single"/>
        </w:rPr>
        <w:t xml:space="preserve"> (</w:t>
      </w:r>
      <w:r>
        <w:rPr>
          <w:rFonts w:hint="eastAsia" w:ascii="仿宋" w:hAnsi="仿宋" w:eastAsia="仿宋" w:cs="仿宋"/>
          <w:color w:val="auto"/>
          <w:u w:val="single"/>
          <w:lang w:eastAsia="zh-CN"/>
        </w:rPr>
        <w:t>项目名称</w:t>
      </w:r>
      <w:r>
        <w:rPr>
          <w:rFonts w:hint="eastAsia" w:ascii="仿宋" w:hAnsi="仿宋" w:eastAsia="仿宋" w:cs="仿宋"/>
          <w:color w:val="auto"/>
          <w:u w:val="single"/>
        </w:rPr>
        <w:t>)</w:t>
      </w:r>
      <w:r>
        <w:rPr>
          <w:rFonts w:hint="eastAsia" w:ascii="仿宋" w:hAnsi="仿宋" w:eastAsia="仿宋" w:cs="仿宋"/>
          <w:color w:val="auto"/>
        </w:rPr>
        <w:t>的磋商活动。为此，我方郑重声明以下诸点，并负法律责任。</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1．愿意按照磋商文件中的一切要求，完成合同的责任和义务。</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2．按照磋商文件的规定，完成总体</w:t>
      </w:r>
      <w:r>
        <w:rPr>
          <w:rFonts w:hint="eastAsia" w:ascii="仿宋" w:hAnsi="仿宋" w:eastAsia="仿宋" w:cs="仿宋"/>
          <w:color w:val="auto"/>
          <w:lang w:eastAsia="zh-CN"/>
        </w:rPr>
        <w:t>项目</w:t>
      </w:r>
      <w:r>
        <w:rPr>
          <w:rFonts w:hint="eastAsia" w:ascii="仿宋" w:hAnsi="仿宋" w:eastAsia="仿宋" w:cs="仿宋"/>
          <w:color w:val="auto"/>
        </w:rPr>
        <w:t>的报价为：</w:t>
      </w:r>
    </w:p>
    <w:p>
      <w:pPr>
        <w:keepNext w:val="0"/>
        <w:keepLines w:val="0"/>
        <w:pageBreakBefore w:val="0"/>
        <w:widowControl/>
        <w:kinsoku/>
        <w:overflowPunct/>
        <w:topLinePunct w:val="0"/>
        <w:autoSpaceDE/>
        <w:autoSpaceDN/>
        <w:bidi w:val="0"/>
        <w:adjustRightInd w:val="0"/>
        <w:snapToGrid w:val="0"/>
        <w:spacing w:line="440" w:lineRule="exact"/>
        <w:ind w:left="630"/>
        <w:textAlignment w:val="auto"/>
        <w:rPr>
          <w:rFonts w:hint="eastAsia" w:ascii="仿宋" w:hAnsi="仿宋" w:eastAsia="仿宋" w:cs="仿宋"/>
          <w:color w:val="auto"/>
        </w:rPr>
      </w:pPr>
      <w:r>
        <w:rPr>
          <w:rFonts w:hint="eastAsia" w:ascii="仿宋" w:hAnsi="仿宋" w:eastAsia="仿宋" w:cs="仿宋"/>
          <w:color w:val="auto"/>
        </w:rPr>
        <w:t>人民币（大写）：</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元）</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bCs/>
          <w:color w:val="auto"/>
        </w:rPr>
      </w:pPr>
      <w:r>
        <w:rPr>
          <w:rFonts w:hint="eastAsia" w:ascii="仿宋" w:hAnsi="仿宋" w:eastAsia="仿宋" w:cs="仿宋"/>
          <w:color w:val="auto"/>
        </w:rPr>
        <w:t>3．</w:t>
      </w:r>
      <w:r>
        <w:rPr>
          <w:rFonts w:hint="eastAsia" w:ascii="仿宋" w:hAnsi="仿宋" w:eastAsia="仿宋" w:cs="仿宋"/>
          <w:b/>
          <w:bCs/>
          <w:color w:val="auto"/>
        </w:rPr>
        <w:t>我方提交的磋商响应文件为</w:t>
      </w:r>
      <w:r>
        <w:rPr>
          <w:rFonts w:hint="eastAsia" w:ascii="仿宋" w:hAnsi="仿宋" w:eastAsia="仿宋" w:cs="仿宋"/>
          <w:b/>
          <w:bCs/>
          <w:color w:val="auto"/>
          <w:sz w:val="24"/>
          <w:szCs w:val="24"/>
          <w:lang w:eastAsia="zh-CN"/>
        </w:rPr>
        <w:t>电子投标文件</w:t>
      </w:r>
      <w:r>
        <w:rPr>
          <w:rFonts w:hint="eastAsia" w:ascii="仿宋" w:hAnsi="仿宋" w:eastAsia="仿宋" w:cs="仿宋"/>
          <w:b/>
          <w:bCs/>
          <w:color w:val="auto"/>
        </w:rPr>
        <w:t>。</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4．我们已详细阅读了磋商文件，完全理解并同意放弃提出含糊不清和误解问题的权力。</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5．如果我方在投标后到规定的投标有效期内撤回磋商响应文件及承诺，</w:t>
      </w:r>
      <w:r>
        <w:rPr>
          <w:rFonts w:hint="eastAsia" w:ascii="仿宋" w:hAnsi="仿宋" w:eastAsia="仿宋" w:cs="仿宋"/>
          <w:color w:val="auto"/>
          <w:lang w:val="en-US" w:eastAsia="zh-CN"/>
        </w:rPr>
        <w:t>将按有关规定接受处罚</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6．同意向贵方提供贵方可能要求的、与本次投标有关的一切数据或资料</w:t>
      </w:r>
      <w:r>
        <w:rPr>
          <w:rFonts w:hint="eastAsia" w:ascii="仿宋" w:hAnsi="仿宋" w:eastAsia="仿宋" w:cs="仿宋"/>
          <w:color w:val="auto"/>
          <w:lang w:eastAsia="zh-CN"/>
        </w:rPr>
        <w:t>，</w:t>
      </w:r>
      <w:r>
        <w:rPr>
          <w:rFonts w:hint="eastAsia" w:ascii="仿宋" w:hAnsi="仿宋" w:eastAsia="仿宋" w:cs="仿宋"/>
          <w:color w:val="auto"/>
        </w:rPr>
        <w:t>完全理解贵方不一定接受最低</w:t>
      </w:r>
      <w:r>
        <w:rPr>
          <w:rFonts w:hint="eastAsia" w:ascii="仿宋" w:hAnsi="仿宋" w:eastAsia="仿宋" w:cs="仿宋"/>
          <w:color w:val="auto"/>
          <w:lang w:eastAsia="zh-CN"/>
        </w:rPr>
        <w:t>磋商</w:t>
      </w:r>
      <w:r>
        <w:rPr>
          <w:rFonts w:hint="eastAsia" w:ascii="仿宋" w:hAnsi="仿宋" w:eastAsia="仿宋" w:cs="仿宋"/>
          <w:color w:val="auto"/>
        </w:rPr>
        <w:t>报价的</w:t>
      </w:r>
      <w:r>
        <w:rPr>
          <w:rFonts w:hint="eastAsia" w:ascii="仿宋" w:hAnsi="仿宋" w:eastAsia="仿宋" w:cs="仿宋"/>
          <w:color w:val="auto"/>
          <w:lang w:eastAsia="zh-CN"/>
        </w:rPr>
        <w:t>响应文件</w:t>
      </w:r>
      <w:r>
        <w:rPr>
          <w:rFonts w:hint="eastAsia" w:ascii="仿宋" w:hAnsi="仿宋" w:eastAsia="仿宋" w:cs="仿宋"/>
          <w:color w:val="auto"/>
        </w:rPr>
        <w:t>或收到的任何</w:t>
      </w:r>
      <w:r>
        <w:rPr>
          <w:rFonts w:hint="eastAsia" w:ascii="仿宋" w:hAnsi="仿宋" w:eastAsia="仿宋" w:cs="仿宋"/>
          <w:color w:val="auto"/>
          <w:lang w:eastAsia="zh-CN"/>
        </w:rPr>
        <w:t>响应文件</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rPr>
        <w:t>7．</w:t>
      </w:r>
      <w:r>
        <w:rPr>
          <w:rFonts w:hint="eastAsia" w:ascii="仿宋" w:hAnsi="仿宋" w:eastAsia="仿宋" w:cs="仿宋"/>
          <w:color w:val="auto"/>
          <w:lang w:val="en-US" w:eastAsia="zh-CN"/>
        </w:rPr>
        <w:t>若我方中标，我方保证按有关规定向贵方一次性支付成交服务费。</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 xml:space="preserve">8. </w:t>
      </w:r>
      <w:r>
        <w:rPr>
          <w:rFonts w:hint="eastAsia" w:ascii="仿宋" w:hAnsi="仿宋" w:eastAsia="仿宋" w:cs="仿宋"/>
          <w:color w:val="auto"/>
        </w:rPr>
        <w:t>我方的磋商响应文件在90日历日内有效。</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9</w:t>
      </w:r>
      <w:r>
        <w:rPr>
          <w:rFonts w:hint="eastAsia" w:ascii="仿宋" w:hAnsi="仿宋" w:eastAsia="仿宋" w:cs="仿宋"/>
          <w:color w:val="auto"/>
        </w:rPr>
        <w:t>．所有关于本次投标的函电，请按下列地址联系：</w:t>
      </w:r>
    </w:p>
    <w:p>
      <w:pPr>
        <w:keepNext w:val="0"/>
        <w:keepLines w:val="0"/>
        <w:pageBreakBefore w:val="0"/>
        <w:widowControl/>
        <w:kinsoku/>
        <w:overflowPunct/>
        <w:topLinePunct w:val="0"/>
        <w:autoSpaceDE/>
        <w:autoSpaceDN/>
        <w:bidi w:val="0"/>
        <w:adjustRightInd w:val="0"/>
        <w:snapToGrid w:val="0"/>
        <w:spacing w:line="440" w:lineRule="exact"/>
        <w:ind w:firstLine="720" w:firstLineChars="300"/>
        <w:textAlignment w:val="auto"/>
        <w:rPr>
          <w:rFonts w:hint="eastAsia" w:ascii="仿宋" w:hAnsi="仿宋" w:eastAsia="仿宋" w:cs="仿宋"/>
          <w:color w:val="auto"/>
        </w:rPr>
      </w:pPr>
      <w:r>
        <w:rPr>
          <w:rFonts w:hint="eastAsia" w:ascii="仿宋" w:hAnsi="仿宋" w:eastAsia="仿宋" w:cs="仿宋"/>
          <w:color w:val="auto"/>
        </w:rPr>
        <w:t>单位全称：</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（印章）</w:t>
      </w:r>
    </w:p>
    <w:p>
      <w:pPr>
        <w:keepNext w:val="0"/>
        <w:keepLines w:val="0"/>
        <w:pageBreakBefore w:val="0"/>
        <w:widowControl/>
        <w:kinsoku/>
        <w:overflowPunct/>
        <w:topLinePunct w:val="0"/>
        <w:autoSpaceDE/>
        <w:autoSpaceDN/>
        <w:bidi w:val="0"/>
        <w:adjustRightInd w:val="0"/>
        <w:snapToGrid w:val="0"/>
        <w:spacing w:line="440" w:lineRule="exact"/>
        <w:ind w:firstLine="720" w:firstLineChars="300"/>
        <w:textAlignment w:val="auto"/>
        <w:rPr>
          <w:rFonts w:hint="eastAsia" w:ascii="仿宋" w:hAnsi="仿宋" w:eastAsia="仿宋" w:cs="仿宋"/>
          <w:color w:val="auto"/>
          <w:u w:val="single"/>
          <w:lang w:val="en-US" w:eastAsia="zh-CN"/>
        </w:rPr>
      </w:pPr>
      <w:r>
        <w:rPr>
          <w:rFonts w:hint="eastAsia" w:ascii="仿宋" w:hAnsi="仿宋" w:eastAsia="仿宋" w:cs="仿宋"/>
          <w:color w:val="auto"/>
        </w:rPr>
        <w:t>地    址：</w:t>
      </w:r>
      <w:r>
        <w:rPr>
          <w:rFonts w:hint="eastAsia" w:ascii="仿宋" w:hAnsi="仿宋" w:eastAsia="仿宋" w:cs="仿宋"/>
          <w:color w:val="auto"/>
          <w:u w:val="single"/>
          <w:lang w:val="en-US" w:eastAsia="zh-CN"/>
        </w:rPr>
        <w:t xml:space="preserve">                          </w:t>
      </w:r>
    </w:p>
    <w:p>
      <w:pPr>
        <w:keepNext w:val="0"/>
        <w:keepLines w:val="0"/>
        <w:pageBreakBefore w:val="0"/>
        <w:widowControl/>
        <w:kinsoku/>
        <w:overflowPunct/>
        <w:topLinePunct w:val="0"/>
        <w:autoSpaceDE/>
        <w:autoSpaceDN/>
        <w:bidi w:val="0"/>
        <w:adjustRightInd w:val="0"/>
        <w:snapToGrid w:val="0"/>
        <w:spacing w:line="440" w:lineRule="exact"/>
        <w:ind w:firstLine="720" w:firstLineChars="300"/>
        <w:textAlignment w:val="auto"/>
        <w:rPr>
          <w:rFonts w:hint="eastAsia" w:ascii="仿宋" w:hAnsi="仿宋" w:eastAsia="仿宋" w:cs="仿宋"/>
          <w:color w:val="auto"/>
          <w:u w:val="single"/>
          <w:lang w:val="en-US" w:eastAsia="zh-CN"/>
        </w:rPr>
      </w:pPr>
      <w:r>
        <w:rPr>
          <w:rFonts w:hint="eastAsia" w:ascii="仿宋" w:hAnsi="仿宋" w:eastAsia="仿宋" w:cs="仿宋"/>
          <w:color w:val="auto"/>
        </w:rPr>
        <w:t>电    话：</w:t>
      </w:r>
      <w:r>
        <w:rPr>
          <w:rFonts w:hint="eastAsia" w:ascii="仿宋" w:hAnsi="仿宋" w:eastAsia="仿宋" w:cs="仿宋"/>
          <w:color w:val="auto"/>
          <w:u w:val="single"/>
          <w:lang w:val="en-US" w:eastAsia="zh-CN"/>
        </w:rPr>
        <w:t xml:space="preserve">                          </w:t>
      </w:r>
    </w:p>
    <w:p>
      <w:pPr>
        <w:keepNext w:val="0"/>
        <w:keepLines w:val="0"/>
        <w:pageBreakBefore w:val="0"/>
        <w:widowControl/>
        <w:kinsoku/>
        <w:overflowPunct/>
        <w:topLinePunct w:val="0"/>
        <w:autoSpaceDE/>
        <w:autoSpaceDN/>
        <w:bidi w:val="0"/>
        <w:adjustRightInd w:val="0"/>
        <w:snapToGrid w:val="0"/>
        <w:spacing w:line="440" w:lineRule="exact"/>
        <w:ind w:firstLine="720" w:firstLineChars="300"/>
        <w:textAlignment w:val="auto"/>
        <w:rPr>
          <w:rFonts w:hint="eastAsia" w:ascii="仿宋" w:hAnsi="仿宋" w:eastAsia="仿宋" w:cs="仿宋"/>
          <w:color w:val="auto"/>
          <w:u w:val="single"/>
          <w:lang w:val="en-US" w:eastAsia="zh-CN"/>
        </w:rPr>
      </w:pPr>
      <w:r>
        <w:rPr>
          <w:rFonts w:hint="eastAsia" w:ascii="仿宋" w:hAnsi="仿宋" w:eastAsia="仿宋" w:cs="仿宋"/>
          <w:color w:val="auto"/>
        </w:rPr>
        <w:t>邮    编：</w:t>
      </w:r>
      <w:r>
        <w:rPr>
          <w:rFonts w:hint="eastAsia" w:ascii="仿宋" w:hAnsi="仿宋" w:eastAsia="仿宋" w:cs="仿宋"/>
          <w:color w:val="auto"/>
          <w:u w:val="single"/>
          <w:lang w:val="en-US" w:eastAsia="zh-CN"/>
        </w:rPr>
        <w:t xml:space="preserve">                          </w:t>
      </w:r>
    </w:p>
    <w:p>
      <w:pPr>
        <w:keepNext w:val="0"/>
        <w:keepLines w:val="0"/>
        <w:pageBreakBefore w:val="0"/>
        <w:widowControl/>
        <w:kinsoku/>
        <w:overflowPunct/>
        <w:topLinePunct w:val="0"/>
        <w:autoSpaceDE/>
        <w:autoSpaceDN/>
        <w:bidi w:val="0"/>
        <w:adjustRightInd w:val="0"/>
        <w:snapToGrid w:val="0"/>
        <w:spacing w:line="440" w:lineRule="exact"/>
        <w:ind w:firstLine="720" w:firstLineChars="300"/>
        <w:textAlignment w:val="auto"/>
        <w:rPr>
          <w:rFonts w:hint="eastAsia" w:ascii="仿宋" w:hAnsi="仿宋" w:eastAsia="仿宋" w:cs="仿宋"/>
          <w:color w:val="auto"/>
          <w:u w:val="single"/>
          <w:lang w:val="en-US" w:eastAsia="zh-CN"/>
        </w:rPr>
      </w:pPr>
      <w:r>
        <w:rPr>
          <w:rFonts w:hint="eastAsia" w:ascii="仿宋" w:hAnsi="仿宋" w:eastAsia="仿宋" w:cs="仿宋"/>
          <w:color w:val="auto"/>
        </w:rPr>
        <w:t>法定代表人或授权代表(</w:t>
      </w:r>
      <w:r>
        <w:rPr>
          <w:rFonts w:hint="eastAsia" w:ascii="仿宋" w:hAnsi="仿宋" w:eastAsia="仿宋" w:cs="仿宋"/>
          <w:color w:val="auto"/>
          <w:sz w:val="24"/>
        </w:rPr>
        <w:t>签字或盖章</w:t>
      </w:r>
      <w:r>
        <w:rPr>
          <w:rFonts w:hint="eastAsia" w:ascii="仿宋" w:hAnsi="仿宋" w:eastAsia="仿宋" w:cs="仿宋"/>
          <w:color w:val="auto"/>
        </w:rPr>
        <w:t>)：</w:t>
      </w:r>
      <w:r>
        <w:rPr>
          <w:rFonts w:hint="eastAsia" w:ascii="仿宋" w:hAnsi="仿宋" w:eastAsia="仿宋" w:cs="仿宋"/>
          <w:color w:val="auto"/>
          <w:u w:val="single"/>
          <w:lang w:val="en-US" w:eastAsia="zh-CN"/>
        </w:rPr>
        <w:t xml:space="preserve">         </w:t>
      </w:r>
    </w:p>
    <w:p>
      <w:pPr>
        <w:keepNext w:val="0"/>
        <w:keepLines w:val="0"/>
        <w:pageBreakBefore w:val="0"/>
        <w:widowControl/>
        <w:kinsoku/>
        <w:overflowPunct/>
        <w:topLinePunct w:val="0"/>
        <w:autoSpaceDE/>
        <w:autoSpaceDN/>
        <w:bidi w:val="0"/>
        <w:adjustRightInd w:val="0"/>
        <w:snapToGrid w:val="0"/>
        <w:spacing w:line="440" w:lineRule="exact"/>
        <w:ind w:firstLine="640"/>
        <w:textAlignment w:val="auto"/>
        <w:rPr>
          <w:rFonts w:hint="eastAsia" w:ascii="仿宋" w:hAnsi="仿宋" w:eastAsia="仿宋" w:cs="仿宋"/>
          <w:color w:val="auto"/>
        </w:rPr>
      </w:pPr>
    </w:p>
    <w:p>
      <w:pPr>
        <w:keepNext w:val="0"/>
        <w:keepLines w:val="0"/>
        <w:pageBreakBefore w:val="0"/>
        <w:widowControl/>
        <w:kinsoku/>
        <w:wordWrap w:val="0"/>
        <w:overflowPunct/>
        <w:topLinePunct w:val="0"/>
        <w:autoSpaceDE/>
        <w:autoSpaceDN/>
        <w:bidi w:val="0"/>
        <w:adjustRightInd w:val="0"/>
        <w:snapToGrid w:val="0"/>
        <w:spacing w:line="440" w:lineRule="exact"/>
        <w:ind w:right="560" w:firstLine="720" w:firstLineChars="300"/>
        <w:jc w:val="center"/>
        <w:textAlignment w:val="auto"/>
        <w:rPr>
          <w:rFonts w:hint="eastAsia" w:ascii="仿宋" w:hAnsi="仿宋" w:eastAsia="仿宋" w:cs="仿宋"/>
          <w:color w:val="auto"/>
        </w:rPr>
      </w:pPr>
    </w:p>
    <w:p>
      <w:pPr>
        <w:keepNext w:val="0"/>
        <w:keepLines w:val="0"/>
        <w:pageBreakBefore w:val="0"/>
        <w:widowControl/>
        <w:kinsoku/>
        <w:wordWrap w:val="0"/>
        <w:overflowPunct/>
        <w:topLinePunct w:val="0"/>
        <w:autoSpaceDE/>
        <w:autoSpaceDN/>
        <w:bidi w:val="0"/>
        <w:adjustRightInd w:val="0"/>
        <w:snapToGrid w:val="0"/>
        <w:spacing w:line="440" w:lineRule="exact"/>
        <w:ind w:right="560" w:firstLine="720" w:firstLineChars="300"/>
        <w:jc w:val="center"/>
        <w:textAlignment w:val="auto"/>
        <w:rPr>
          <w:rFonts w:hint="eastAsia" w:ascii="仿宋" w:hAnsi="仿宋" w:eastAsia="仿宋" w:cs="仿宋"/>
          <w:color w:val="auto"/>
        </w:rPr>
      </w:pPr>
      <w:r>
        <w:rPr>
          <w:rFonts w:hint="eastAsia" w:ascii="仿宋" w:hAnsi="仿宋" w:eastAsia="仿宋" w:cs="仿宋"/>
          <w:color w:val="auto"/>
        </w:rPr>
        <w:t xml:space="preserve">                                      </w:t>
      </w:r>
    </w:p>
    <w:p>
      <w:pPr>
        <w:keepNext w:val="0"/>
        <w:keepLines w:val="0"/>
        <w:pageBreakBefore w:val="0"/>
        <w:widowControl/>
        <w:kinsoku/>
        <w:wordWrap w:val="0"/>
        <w:overflowPunct/>
        <w:topLinePunct w:val="0"/>
        <w:autoSpaceDE/>
        <w:autoSpaceDN/>
        <w:bidi w:val="0"/>
        <w:adjustRightInd w:val="0"/>
        <w:snapToGrid w:val="0"/>
        <w:spacing w:line="440" w:lineRule="exact"/>
        <w:ind w:right="560" w:firstLine="720" w:firstLineChars="300"/>
        <w:jc w:val="center"/>
        <w:textAlignment w:val="auto"/>
        <w:rPr>
          <w:rFonts w:hint="eastAsia" w:ascii="仿宋" w:hAnsi="仿宋" w:eastAsia="仿宋" w:cs="仿宋"/>
          <w:color w:val="auto"/>
          <w:sz w:val="24"/>
          <w:szCs w:val="24"/>
        </w:rPr>
        <w:sectPr>
          <w:headerReference r:id="rId6" w:type="default"/>
          <w:footerReference r:id="rId7" w:type="default"/>
          <w:pgSz w:w="11906" w:h="16838"/>
          <w:pgMar w:top="1418" w:right="1247" w:bottom="1418" w:left="1588" w:header="851" w:footer="992" w:gutter="0"/>
          <w:pgNumType w:fmt="decimal"/>
          <w:cols w:space="720" w:num="1"/>
          <w:titlePg/>
          <w:docGrid w:linePitch="312" w:charSpace="0"/>
        </w:sectPr>
      </w:pP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 年     月     日</w:t>
      </w:r>
    </w:p>
    <w:p>
      <w:pPr>
        <w:numPr>
          <w:ilvl w:val="0"/>
          <w:numId w:val="0"/>
        </w:numPr>
        <w:bidi w:val="0"/>
        <w:jc w:val="center"/>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第二章  </w:t>
      </w:r>
      <w:r>
        <w:rPr>
          <w:rFonts w:hint="eastAsia" w:ascii="仿宋" w:hAnsi="仿宋" w:eastAsia="仿宋" w:cs="仿宋"/>
          <w:b/>
          <w:bCs/>
          <w:color w:val="auto"/>
          <w:sz w:val="28"/>
          <w:szCs w:val="28"/>
        </w:rPr>
        <w:t>磋商报价表</w:t>
      </w:r>
    </w:p>
    <w:p>
      <w:pPr>
        <w:pStyle w:val="2"/>
        <w:numPr>
          <w:ilvl w:val="0"/>
          <w:numId w:val="0"/>
        </w:numPr>
        <w:rPr>
          <w:rFonts w:hint="eastAsia" w:ascii="仿宋" w:hAnsi="仿宋" w:eastAsia="仿宋" w:cs="仿宋"/>
          <w:color w:val="auto"/>
        </w:rPr>
      </w:pPr>
    </w:p>
    <w:p>
      <w:pPr>
        <w:ind w:right="280"/>
        <w:rPr>
          <w:rFonts w:hint="default" w:ascii="仿宋" w:hAnsi="仿宋" w:eastAsia="仿宋" w:cs="仿宋"/>
          <w:b/>
          <w:color w:val="auto"/>
          <w:lang w:val="en-US" w:eastAsia="zh-CN"/>
        </w:rPr>
      </w:pPr>
      <w:r>
        <w:rPr>
          <w:rFonts w:hint="eastAsia" w:ascii="仿宋" w:hAnsi="仿宋" w:eastAsia="仿宋" w:cs="仿宋"/>
          <w:b/>
          <w:color w:val="auto"/>
        </w:rPr>
        <w:t>项目编号：</w:t>
      </w:r>
      <w:r>
        <w:rPr>
          <w:rFonts w:hint="eastAsia" w:ascii="仿宋" w:hAnsi="仿宋" w:eastAsia="仿宋" w:cs="仿宋"/>
          <w:b/>
          <w:color w:val="auto"/>
          <w:lang w:eastAsia="zh-CN"/>
        </w:rPr>
        <w:t>HTZB2026-AK-0</w:t>
      </w:r>
      <w:r>
        <w:rPr>
          <w:rFonts w:hint="eastAsia" w:ascii="仿宋" w:hAnsi="仿宋" w:eastAsia="仿宋" w:cs="仿宋"/>
          <w:b/>
          <w:color w:val="auto"/>
          <w:lang w:val="en-US" w:eastAsia="zh-CN"/>
        </w:rPr>
        <w:t>27</w:t>
      </w:r>
    </w:p>
    <w:p>
      <w:pPr>
        <w:ind w:right="280"/>
        <w:rPr>
          <w:rFonts w:hint="eastAsia" w:ascii="仿宋" w:hAnsi="仿宋" w:eastAsia="仿宋" w:cs="仿宋"/>
          <w:b/>
          <w:color w:val="auto"/>
        </w:rPr>
      </w:pPr>
    </w:p>
    <w:tbl>
      <w:tblPr>
        <w:tblStyle w:val="26"/>
        <w:tblW w:w="8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0"/>
        <w:gridCol w:w="2641"/>
        <w:gridCol w:w="2010"/>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8" w:hRule="atLeast"/>
          <w:jc w:val="center"/>
        </w:trPr>
        <w:tc>
          <w:tcPr>
            <w:tcW w:w="2610" w:type="dxa"/>
            <w:tcBorders>
              <w:tl2br w:val="single" w:color="auto" w:sz="4" w:space="0"/>
            </w:tcBorders>
            <w:vAlign w:val="center"/>
          </w:tcPr>
          <w:p>
            <w:pPr>
              <w:adjustRightInd w:val="0"/>
              <w:snapToGrid w:val="0"/>
              <w:jc w:val="center"/>
              <w:rPr>
                <w:rFonts w:hint="eastAsia" w:ascii="仿宋" w:hAnsi="仿宋" w:eastAsia="仿宋" w:cs="仿宋"/>
                <w:color w:val="auto"/>
              </w:rPr>
            </w:pPr>
            <w:r>
              <w:rPr>
                <w:rFonts w:hint="eastAsia" w:ascii="仿宋" w:hAnsi="仿宋" w:eastAsia="仿宋" w:cs="仿宋"/>
                <w:color w:val="auto"/>
              </w:rPr>
              <w:t xml:space="preserve">      报价内容</w:t>
            </w:r>
          </w:p>
          <w:p>
            <w:pPr>
              <w:adjustRightInd w:val="0"/>
              <w:snapToGrid w:val="0"/>
              <w:rPr>
                <w:rFonts w:hint="eastAsia" w:ascii="仿宋" w:hAnsi="仿宋" w:eastAsia="仿宋" w:cs="仿宋"/>
                <w:color w:val="auto"/>
              </w:rPr>
            </w:pPr>
          </w:p>
          <w:p>
            <w:pPr>
              <w:adjustRightInd w:val="0"/>
              <w:snapToGrid w:val="0"/>
              <w:rPr>
                <w:rFonts w:hint="eastAsia" w:ascii="仿宋" w:hAnsi="仿宋" w:eastAsia="仿宋" w:cs="仿宋"/>
                <w:color w:val="auto"/>
              </w:rPr>
            </w:pPr>
            <w:r>
              <w:rPr>
                <w:rFonts w:hint="eastAsia" w:ascii="仿宋" w:hAnsi="仿宋" w:eastAsia="仿宋" w:cs="仿宋"/>
                <w:color w:val="auto"/>
              </w:rPr>
              <w:t>项目名</w:t>
            </w:r>
          </w:p>
        </w:tc>
        <w:tc>
          <w:tcPr>
            <w:tcW w:w="2641" w:type="dxa"/>
            <w:vAlign w:val="center"/>
          </w:tcPr>
          <w:p>
            <w:pPr>
              <w:spacing w:line="560" w:lineRule="exact"/>
              <w:jc w:val="center"/>
              <w:rPr>
                <w:rFonts w:hint="eastAsia" w:ascii="仿宋" w:hAnsi="仿宋" w:eastAsia="仿宋" w:cs="仿宋"/>
                <w:color w:val="auto"/>
              </w:rPr>
            </w:pPr>
            <w:r>
              <w:rPr>
                <w:rFonts w:hint="eastAsia" w:ascii="仿宋" w:hAnsi="仿宋" w:eastAsia="仿宋" w:cs="仿宋"/>
                <w:color w:val="auto"/>
              </w:rPr>
              <w:t>总报价</w:t>
            </w:r>
          </w:p>
          <w:p>
            <w:pPr>
              <w:spacing w:line="560" w:lineRule="exact"/>
              <w:jc w:val="center"/>
              <w:rPr>
                <w:rFonts w:hint="eastAsia" w:ascii="仿宋" w:hAnsi="仿宋" w:eastAsia="仿宋" w:cs="仿宋"/>
                <w:color w:val="auto"/>
              </w:rPr>
            </w:pPr>
            <w:r>
              <w:rPr>
                <w:rFonts w:hint="eastAsia" w:ascii="仿宋" w:hAnsi="仿宋" w:eastAsia="仿宋" w:cs="仿宋"/>
                <w:color w:val="auto"/>
              </w:rPr>
              <w:t>（元）</w:t>
            </w:r>
          </w:p>
        </w:tc>
        <w:tc>
          <w:tcPr>
            <w:tcW w:w="2010" w:type="dxa"/>
            <w:vAlign w:val="center"/>
          </w:tcPr>
          <w:p>
            <w:pPr>
              <w:spacing w:line="560" w:lineRule="exact"/>
              <w:jc w:val="center"/>
              <w:rPr>
                <w:rFonts w:hint="eastAsia" w:ascii="仿宋" w:hAnsi="仿宋" w:eastAsia="仿宋" w:cs="仿宋"/>
                <w:color w:val="auto"/>
              </w:rPr>
            </w:pPr>
            <w:r>
              <w:rPr>
                <w:rFonts w:hint="eastAsia" w:ascii="仿宋" w:hAnsi="仿宋" w:eastAsia="仿宋" w:cs="仿宋"/>
                <w:color w:val="auto"/>
              </w:rPr>
              <w:t>工期</w:t>
            </w:r>
          </w:p>
          <w:p>
            <w:pPr>
              <w:spacing w:line="560" w:lineRule="exact"/>
              <w:jc w:val="center"/>
              <w:rPr>
                <w:rFonts w:hint="eastAsia" w:ascii="仿宋" w:hAnsi="仿宋" w:eastAsia="仿宋" w:cs="仿宋"/>
                <w:color w:val="auto"/>
              </w:rPr>
            </w:pPr>
            <w:r>
              <w:rPr>
                <w:rFonts w:hint="eastAsia" w:ascii="仿宋" w:hAnsi="仿宋" w:eastAsia="仿宋" w:cs="仿宋"/>
                <w:color w:val="auto"/>
              </w:rPr>
              <w:t>（日历天）</w:t>
            </w:r>
          </w:p>
        </w:tc>
        <w:tc>
          <w:tcPr>
            <w:tcW w:w="1392" w:type="dxa"/>
            <w:vAlign w:val="center"/>
          </w:tcPr>
          <w:p>
            <w:pPr>
              <w:ind w:firstLine="120" w:firstLineChars="50"/>
              <w:jc w:val="center"/>
              <w:rPr>
                <w:rFonts w:hint="eastAsia" w:ascii="仿宋" w:hAnsi="仿宋" w:eastAsia="仿宋" w:cs="仿宋"/>
                <w:color w:val="auto"/>
              </w:rPr>
            </w:pPr>
            <w:r>
              <w:rPr>
                <w:rFonts w:hint="eastAsia" w:ascii="仿宋" w:hAnsi="仿宋" w:eastAsia="仿宋" w:cs="仿宋"/>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13" w:hRule="atLeast"/>
          <w:jc w:val="center"/>
        </w:trPr>
        <w:tc>
          <w:tcPr>
            <w:tcW w:w="2610" w:type="dxa"/>
            <w:vAlign w:val="center"/>
          </w:tcPr>
          <w:p>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lang w:eastAsia="zh-CN"/>
              </w:rPr>
            </w:pPr>
            <w:r>
              <w:rPr>
                <w:rFonts w:hint="eastAsia" w:ascii="仿宋" w:hAnsi="仿宋" w:eastAsia="仿宋" w:cs="仿宋"/>
                <w:color w:val="auto"/>
                <w:lang w:eastAsia="zh-CN"/>
              </w:rPr>
              <w:t>平利县职业教育中心新校区餐厅改造项目</w:t>
            </w:r>
          </w:p>
        </w:tc>
        <w:tc>
          <w:tcPr>
            <w:tcW w:w="2641" w:type="dxa"/>
            <w:vAlign w:val="center"/>
          </w:tcPr>
          <w:p>
            <w:pPr>
              <w:adjustRightInd w:val="0"/>
              <w:snapToGrid w:val="0"/>
              <w:spacing w:line="360" w:lineRule="auto"/>
              <w:jc w:val="center"/>
              <w:rPr>
                <w:rFonts w:hint="eastAsia" w:ascii="仿宋" w:hAnsi="仿宋" w:eastAsia="仿宋" w:cs="仿宋"/>
                <w:color w:val="auto"/>
              </w:rPr>
            </w:pPr>
          </w:p>
        </w:tc>
        <w:tc>
          <w:tcPr>
            <w:tcW w:w="2010" w:type="dxa"/>
            <w:vAlign w:val="center"/>
          </w:tcPr>
          <w:p>
            <w:pPr>
              <w:adjustRightInd w:val="0"/>
              <w:snapToGrid w:val="0"/>
              <w:spacing w:line="360" w:lineRule="auto"/>
              <w:jc w:val="center"/>
              <w:rPr>
                <w:rFonts w:hint="eastAsia" w:ascii="仿宋" w:hAnsi="仿宋" w:eastAsia="仿宋" w:cs="仿宋"/>
                <w:color w:val="auto"/>
              </w:rPr>
            </w:pPr>
          </w:p>
        </w:tc>
        <w:tc>
          <w:tcPr>
            <w:tcW w:w="1392" w:type="dxa"/>
            <w:vAlign w:val="center"/>
          </w:tcPr>
          <w:p>
            <w:pPr>
              <w:adjustRightInd w:val="0"/>
              <w:snapToGrid w:val="0"/>
              <w:spacing w:line="360" w:lineRule="auto"/>
              <w:jc w:val="center"/>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atLeast"/>
          <w:jc w:val="center"/>
        </w:trPr>
        <w:tc>
          <w:tcPr>
            <w:tcW w:w="2610" w:type="dxa"/>
          </w:tcPr>
          <w:p>
            <w:pPr>
              <w:adjustRightInd w:val="0"/>
              <w:snapToGrid w:val="0"/>
              <w:spacing w:line="360" w:lineRule="auto"/>
              <w:jc w:val="center"/>
              <w:rPr>
                <w:rFonts w:hint="eastAsia" w:ascii="仿宋" w:hAnsi="仿宋" w:eastAsia="仿宋" w:cs="仿宋"/>
                <w:color w:val="auto"/>
              </w:rPr>
            </w:pPr>
          </w:p>
          <w:p>
            <w:pPr>
              <w:adjustRightInd w:val="0"/>
              <w:snapToGrid w:val="0"/>
              <w:spacing w:line="360" w:lineRule="auto"/>
              <w:jc w:val="center"/>
              <w:rPr>
                <w:rFonts w:hint="eastAsia" w:ascii="仿宋" w:hAnsi="仿宋" w:eastAsia="仿宋" w:cs="仿宋"/>
                <w:color w:val="auto"/>
              </w:rPr>
            </w:pPr>
            <w:r>
              <w:rPr>
                <w:rFonts w:hint="eastAsia" w:ascii="仿宋" w:hAnsi="仿宋" w:eastAsia="仿宋" w:cs="仿宋"/>
                <w:color w:val="auto"/>
              </w:rPr>
              <w:t>磋商总报价</w:t>
            </w:r>
          </w:p>
        </w:tc>
        <w:tc>
          <w:tcPr>
            <w:tcW w:w="6043" w:type="dxa"/>
            <w:gridSpan w:val="3"/>
            <w:vAlign w:val="center"/>
          </w:tcPr>
          <w:p>
            <w:pPr>
              <w:adjustRightInd w:val="0"/>
              <w:snapToGrid w:val="0"/>
              <w:spacing w:line="360" w:lineRule="auto"/>
              <w:rPr>
                <w:rFonts w:hint="eastAsia" w:ascii="仿宋" w:hAnsi="仿宋" w:eastAsia="仿宋" w:cs="仿宋"/>
                <w:color w:val="auto"/>
                <w:lang w:val="en-US" w:eastAsia="zh-CN"/>
              </w:rPr>
            </w:pPr>
            <w:r>
              <w:rPr>
                <w:rFonts w:hint="eastAsia" w:ascii="仿宋" w:hAnsi="仿宋" w:eastAsia="仿宋" w:cs="仿宋"/>
                <w:color w:val="auto"/>
              </w:rPr>
              <w:t>人民币大写：</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hint="eastAsia" w:ascii="仿宋" w:hAnsi="仿宋" w:eastAsia="仿宋" w:cs="仿宋"/>
                <w:color w:val="auto"/>
                <w:u w:val="single"/>
                <w:lang w:val="en-US" w:eastAsia="zh-CN"/>
              </w:rPr>
              <w:t xml:space="preserve">         </w:t>
            </w:r>
          </w:p>
        </w:tc>
      </w:tr>
    </w:tbl>
    <w:p>
      <w:pPr>
        <w:spacing w:line="520" w:lineRule="exact"/>
        <w:ind w:firstLine="560" w:firstLineChars="200"/>
        <w:rPr>
          <w:rFonts w:hint="eastAsia" w:ascii="仿宋" w:hAnsi="仿宋" w:eastAsia="仿宋" w:cs="仿宋"/>
          <w:bCs/>
          <w:color w:val="auto"/>
          <w:sz w:val="28"/>
          <w:szCs w:val="28"/>
        </w:rPr>
      </w:pPr>
    </w:p>
    <w:p>
      <w:pPr>
        <w:spacing w:line="520" w:lineRule="exact"/>
        <w:ind w:firstLine="560" w:firstLineChars="200"/>
        <w:rPr>
          <w:rFonts w:hint="eastAsia" w:ascii="仿宋" w:hAnsi="仿宋" w:eastAsia="仿宋" w:cs="仿宋"/>
          <w:color w:val="auto"/>
          <w:sz w:val="28"/>
          <w:szCs w:val="28"/>
        </w:rPr>
      </w:pPr>
    </w:p>
    <w:p>
      <w:pPr>
        <w:adjustRightInd w:val="0"/>
        <w:snapToGrid w:val="0"/>
        <w:spacing w:line="360" w:lineRule="auto"/>
        <w:rPr>
          <w:rFonts w:hint="eastAsia" w:ascii="仿宋" w:hAnsi="仿宋" w:eastAsia="仿宋" w:cs="仿宋"/>
          <w:bCs/>
          <w:color w:val="auto"/>
          <w:sz w:val="28"/>
          <w:szCs w:val="28"/>
        </w:rPr>
      </w:pPr>
    </w:p>
    <w:p>
      <w:pPr>
        <w:adjustRightInd w:val="0"/>
        <w:snapToGrid w:val="0"/>
        <w:spacing w:line="360" w:lineRule="auto"/>
        <w:rPr>
          <w:rFonts w:hint="eastAsia" w:ascii="仿宋" w:hAnsi="仿宋" w:eastAsia="仿宋" w:cs="仿宋"/>
          <w:bCs/>
          <w:color w:val="auto"/>
          <w:sz w:val="28"/>
          <w:szCs w:val="28"/>
        </w:rPr>
      </w:pPr>
    </w:p>
    <w:p>
      <w:pPr>
        <w:adjustRightInd w:val="0"/>
        <w:snapToGrid w:val="0"/>
        <w:spacing w:line="360" w:lineRule="auto"/>
        <w:rPr>
          <w:rFonts w:hint="eastAsia" w:ascii="仿宋" w:hAnsi="仿宋" w:eastAsia="仿宋" w:cs="仿宋"/>
          <w:bCs/>
          <w:color w:val="auto"/>
        </w:rPr>
      </w:pPr>
      <w:r>
        <w:rPr>
          <w:rFonts w:hint="eastAsia" w:ascii="仿宋" w:hAnsi="仿宋" w:eastAsia="仿宋" w:cs="仿宋"/>
          <w:bCs/>
          <w:color w:val="auto"/>
        </w:rPr>
        <w:t>供应商（公章）：</w:t>
      </w:r>
    </w:p>
    <w:p>
      <w:pPr>
        <w:adjustRightInd w:val="0"/>
        <w:snapToGrid w:val="0"/>
        <w:spacing w:line="360" w:lineRule="auto"/>
        <w:rPr>
          <w:rFonts w:hint="eastAsia" w:ascii="仿宋" w:hAnsi="仿宋" w:eastAsia="仿宋" w:cs="仿宋"/>
          <w:bCs/>
          <w:color w:val="auto"/>
        </w:rPr>
      </w:pPr>
    </w:p>
    <w:p>
      <w:pPr>
        <w:adjustRightInd w:val="0"/>
        <w:snapToGrid w:val="0"/>
        <w:spacing w:line="360" w:lineRule="auto"/>
        <w:rPr>
          <w:rFonts w:hint="eastAsia" w:ascii="仿宋" w:hAnsi="仿宋" w:eastAsia="仿宋" w:cs="仿宋"/>
          <w:bCs/>
          <w:color w:val="auto"/>
        </w:rPr>
      </w:pPr>
    </w:p>
    <w:p>
      <w:pPr>
        <w:adjustRightInd w:val="0"/>
        <w:snapToGrid w:val="0"/>
        <w:spacing w:line="360" w:lineRule="auto"/>
        <w:rPr>
          <w:rFonts w:hint="eastAsia" w:ascii="仿宋" w:hAnsi="仿宋" w:eastAsia="仿宋" w:cs="仿宋"/>
          <w:bCs/>
          <w:color w:val="auto"/>
        </w:rPr>
      </w:pPr>
    </w:p>
    <w:p>
      <w:pPr>
        <w:adjustRightInd w:val="0"/>
        <w:snapToGrid w:val="0"/>
        <w:spacing w:line="360" w:lineRule="auto"/>
        <w:rPr>
          <w:rFonts w:hint="eastAsia" w:ascii="仿宋" w:hAnsi="仿宋" w:eastAsia="仿宋" w:cs="仿宋"/>
          <w:bCs/>
          <w:color w:val="auto"/>
        </w:rPr>
      </w:pPr>
      <w:r>
        <w:rPr>
          <w:rFonts w:hint="eastAsia" w:ascii="仿宋" w:hAnsi="仿宋" w:eastAsia="仿宋" w:cs="仿宋"/>
          <w:color w:val="auto"/>
        </w:rPr>
        <w:t>法定代表人或授权代表（</w:t>
      </w:r>
      <w:r>
        <w:rPr>
          <w:rFonts w:hint="eastAsia" w:ascii="仿宋" w:hAnsi="仿宋" w:eastAsia="仿宋" w:cs="仿宋"/>
          <w:color w:val="auto"/>
          <w:sz w:val="24"/>
        </w:rPr>
        <w:t>签字或盖章</w:t>
      </w:r>
      <w:r>
        <w:rPr>
          <w:rFonts w:hint="eastAsia" w:ascii="仿宋" w:hAnsi="仿宋" w:eastAsia="仿宋" w:cs="仿宋"/>
          <w:color w:val="auto"/>
        </w:rPr>
        <w:t>）</w:t>
      </w:r>
      <w:r>
        <w:rPr>
          <w:rFonts w:hint="eastAsia" w:ascii="仿宋" w:hAnsi="仿宋" w:eastAsia="仿宋" w:cs="仿宋"/>
          <w:bCs/>
          <w:color w:val="auto"/>
        </w:rPr>
        <w:t>：</w:t>
      </w:r>
    </w:p>
    <w:p>
      <w:pPr>
        <w:spacing w:line="660" w:lineRule="exact"/>
        <w:ind w:firstLine="645"/>
        <w:rPr>
          <w:rFonts w:hint="eastAsia" w:ascii="仿宋" w:hAnsi="仿宋" w:eastAsia="仿宋" w:cs="仿宋"/>
          <w:b/>
          <w:color w:val="auto"/>
          <w:sz w:val="32"/>
        </w:rPr>
      </w:pPr>
    </w:p>
    <w:p>
      <w:pPr>
        <w:spacing w:line="660" w:lineRule="exact"/>
        <w:ind w:firstLine="645"/>
        <w:rPr>
          <w:rFonts w:hint="eastAsia" w:ascii="仿宋" w:hAnsi="仿宋" w:eastAsia="仿宋" w:cs="仿宋"/>
          <w:b/>
          <w:color w:val="auto"/>
          <w:sz w:val="32"/>
        </w:rPr>
      </w:pPr>
    </w:p>
    <w:p>
      <w:pPr>
        <w:adjustRightInd w:val="0"/>
        <w:snapToGrid w:val="0"/>
        <w:spacing w:line="400" w:lineRule="exact"/>
        <w:jc w:val="center"/>
        <w:rPr>
          <w:rFonts w:hint="eastAsia" w:ascii="仿宋" w:hAnsi="仿宋" w:eastAsia="仿宋" w:cs="仿宋"/>
          <w:color w:val="auto"/>
          <w:sz w:val="32"/>
          <w:szCs w:val="32"/>
        </w:rPr>
      </w:pPr>
    </w:p>
    <w:p>
      <w:pPr>
        <w:adjustRightInd w:val="0"/>
        <w:snapToGrid w:val="0"/>
        <w:spacing w:line="400" w:lineRule="exact"/>
        <w:rPr>
          <w:rFonts w:hint="eastAsia" w:ascii="仿宋" w:hAnsi="仿宋" w:eastAsia="仿宋" w:cs="仿宋"/>
          <w:b/>
          <w:bCs/>
          <w:color w:val="auto"/>
          <w:sz w:val="32"/>
          <w:szCs w:val="32"/>
        </w:rPr>
      </w:pPr>
    </w:p>
    <w:p>
      <w:pPr>
        <w:wordWrap w:val="0"/>
        <w:spacing w:line="520" w:lineRule="exact"/>
        <w:ind w:firstLine="1017" w:firstLineChars="424"/>
        <w:jc w:val="right"/>
        <w:rPr>
          <w:rFonts w:hint="eastAsia" w:ascii="仿宋" w:hAnsi="仿宋" w:eastAsia="仿宋" w:cs="仿宋"/>
          <w:color w:val="auto"/>
        </w:rPr>
      </w:pPr>
    </w:p>
    <w:p>
      <w:pPr>
        <w:bidi w:val="0"/>
        <w:jc w:val="center"/>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第</w:t>
      </w:r>
      <w:r>
        <w:rPr>
          <w:rFonts w:hint="eastAsia" w:ascii="仿宋" w:hAnsi="仿宋" w:eastAsia="仿宋" w:cs="仿宋"/>
          <w:b/>
          <w:bCs/>
          <w:color w:val="auto"/>
          <w:sz w:val="28"/>
          <w:szCs w:val="28"/>
          <w:lang w:eastAsia="zh-CN"/>
        </w:rPr>
        <w:t>三</w:t>
      </w:r>
      <w:r>
        <w:rPr>
          <w:rFonts w:hint="eastAsia" w:ascii="仿宋" w:hAnsi="仿宋" w:eastAsia="仿宋" w:cs="仿宋"/>
          <w:b/>
          <w:bCs/>
          <w:color w:val="auto"/>
          <w:sz w:val="28"/>
          <w:szCs w:val="28"/>
        </w:rPr>
        <w:t xml:space="preserve">章 </w:t>
      </w:r>
      <w:r>
        <w:rPr>
          <w:rFonts w:hint="eastAsia" w:ascii="仿宋" w:hAnsi="仿宋" w:eastAsia="仿宋" w:cs="仿宋"/>
          <w:b/>
          <w:bCs/>
          <w:color w:val="auto"/>
          <w:sz w:val="28"/>
          <w:szCs w:val="28"/>
          <w:lang w:val="en-US" w:eastAsia="zh-CN"/>
        </w:rPr>
        <w:t xml:space="preserve"> </w:t>
      </w:r>
      <w:r>
        <w:rPr>
          <w:rFonts w:hint="eastAsia" w:ascii="仿宋" w:hAnsi="仿宋" w:eastAsia="仿宋" w:cs="仿宋"/>
          <w:b/>
          <w:bCs/>
          <w:color w:val="auto"/>
          <w:sz w:val="28"/>
          <w:szCs w:val="28"/>
          <w:lang w:eastAsia="zh-CN"/>
        </w:rPr>
        <w:t>供应商资格证明文件</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（1）具有独立承担民事责任能力的法人或其他组织，并出具合法有效的营业执照或事业单位法人证书等国家规定的相关证明；</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（2）法定代表人授权书及被授权人身份证复印件(法定代表人参加只需提供身份证复印件）；</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3）投标人须具备建筑工程施工总承包三级（含三级）及以上资质，并具有相应的安全生产许可证，拟派项目经理（负责人）须具备建筑工程二级（含二级）及以上注册建造师执业资格和有效的安全生产考核合格证书，且未担任其他在建工程项目的项目经理。 </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4）提供2025年度经审计的财务报告（成立时间提交响应文件截止时间不足一年的可提供成立后任意时段的资产负债表、损益表、现金流量表、所有者权益及附注说明）或开标前六个月内其基本账户银行出具的资信证明；</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（5）提供截止至开标时间前6个月任意一个月的社会保障资金缴存单据或社保机构开具的社会保险参保缴费情况证明，依法不需要缴纳社会保障资金的应提供相关证明文件；</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（6）提供截止至开标时间前6个月任意一个月的纳税证明或完税证明，纳税证明或完税证明上应有代收机构或税务机关的公章，依法免税的应提供相关证明文件；</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（7）参加政府采购活动近三年内，在经营活动中没有重大违法记录声明；</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8）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（9）本项目专门面向中小企业采购，供应商需提供《中小企业声明函》；</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（10）本项目不接受联合体投标。</w:t>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pPr>
        <w:adjustRightInd w:val="0"/>
        <w:snapToGrid w:val="0"/>
        <w:spacing w:line="360" w:lineRule="auto"/>
        <w:ind w:right="42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法定代表人证明书</w:t>
      </w:r>
    </w:p>
    <w:p>
      <w:pPr>
        <w:keepNext w:val="0"/>
        <w:keepLines w:val="0"/>
        <w:pageBreakBefore w:val="0"/>
        <w:widowControl/>
        <w:kinsoku/>
        <w:wordWrap/>
        <w:overflowPunct/>
        <w:topLinePunct w:val="0"/>
        <w:autoSpaceDE w:val="0"/>
        <w:autoSpaceDN w:val="0"/>
        <w:bidi w:val="0"/>
        <w:adjustRightInd w:val="0"/>
        <w:snapToGrid w:val="0"/>
        <w:spacing w:beforeLines="50"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现任我单位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eastAsia="zh-CN"/>
        </w:rPr>
        <w:t>职务，为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（供应商名称）的法定代表人</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主要负责人</w:t>
      </w:r>
      <w:r>
        <w:rPr>
          <w:rFonts w:hint="eastAsia" w:ascii="仿宋" w:hAnsi="仿宋" w:eastAsia="仿宋" w:cs="仿宋"/>
          <w:color w:val="auto"/>
          <w:sz w:val="24"/>
          <w:szCs w:val="24"/>
          <w:highlight w:val="none"/>
        </w:rPr>
        <w:t>。</w:t>
      </w:r>
    </w:p>
    <w:p>
      <w:pPr>
        <w:keepNext w:val="0"/>
        <w:keepLines w:val="0"/>
        <w:pageBreakBefore w:val="0"/>
        <w:widowControl/>
        <w:kinsoku/>
        <w:wordWrap/>
        <w:overflowPunct/>
        <w:topLinePunct w:val="0"/>
        <w:autoSpaceDE w:val="0"/>
        <w:autoSpaceDN w:val="0"/>
        <w:bidi w:val="0"/>
        <w:adjustRightInd w:val="0"/>
        <w:snapToGrid w:val="0"/>
        <w:spacing w:beforeLines="50" w:line="440" w:lineRule="exact"/>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性别：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年龄：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民族：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联系电话：</w:t>
      </w:r>
      <w:r>
        <w:rPr>
          <w:rFonts w:hint="eastAsia" w:ascii="仿宋" w:hAnsi="仿宋" w:eastAsia="仿宋" w:cs="仿宋"/>
          <w:color w:val="auto"/>
          <w:sz w:val="24"/>
          <w:szCs w:val="24"/>
          <w:highlight w:val="none"/>
          <w:u w:val="single"/>
          <w:lang w:val="en-US" w:eastAsia="zh-CN"/>
        </w:rPr>
        <w:t xml:space="preserve">           </w:t>
      </w:r>
    </w:p>
    <w:p>
      <w:pPr>
        <w:keepNext w:val="0"/>
        <w:keepLines w:val="0"/>
        <w:pageBreakBefore w:val="0"/>
        <w:widowControl/>
        <w:kinsoku/>
        <w:wordWrap/>
        <w:overflowPunct/>
        <w:topLinePunct w:val="0"/>
        <w:autoSpaceDE w:val="0"/>
        <w:autoSpaceDN w:val="0"/>
        <w:bidi w:val="0"/>
        <w:adjustRightInd w:val="0"/>
        <w:snapToGrid w:val="0"/>
        <w:spacing w:beforeLines="50"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val="0"/>
        <w:autoSpaceDN w:val="0"/>
        <w:bidi w:val="0"/>
        <w:adjustRightInd w:val="0"/>
        <w:snapToGrid w:val="0"/>
        <w:spacing w:beforeLines="50"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pPr>
        <w:keepNext w:val="0"/>
        <w:keepLines w:val="0"/>
        <w:pageBreakBefore w:val="0"/>
        <w:widowControl/>
        <w:kinsoku/>
        <w:wordWrap/>
        <w:overflowPunct/>
        <w:topLinePunct w:val="0"/>
        <w:autoSpaceDE w:val="0"/>
        <w:autoSpaceDN w:val="0"/>
        <w:bidi w:val="0"/>
        <w:adjustRightInd w:val="0"/>
        <w:snapToGrid w:val="0"/>
        <w:spacing w:beforeLines="50"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pPr>
        <w:keepNext w:val="0"/>
        <w:keepLines w:val="0"/>
        <w:pageBreakBefore w:val="0"/>
        <w:widowControl/>
        <w:kinsoku/>
        <w:wordWrap/>
        <w:overflowPunct/>
        <w:topLinePunct w:val="0"/>
        <w:autoSpaceDE w:val="0"/>
        <w:autoSpaceDN w:val="0"/>
        <w:bidi w:val="0"/>
        <w:adjustRightInd w:val="0"/>
        <w:snapToGrid w:val="0"/>
        <w:spacing w:beforeLines="50" w:line="440" w:lineRule="exact"/>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邮政编码：</w:t>
      </w:r>
      <w:r>
        <w:rPr>
          <w:rFonts w:hint="eastAsia" w:ascii="仿宋" w:hAnsi="仿宋" w:eastAsia="仿宋" w:cs="仿宋"/>
          <w:color w:val="auto"/>
          <w:sz w:val="24"/>
          <w:szCs w:val="24"/>
          <w:highlight w:val="none"/>
          <w:u w:val="single"/>
          <w:lang w:val="en-US" w:eastAsia="zh-CN"/>
        </w:rPr>
        <w:t xml:space="preserve">            </w:t>
      </w:r>
    </w:p>
    <w:p>
      <w:pPr>
        <w:keepNext w:val="0"/>
        <w:keepLines w:val="0"/>
        <w:pageBreakBefore w:val="0"/>
        <w:widowControl/>
        <w:kinsoku/>
        <w:wordWrap/>
        <w:overflowPunct/>
        <w:topLinePunct w:val="0"/>
        <w:autoSpaceDE w:val="0"/>
        <w:autoSpaceDN w:val="0"/>
        <w:bidi w:val="0"/>
        <w:adjustRightInd w:val="0"/>
        <w:snapToGrid w:val="0"/>
        <w:spacing w:beforeLines="50"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pPr>
        <w:keepNext w:val="0"/>
        <w:keepLines w:val="0"/>
        <w:pageBreakBefore w:val="0"/>
        <w:widowControl/>
        <w:kinsoku/>
        <w:wordWrap/>
        <w:overflowPunct/>
        <w:topLinePunct w:val="0"/>
        <w:autoSpaceDE w:val="0"/>
        <w:autoSpaceDN w:val="0"/>
        <w:bidi w:val="0"/>
        <w:adjustRightInd w:val="0"/>
        <w:snapToGrid w:val="0"/>
        <w:spacing w:beforeLines="50"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经营期限：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pPr>
        <w:keepNext w:val="0"/>
        <w:keepLines w:val="0"/>
        <w:pageBreakBefore w:val="0"/>
        <w:widowControl/>
        <w:kinsoku/>
        <w:wordWrap/>
        <w:overflowPunct/>
        <w:topLinePunct w:val="0"/>
        <w:autoSpaceDE w:val="0"/>
        <w:autoSpaceDN w:val="0"/>
        <w:bidi w:val="0"/>
        <w:adjustRightInd w:val="0"/>
        <w:snapToGrid w:val="0"/>
        <w:spacing w:beforeLines="50"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pPr>
        <w:keepNext w:val="0"/>
        <w:keepLines w:val="0"/>
        <w:pageBreakBefore w:val="0"/>
        <w:widowControl/>
        <w:kinsoku/>
        <w:wordWrap/>
        <w:overflowPunct/>
        <w:topLinePunct w:val="0"/>
        <w:autoSpaceDE w:val="0"/>
        <w:autoSpaceDN w:val="0"/>
        <w:bidi w:val="0"/>
        <w:adjustRightInd w:val="0"/>
        <w:snapToGrid w:val="0"/>
        <w:spacing w:beforeLines="50"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附：法定代表人身份证复印件</w:t>
      </w:r>
    </w:p>
    <w:tbl>
      <w:tblPr>
        <w:tblStyle w:val="26"/>
        <w:tblpPr w:leftFromText="180" w:rightFromText="180" w:vertAnchor="text" w:horzAnchor="margin" w:tblpXSpec="center" w:tblpY="104"/>
        <w:tblW w:w="5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9" w:hRule="atLeast"/>
        </w:trPr>
        <w:tc>
          <w:tcPr>
            <w:tcW w:w="5440" w:type="dxa"/>
            <w:noWrap w:val="0"/>
            <w:vAlign w:val="center"/>
          </w:tcPr>
          <w:p>
            <w:pPr>
              <w:snapToGrid w:val="0"/>
              <w:spacing w:line="480" w:lineRule="auto"/>
              <w:jc w:val="center"/>
              <w:rPr>
                <w:rFonts w:hint="eastAsia" w:ascii="仿宋" w:hAnsi="仿宋" w:eastAsia="仿宋" w:cs="仿宋"/>
                <w:color w:val="auto"/>
                <w:sz w:val="24"/>
                <w:szCs w:val="24"/>
                <w:highlight w:val="none"/>
              </w:rPr>
            </w:pPr>
          </w:p>
          <w:p>
            <w:pPr>
              <w:snapToGrid w:val="0"/>
              <w:spacing w:line="480" w:lineRule="auto"/>
              <w:jc w:val="center"/>
              <w:rPr>
                <w:rFonts w:hint="eastAsia" w:ascii="仿宋" w:hAnsi="仿宋" w:eastAsia="仿宋" w:cs="仿宋"/>
                <w:color w:val="auto"/>
                <w:sz w:val="24"/>
                <w:szCs w:val="24"/>
                <w:highlight w:val="none"/>
              </w:rPr>
            </w:pPr>
          </w:p>
          <w:p>
            <w:pPr>
              <w:autoSpaceDE w:val="0"/>
              <w:autoSpaceDN w:val="0"/>
              <w:adjustRightInd w:val="0"/>
              <w:snapToGrid w:val="0"/>
              <w:spacing w:beforeLines="5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法定代表人身份证复印件粘贴处</w:t>
            </w:r>
          </w:p>
          <w:p>
            <w:pPr>
              <w:pStyle w:val="1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（正反面）</w:t>
            </w:r>
          </w:p>
          <w:p>
            <w:pPr>
              <w:snapToGrid w:val="0"/>
              <w:spacing w:line="480" w:lineRule="auto"/>
              <w:jc w:val="center"/>
              <w:rPr>
                <w:rFonts w:hint="eastAsia" w:ascii="仿宋" w:hAnsi="仿宋" w:eastAsia="仿宋" w:cs="仿宋"/>
                <w:color w:val="auto"/>
                <w:sz w:val="24"/>
                <w:szCs w:val="24"/>
                <w:highlight w:val="none"/>
              </w:rPr>
            </w:pPr>
          </w:p>
          <w:p>
            <w:pPr>
              <w:snapToGrid w:val="0"/>
              <w:spacing w:line="480" w:lineRule="auto"/>
              <w:jc w:val="center"/>
              <w:rPr>
                <w:rFonts w:hint="eastAsia" w:ascii="仿宋" w:hAnsi="仿宋" w:eastAsia="仿宋" w:cs="仿宋"/>
                <w:color w:val="auto"/>
                <w:sz w:val="24"/>
                <w:szCs w:val="24"/>
                <w:highlight w:val="none"/>
              </w:rPr>
            </w:pPr>
          </w:p>
        </w:tc>
      </w:tr>
    </w:tbl>
    <w:p>
      <w:pPr>
        <w:snapToGrid w:val="0"/>
        <w:spacing w:line="480" w:lineRule="auto"/>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adjustRightInd w:val="0"/>
        <w:snapToGrid w:val="0"/>
        <w:spacing w:line="360" w:lineRule="auto"/>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600" w:lineRule="exact"/>
        <w:ind w:right="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单位</w:t>
      </w:r>
      <w:r>
        <w:rPr>
          <w:rFonts w:hint="eastAsia" w:ascii="仿宋" w:hAnsi="仿宋" w:eastAsia="仿宋" w:cs="仿宋"/>
          <w:color w:val="auto"/>
          <w:sz w:val="24"/>
          <w:szCs w:val="24"/>
          <w:highlight w:val="none"/>
        </w:rPr>
        <w:t>名称（公章）：</w:t>
      </w:r>
    </w:p>
    <w:p>
      <w:pPr>
        <w:keepNext w:val="0"/>
        <w:keepLines w:val="0"/>
        <w:pageBreakBefore w:val="0"/>
        <w:widowControl w:val="0"/>
        <w:kinsoku/>
        <w:wordWrap/>
        <w:overflowPunct/>
        <w:topLinePunct w:val="0"/>
        <w:autoSpaceDE/>
        <w:autoSpaceDN/>
        <w:bidi w:val="0"/>
        <w:adjustRightInd w:val="0"/>
        <w:snapToGrid w:val="0"/>
        <w:spacing w:line="600" w:lineRule="exact"/>
        <w:ind w:right="420"/>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pPr>
        <w:keepNext w:val="0"/>
        <w:keepLines w:val="0"/>
        <w:pageBreakBefore w:val="0"/>
        <w:widowControl/>
        <w:kinsoku/>
        <w:wordWrap/>
        <w:overflowPunct/>
        <w:topLinePunct w:val="0"/>
        <w:autoSpaceDE/>
        <w:autoSpaceDN/>
        <w:bidi w:val="0"/>
        <w:adjustRightInd/>
        <w:snapToGrid/>
        <w:spacing w:line="440" w:lineRule="exact"/>
        <w:jc w:val="left"/>
        <w:textAlignment w:val="auto"/>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（注：参会人员非公司法定代表人的，适用法定代表人授权委托书；参会人员为公司法定代表人的，适用法定代表人证明书。）</w:t>
      </w:r>
    </w:p>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pPr>
        <w:bidi w:val="0"/>
        <w:jc w:val="center"/>
        <w:outlineLvl w:val="9"/>
        <w:rPr>
          <w:rFonts w:hint="eastAsia" w:ascii="仿宋" w:hAnsi="仿宋" w:eastAsia="仿宋" w:cs="仿宋"/>
          <w:b/>
          <w:bCs/>
          <w:color w:val="auto"/>
          <w:sz w:val="28"/>
          <w:szCs w:val="28"/>
        </w:rPr>
      </w:pPr>
      <w:r>
        <w:rPr>
          <w:rFonts w:hint="eastAsia" w:ascii="仿宋" w:hAnsi="仿宋" w:eastAsia="仿宋" w:cs="仿宋"/>
          <w:b/>
          <w:bCs/>
          <w:color w:val="auto"/>
          <w:sz w:val="28"/>
          <w:szCs w:val="28"/>
        </w:rPr>
        <w:t>法定代表人授权书</w:t>
      </w:r>
    </w:p>
    <w:p>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仿宋" w:hAnsi="仿宋" w:eastAsia="仿宋" w:cs="仿宋"/>
          <w:b/>
          <w:color w:val="auto"/>
        </w:rPr>
      </w:pPr>
      <w:r>
        <w:rPr>
          <w:rFonts w:hint="eastAsia" w:ascii="仿宋" w:hAnsi="仿宋" w:eastAsia="仿宋" w:cs="仿宋"/>
          <w:b/>
          <w:color w:val="auto"/>
          <w:lang w:eastAsia="zh-CN"/>
        </w:rPr>
        <w:t>平利县</w:t>
      </w:r>
      <w:r>
        <w:rPr>
          <w:rFonts w:hint="eastAsia" w:ascii="仿宋" w:hAnsi="仿宋" w:eastAsia="仿宋" w:cs="仿宋"/>
          <w:b/>
          <w:color w:val="auto"/>
          <w:lang w:val="en-US" w:eastAsia="zh-CN"/>
        </w:rPr>
        <w:t>职业教育中心</w:t>
      </w:r>
      <w:r>
        <w:rPr>
          <w:rFonts w:hint="eastAsia" w:ascii="仿宋" w:hAnsi="仿宋" w:eastAsia="仿宋" w:cs="仿宋"/>
          <w:b/>
          <w:color w:val="auto"/>
        </w:rPr>
        <w:t>：</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注册于</w:t>
      </w:r>
      <w:r>
        <w:rPr>
          <w:rFonts w:hint="eastAsia" w:ascii="仿宋" w:hAnsi="仿宋" w:eastAsia="仿宋" w:cs="仿宋"/>
          <w:color w:val="auto"/>
          <w:u w:val="single"/>
        </w:rPr>
        <w:t>（工商行政管理局名称）</w:t>
      </w:r>
      <w:r>
        <w:rPr>
          <w:rFonts w:hint="eastAsia" w:ascii="仿宋" w:hAnsi="仿宋" w:eastAsia="仿宋" w:cs="仿宋"/>
          <w:color w:val="auto"/>
        </w:rPr>
        <w:t>之</w:t>
      </w:r>
      <w:r>
        <w:rPr>
          <w:rFonts w:hint="eastAsia" w:ascii="仿宋" w:hAnsi="仿宋" w:eastAsia="仿宋" w:cs="仿宋"/>
          <w:color w:val="auto"/>
          <w:u w:val="single"/>
        </w:rPr>
        <w:t>（供应商全称）</w:t>
      </w:r>
      <w:r>
        <w:rPr>
          <w:rFonts w:hint="eastAsia" w:ascii="仿宋" w:hAnsi="仿宋" w:eastAsia="仿宋" w:cs="仿宋"/>
          <w:color w:val="auto"/>
        </w:rPr>
        <w:t>法人代表</w:t>
      </w:r>
      <w:r>
        <w:rPr>
          <w:rFonts w:hint="eastAsia" w:ascii="仿宋" w:hAnsi="仿宋" w:eastAsia="仿宋" w:cs="仿宋"/>
          <w:color w:val="auto"/>
          <w:u w:val="single"/>
        </w:rPr>
        <w:t>（姓名、职务）</w:t>
      </w:r>
      <w:r>
        <w:rPr>
          <w:rFonts w:hint="eastAsia" w:ascii="仿宋" w:hAnsi="仿宋" w:eastAsia="仿宋" w:cs="仿宋"/>
          <w:color w:val="auto"/>
        </w:rPr>
        <w:t>授权</w:t>
      </w:r>
      <w:r>
        <w:rPr>
          <w:rFonts w:hint="eastAsia" w:ascii="仿宋" w:hAnsi="仿宋" w:eastAsia="仿宋" w:cs="仿宋"/>
          <w:color w:val="auto"/>
          <w:u w:val="single"/>
        </w:rPr>
        <w:t>（被授权人姓名、职务）</w:t>
      </w:r>
      <w:r>
        <w:rPr>
          <w:rFonts w:hint="eastAsia" w:ascii="仿宋" w:hAnsi="仿宋" w:eastAsia="仿宋" w:cs="仿宋"/>
          <w:color w:val="auto"/>
        </w:rPr>
        <w:t>为本公司的合法代理人，就本项目</w:t>
      </w:r>
      <w:r>
        <w:rPr>
          <w:rFonts w:hint="eastAsia" w:ascii="仿宋" w:hAnsi="仿宋" w:eastAsia="仿宋" w:cs="仿宋"/>
          <w:color w:val="auto"/>
          <w:u w:val="single"/>
        </w:rPr>
        <w:t>（项目名称）</w:t>
      </w:r>
      <w:r>
        <w:rPr>
          <w:rFonts w:hint="eastAsia" w:ascii="仿宋" w:hAnsi="仿宋" w:eastAsia="仿宋" w:cs="仿宋"/>
          <w:color w:val="auto"/>
        </w:rPr>
        <w:t>的招标及合同的执行和完成，以本公司的名义处理一切与之有关的事宜。</w:t>
      </w:r>
    </w:p>
    <w:p>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u w:val="single"/>
          <w:lang w:val="en-US" w:eastAsia="zh-CN"/>
        </w:rPr>
      </w:pPr>
      <w:r>
        <w:rPr>
          <w:rFonts w:hint="eastAsia" w:ascii="仿宋" w:hAnsi="仿宋" w:eastAsia="仿宋" w:cs="仿宋"/>
          <w:color w:val="auto"/>
        </w:rPr>
        <w:t>附：全权代表姓名</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 xml:space="preserve"> 性别</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rPr>
        <w:t>年龄</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440" w:lineRule="exact"/>
        <w:ind w:firstLine="630"/>
        <w:textAlignment w:val="auto"/>
        <w:rPr>
          <w:rFonts w:hint="eastAsia" w:ascii="仿宋" w:hAnsi="仿宋" w:eastAsia="仿宋" w:cs="仿宋"/>
          <w:color w:val="auto"/>
          <w:lang w:val="en-US" w:eastAsia="zh-CN"/>
        </w:rPr>
      </w:pPr>
      <w:r>
        <w:rPr>
          <w:rFonts w:hint="eastAsia" w:ascii="仿宋" w:hAnsi="仿宋" w:eastAsia="仿宋" w:cs="仿宋"/>
          <w:color w:val="auto"/>
        </w:rPr>
        <w:t>职    务</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身份证号码</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440" w:lineRule="exact"/>
        <w:ind w:firstLine="630"/>
        <w:textAlignment w:val="auto"/>
        <w:rPr>
          <w:rFonts w:hint="eastAsia" w:ascii="仿宋" w:hAnsi="仿宋" w:eastAsia="仿宋" w:cs="仿宋"/>
          <w:color w:val="auto"/>
          <w:u w:val="single"/>
          <w:lang w:val="en-US" w:eastAsia="zh-CN"/>
        </w:rPr>
      </w:pPr>
      <w:r>
        <w:rPr>
          <w:rFonts w:hint="eastAsia" w:ascii="仿宋" w:hAnsi="仿宋" w:eastAsia="仿宋" w:cs="仿宋"/>
          <w:color w:val="auto"/>
        </w:rPr>
        <w:t>通讯地址</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440" w:lineRule="exact"/>
        <w:ind w:firstLine="630"/>
        <w:textAlignment w:val="auto"/>
        <w:rPr>
          <w:rFonts w:hint="eastAsia" w:ascii="仿宋" w:hAnsi="仿宋" w:eastAsia="仿宋" w:cs="仿宋"/>
          <w:color w:val="auto"/>
          <w:u w:val="single"/>
          <w:lang w:val="en-US" w:eastAsia="zh-CN"/>
        </w:rPr>
      </w:pPr>
      <w:r>
        <w:rPr>
          <w:rFonts w:hint="eastAsia" w:ascii="仿宋" w:hAnsi="仿宋" w:eastAsia="仿宋" w:cs="仿宋"/>
          <w:color w:val="auto"/>
        </w:rPr>
        <w:t>邮政编码</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440" w:lineRule="exact"/>
        <w:ind w:firstLine="630"/>
        <w:textAlignment w:val="auto"/>
        <w:rPr>
          <w:rFonts w:hint="eastAsia" w:ascii="仿宋" w:hAnsi="仿宋" w:eastAsia="仿宋" w:cs="仿宋"/>
          <w:color w:val="auto"/>
          <w:u w:val="single"/>
          <w:lang w:val="en-US" w:eastAsia="zh-CN"/>
        </w:rPr>
      </w:pPr>
      <w:r>
        <w:rPr>
          <w:rFonts w:hint="eastAsia" w:ascii="仿宋" w:hAnsi="仿宋" w:eastAsia="仿宋" w:cs="仿宋"/>
          <w:color w:val="auto"/>
        </w:rPr>
        <w:t>电    话</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rPr>
        <w:t>电传</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440" w:lineRule="exact"/>
        <w:ind w:left="274" w:leftChars="114" w:firstLine="388" w:firstLineChars="162"/>
        <w:textAlignment w:val="auto"/>
        <w:rPr>
          <w:rFonts w:hint="eastAsia" w:ascii="仿宋" w:hAnsi="仿宋" w:eastAsia="仿宋" w:cs="仿宋"/>
          <w:color w:val="auto"/>
        </w:rPr>
      </w:pPr>
      <w:r>
        <w:rPr>
          <w:rFonts w:hint="eastAsia" w:ascii="仿宋" w:hAnsi="仿宋" w:eastAsia="仿宋" w:cs="仿宋"/>
          <w:color w:val="auto"/>
        </w:rPr>
        <w:t>法定代表人/授权代表身份证复印件</w:t>
      </w:r>
    </w:p>
    <w:tbl>
      <w:tblPr>
        <w:tblStyle w:val="26"/>
        <w:tblW w:w="8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6"/>
        <w:gridCol w:w="4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5" w:hRule="atLeast"/>
          <w:jc w:val="center"/>
        </w:trPr>
        <w:tc>
          <w:tcPr>
            <w:tcW w:w="4136" w:type="dxa"/>
            <w:vAlign w:val="center"/>
          </w:tcPr>
          <w:p>
            <w:pPr>
              <w:adjustRightInd w:val="0"/>
              <w:snapToGrid w:val="0"/>
              <w:spacing w:line="600" w:lineRule="exact"/>
              <w:jc w:val="center"/>
              <w:rPr>
                <w:rFonts w:hint="eastAsia" w:ascii="仿宋" w:hAnsi="仿宋" w:eastAsia="仿宋" w:cs="仿宋"/>
                <w:color w:val="auto"/>
              </w:rPr>
            </w:pPr>
            <w:r>
              <w:rPr>
                <w:rFonts w:hint="eastAsia" w:ascii="仿宋" w:hAnsi="仿宋" w:eastAsia="仿宋" w:cs="仿宋"/>
                <w:color w:val="auto"/>
              </w:rPr>
              <w:t>法定代表人身份证复印件</w:t>
            </w:r>
          </w:p>
          <w:p>
            <w:pPr>
              <w:adjustRightInd w:val="0"/>
              <w:snapToGrid w:val="0"/>
              <w:spacing w:line="600" w:lineRule="exact"/>
              <w:jc w:val="center"/>
              <w:rPr>
                <w:rFonts w:hint="eastAsia" w:ascii="仿宋" w:hAnsi="仿宋" w:eastAsia="仿宋" w:cs="仿宋"/>
                <w:color w:val="auto"/>
                <w:lang w:eastAsia="zh-CN"/>
              </w:rPr>
            </w:pPr>
            <w:r>
              <w:rPr>
                <w:rFonts w:hint="eastAsia" w:ascii="仿宋" w:hAnsi="仿宋" w:eastAsia="仿宋" w:cs="仿宋"/>
                <w:color w:val="auto"/>
              </w:rPr>
              <w:t>（正反面）</w:t>
            </w:r>
          </w:p>
        </w:tc>
        <w:tc>
          <w:tcPr>
            <w:tcW w:w="4021" w:type="dxa"/>
            <w:vAlign w:val="center"/>
          </w:tcPr>
          <w:p>
            <w:pPr>
              <w:adjustRightInd w:val="0"/>
              <w:snapToGrid w:val="0"/>
              <w:spacing w:line="600" w:lineRule="exact"/>
              <w:jc w:val="center"/>
              <w:rPr>
                <w:rFonts w:hint="eastAsia" w:ascii="仿宋" w:hAnsi="仿宋" w:eastAsia="仿宋" w:cs="仿宋"/>
                <w:color w:val="auto"/>
              </w:rPr>
            </w:pPr>
            <w:r>
              <w:rPr>
                <w:rFonts w:hint="eastAsia" w:ascii="仿宋" w:hAnsi="仿宋" w:eastAsia="仿宋" w:cs="仿宋"/>
                <w:color w:val="auto"/>
              </w:rPr>
              <w:t>授权代表身份证复印件</w:t>
            </w:r>
          </w:p>
          <w:p>
            <w:pPr>
              <w:adjustRightInd w:val="0"/>
              <w:snapToGrid w:val="0"/>
              <w:spacing w:line="600" w:lineRule="exact"/>
              <w:jc w:val="center"/>
              <w:rPr>
                <w:rFonts w:hint="eastAsia" w:ascii="仿宋" w:hAnsi="仿宋" w:eastAsia="仿宋" w:cs="仿宋"/>
                <w:color w:val="auto"/>
              </w:rPr>
            </w:pPr>
            <w:r>
              <w:rPr>
                <w:rFonts w:hint="eastAsia" w:ascii="仿宋" w:hAnsi="仿宋" w:eastAsia="仿宋" w:cs="仿宋"/>
                <w:color w:val="auto"/>
              </w:rPr>
              <w:t>（正反面）</w:t>
            </w:r>
          </w:p>
        </w:tc>
      </w:tr>
    </w:tbl>
    <w:p>
      <w:pPr>
        <w:adjustRightInd w:val="0"/>
        <w:snapToGrid w:val="0"/>
        <w:spacing w:line="600" w:lineRule="exact"/>
        <w:ind w:firstLine="630"/>
        <w:rPr>
          <w:rFonts w:hint="eastAsia" w:ascii="仿宋" w:hAnsi="仿宋" w:eastAsia="仿宋" w:cs="仿宋"/>
          <w:color w:val="auto"/>
        </w:rPr>
      </w:pPr>
      <w:r>
        <w:rPr>
          <w:rFonts w:hint="eastAsia" w:ascii="仿宋" w:hAnsi="仿宋" w:eastAsia="仿宋" w:cs="仿宋"/>
          <w:color w:val="auto"/>
        </w:rPr>
        <w:t>单位名称（公章）：</w:t>
      </w:r>
    </w:p>
    <w:p>
      <w:pPr>
        <w:adjustRightInd w:val="0"/>
        <w:snapToGrid w:val="0"/>
        <w:spacing w:line="600" w:lineRule="exact"/>
        <w:ind w:firstLine="630"/>
        <w:rPr>
          <w:rFonts w:hint="eastAsia" w:ascii="仿宋" w:hAnsi="仿宋" w:eastAsia="仿宋" w:cs="仿宋"/>
          <w:color w:val="auto"/>
        </w:rPr>
      </w:pPr>
      <w:r>
        <w:rPr>
          <w:rFonts w:hint="eastAsia" w:ascii="仿宋" w:hAnsi="仿宋" w:eastAsia="仿宋" w:cs="仿宋"/>
          <w:color w:val="auto"/>
        </w:rPr>
        <w:t>法定代表人（签字）：</w:t>
      </w:r>
    </w:p>
    <w:p>
      <w:pPr>
        <w:adjustRightInd w:val="0"/>
        <w:snapToGrid w:val="0"/>
        <w:spacing w:line="600" w:lineRule="exact"/>
        <w:ind w:firstLine="630"/>
        <w:rPr>
          <w:rFonts w:hint="eastAsia" w:ascii="仿宋" w:hAnsi="仿宋" w:eastAsia="仿宋" w:cs="仿宋"/>
          <w:color w:val="auto"/>
        </w:rPr>
      </w:pPr>
      <w:r>
        <w:rPr>
          <w:rFonts w:hint="eastAsia" w:ascii="仿宋" w:hAnsi="仿宋" w:eastAsia="仿宋" w:cs="仿宋"/>
          <w:color w:val="auto"/>
        </w:rPr>
        <w:t>本授权有效期为自开标之日起90日历日：</w:t>
      </w:r>
    </w:p>
    <w:p>
      <w:pPr>
        <w:adjustRightInd w:val="0"/>
        <w:snapToGrid w:val="0"/>
        <w:spacing w:line="600" w:lineRule="exact"/>
        <w:ind w:firstLine="3748" w:firstLineChars="1562"/>
        <w:rPr>
          <w:rFonts w:hint="eastAsia" w:ascii="仿宋" w:hAnsi="仿宋" w:eastAsia="仿宋" w:cs="仿宋"/>
          <w:color w:val="auto"/>
        </w:rPr>
      </w:pPr>
    </w:p>
    <w:p>
      <w:pPr>
        <w:spacing w:line="360" w:lineRule="auto"/>
        <w:ind w:firstLine="1668" w:firstLineChars="695"/>
        <w:outlineLvl w:val="9"/>
        <w:rPr>
          <w:rFonts w:hint="eastAsia" w:ascii="仿宋" w:hAnsi="仿宋" w:eastAsia="仿宋" w:cs="仿宋"/>
          <w:color w:val="auto"/>
        </w:rPr>
      </w:pPr>
      <w:r>
        <w:rPr>
          <w:rFonts w:hint="eastAsia" w:ascii="仿宋" w:hAnsi="仿宋" w:eastAsia="仿宋" w:cs="仿宋"/>
          <w:color w:val="auto"/>
        </w:rPr>
        <w:t>年    月     日至     年    月    日</w:t>
      </w:r>
    </w:p>
    <w:p>
      <w:pPr>
        <w:spacing w:line="360" w:lineRule="auto"/>
        <w:ind w:firstLine="1668" w:firstLineChars="695"/>
        <w:outlineLvl w:val="9"/>
        <w:rPr>
          <w:rFonts w:hint="eastAsia" w:ascii="仿宋" w:hAnsi="仿宋" w:eastAsia="仿宋" w:cs="仿宋"/>
          <w:color w:val="auto"/>
        </w:rPr>
      </w:pPr>
    </w:p>
    <w:p>
      <w:pPr>
        <w:jc w:val="both"/>
        <w:rPr>
          <w:rFonts w:hint="eastAsia" w:ascii="仿宋" w:hAnsi="仿宋" w:eastAsia="仿宋" w:cs="仿宋"/>
          <w:b/>
          <w:color w:val="auto"/>
          <w:sz w:val="28"/>
          <w:szCs w:val="28"/>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bCs/>
          <w:color w:val="auto"/>
          <w:sz w:val="28"/>
          <w:szCs w:val="28"/>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无</w:t>
      </w:r>
      <w:r>
        <w:rPr>
          <w:rFonts w:hint="eastAsia" w:ascii="仿宋" w:hAnsi="仿宋" w:eastAsia="仿宋" w:cs="仿宋"/>
          <w:b/>
          <w:bCs/>
          <w:color w:val="auto"/>
          <w:sz w:val="28"/>
          <w:szCs w:val="28"/>
        </w:rPr>
        <w:t>重大违法记录的书面声明</w:t>
      </w:r>
    </w:p>
    <w:p>
      <w:pPr>
        <w:keepNext w:val="0"/>
        <w:keepLines w:val="0"/>
        <w:pageBreakBefore w:val="0"/>
        <w:widowControl/>
        <w:kinsoku/>
        <w:wordWrap/>
        <w:overflowPunct/>
        <w:topLinePunct w:val="0"/>
        <w:autoSpaceDE/>
        <w:autoSpaceDN/>
        <w:bidi w:val="0"/>
        <w:adjustRightInd/>
        <w:snapToGrid/>
        <w:spacing w:line="440" w:lineRule="exact"/>
        <w:jc w:val="left"/>
        <w:textAlignment w:val="auto"/>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致：</w:t>
      </w:r>
      <w:r>
        <w:rPr>
          <w:rFonts w:hint="eastAsia" w:ascii="仿宋" w:hAnsi="仿宋" w:eastAsia="仿宋" w:cs="仿宋"/>
          <w:color w:val="auto"/>
          <w:lang w:eastAsia="zh-CN"/>
        </w:rPr>
        <w:t>平利县</w:t>
      </w:r>
      <w:r>
        <w:rPr>
          <w:rFonts w:hint="eastAsia" w:ascii="仿宋" w:hAnsi="仿宋" w:eastAsia="仿宋" w:cs="仿宋"/>
          <w:color w:val="auto"/>
          <w:lang w:val="en-US" w:eastAsia="zh-CN"/>
        </w:rPr>
        <w:t>职业教育中心</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我方</w:t>
      </w:r>
      <w:r>
        <w:rPr>
          <w:rFonts w:hint="eastAsia" w:ascii="仿宋" w:hAnsi="仿宋" w:eastAsia="仿宋" w:cs="仿宋"/>
          <w:b w:val="0"/>
          <w:bCs w:val="0"/>
          <w:color w:val="auto"/>
          <w:sz w:val="24"/>
          <w:szCs w:val="24"/>
          <w:u w:val="single"/>
        </w:rPr>
        <w:t xml:space="preserve"> （</w:t>
      </w:r>
      <w:r>
        <w:rPr>
          <w:rFonts w:hint="eastAsia" w:ascii="仿宋" w:hAnsi="仿宋" w:eastAsia="仿宋" w:cs="仿宋"/>
          <w:b w:val="0"/>
          <w:bCs w:val="0"/>
          <w:color w:val="auto"/>
          <w:sz w:val="24"/>
          <w:szCs w:val="24"/>
          <w:u w:val="single"/>
          <w:lang w:val="en-US" w:eastAsia="zh-CN"/>
        </w:rPr>
        <w:t>单位</w:t>
      </w:r>
      <w:r>
        <w:rPr>
          <w:rFonts w:hint="eastAsia" w:ascii="仿宋" w:hAnsi="仿宋" w:eastAsia="仿宋" w:cs="仿宋"/>
          <w:b w:val="0"/>
          <w:bCs w:val="0"/>
          <w:color w:val="auto"/>
          <w:sz w:val="24"/>
          <w:szCs w:val="24"/>
          <w:u w:val="single"/>
        </w:rPr>
        <w:t xml:space="preserve">名称） </w:t>
      </w:r>
      <w:r>
        <w:rPr>
          <w:rFonts w:hint="eastAsia" w:ascii="仿宋" w:hAnsi="仿宋" w:eastAsia="仿宋" w:cs="仿宋"/>
          <w:b w:val="0"/>
          <w:bCs w:val="0"/>
          <w:color w:val="auto"/>
          <w:sz w:val="24"/>
          <w:szCs w:val="24"/>
        </w:rPr>
        <w:t xml:space="preserve">参加 </w:t>
      </w:r>
      <w:r>
        <w:rPr>
          <w:rFonts w:hint="eastAsia" w:ascii="仿宋" w:hAnsi="仿宋" w:eastAsia="仿宋" w:cs="仿宋"/>
          <w:b w:val="0"/>
          <w:bCs w:val="0"/>
          <w:color w:val="auto"/>
          <w:sz w:val="24"/>
          <w:szCs w:val="24"/>
          <w:u w:val="single"/>
        </w:rPr>
        <w:t xml:space="preserve">（项目名称） </w:t>
      </w:r>
      <w:r>
        <w:rPr>
          <w:rFonts w:hint="eastAsia" w:ascii="仿宋" w:hAnsi="仿宋" w:eastAsia="仿宋" w:cs="仿宋"/>
          <w:b w:val="0"/>
          <w:bCs w:val="0"/>
          <w:color w:val="auto"/>
          <w:sz w:val="24"/>
          <w:szCs w:val="24"/>
          <w:lang w:val="en-US" w:eastAsia="zh-CN"/>
        </w:rPr>
        <w:t>的采购活动</w:t>
      </w:r>
      <w:r>
        <w:rPr>
          <w:rFonts w:hint="eastAsia" w:ascii="仿宋" w:hAnsi="仿宋" w:eastAsia="仿宋" w:cs="仿宋"/>
          <w:b w:val="0"/>
          <w:bCs w:val="0"/>
          <w:color w:val="auto"/>
          <w:sz w:val="24"/>
          <w:szCs w:val="24"/>
        </w:rPr>
        <w:t>，在此郑重声明：我方参加本次政府采购活动前三年内，在经营活动中没有重大违法记录。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特此声明，如有不实，我方愿承担由此带来的一切法律责任。</w:t>
      </w: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3600" w:firstLineChars="1500"/>
        <w:rPr>
          <w:rFonts w:hint="eastAsia" w:ascii="仿宋" w:hAnsi="仿宋" w:eastAsia="仿宋" w:cs="仿宋"/>
          <w:color w:val="auto"/>
          <w:u w:val="single"/>
        </w:rPr>
      </w:pPr>
      <w:r>
        <w:rPr>
          <w:rFonts w:hint="eastAsia" w:ascii="仿宋" w:hAnsi="仿宋" w:eastAsia="仿宋" w:cs="仿宋"/>
          <w:color w:val="auto"/>
        </w:rPr>
        <w:t>供应商（公章）：</w:t>
      </w:r>
    </w:p>
    <w:p>
      <w:pPr>
        <w:spacing w:line="480" w:lineRule="auto"/>
        <w:rPr>
          <w:rFonts w:hint="eastAsia" w:ascii="仿宋" w:hAnsi="仿宋" w:eastAsia="仿宋" w:cs="仿宋"/>
          <w:color w:val="auto"/>
        </w:rPr>
      </w:pPr>
    </w:p>
    <w:p>
      <w:pPr>
        <w:spacing w:line="480" w:lineRule="auto"/>
        <w:ind w:firstLine="3480" w:firstLineChars="1450"/>
        <w:rPr>
          <w:rFonts w:hint="eastAsia" w:ascii="仿宋" w:hAnsi="仿宋" w:eastAsia="仿宋" w:cs="仿宋"/>
          <w:color w:val="auto"/>
        </w:rPr>
      </w:pPr>
      <w:r>
        <w:rPr>
          <w:rFonts w:hint="eastAsia" w:ascii="仿宋" w:hAnsi="仿宋" w:eastAsia="仿宋" w:cs="仿宋"/>
          <w:color w:val="auto"/>
        </w:rPr>
        <w:t xml:space="preserve"> 法定代表人或授权代表（签字或盖章）：</w:t>
      </w:r>
    </w:p>
    <w:p>
      <w:pPr>
        <w:spacing w:line="480" w:lineRule="auto"/>
        <w:rPr>
          <w:rFonts w:hint="eastAsia" w:ascii="仿宋" w:hAnsi="仿宋" w:eastAsia="仿宋" w:cs="仿宋"/>
          <w:color w:val="auto"/>
        </w:rPr>
      </w:pPr>
    </w:p>
    <w:p>
      <w:pPr>
        <w:spacing w:line="360" w:lineRule="auto"/>
        <w:ind w:firstLine="1668" w:firstLineChars="695"/>
        <w:outlineLvl w:val="9"/>
        <w:rPr>
          <w:rFonts w:hint="eastAsia" w:ascii="仿宋" w:hAnsi="仿宋" w:eastAsia="仿宋" w:cs="仿宋"/>
          <w:b/>
          <w:color w:val="auto"/>
          <w:sz w:val="28"/>
          <w:szCs w:val="28"/>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 日期：    年    月   日</w:t>
      </w:r>
    </w:p>
    <w:p>
      <w:pPr>
        <w:rPr>
          <w:rFonts w:hint="eastAsia" w:ascii="仿宋" w:hAnsi="仿宋" w:eastAsia="仿宋" w:cs="仿宋"/>
          <w:b/>
          <w:bCs/>
          <w:color w:val="auto"/>
          <w:sz w:val="28"/>
          <w:szCs w:val="28"/>
        </w:rPr>
      </w:pPr>
    </w:p>
    <w:p>
      <w:pPr>
        <w:pStyle w:val="2"/>
        <w:rPr>
          <w:rFonts w:hint="eastAsia" w:ascii="仿宋" w:hAnsi="仿宋" w:eastAsia="仿宋" w:cs="仿宋"/>
          <w:b/>
          <w:bCs/>
          <w:color w:val="auto"/>
          <w:sz w:val="28"/>
          <w:szCs w:val="28"/>
        </w:rPr>
      </w:pPr>
    </w:p>
    <w:p>
      <w:pPr>
        <w:pStyle w:val="2"/>
        <w:rPr>
          <w:rFonts w:hint="eastAsia" w:ascii="仿宋" w:hAnsi="仿宋" w:eastAsia="仿宋" w:cs="仿宋"/>
          <w:b/>
          <w:bCs/>
          <w:color w:val="auto"/>
          <w:sz w:val="28"/>
          <w:szCs w:val="28"/>
        </w:rPr>
      </w:pP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pPr>
        <w:bidi w:val="0"/>
        <w:jc w:val="center"/>
        <w:outlineLvl w:val="9"/>
        <w:rPr>
          <w:rFonts w:hint="eastAsia" w:ascii="仿宋" w:hAnsi="仿宋" w:eastAsia="仿宋" w:cs="仿宋"/>
          <w:b/>
          <w:bCs/>
          <w:color w:val="auto"/>
          <w:sz w:val="28"/>
          <w:szCs w:val="28"/>
        </w:rPr>
      </w:pPr>
      <w:r>
        <w:rPr>
          <w:rFonts w:hint="eastAsia" w:ascii="仿宋" w:hAnsi="仿宋" w:eastAsia="仿宋" w:cs="仿宋"/>
          <w:b/>
          <w:bCs/>
          <w:color w:val="auto"/>
          <w:sz w:val="28"/>
          <w:szCs w:val="28"/>
        </w:rPr>
        <w:t>非联合体投标声明</w:t>
      </w: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lang w:eastAsia="zh-CN"/>
        </w:rPr>
      </w:pPr>
      <w:r>
        <w:rPr>
          <w:rFonts w:hint="eastAsia" w:ascii="仿宋" w:hAnsi="仿宋" w:eastAsia="仿宋" w:cs="仿宋"/>
          <w:color w:val="auto"/>
        </w:rPr>
        <w:t>致：</w:t>
      </w:r>
      <w:r>
        <w:rPr>
          <w:rFonts w:hint="eastAsia" w:ascii="仿宋" w:hAnsi="仿宋" w:eastAsia="仿宋" w:cs="仿宋"/>
          <w:color w:val="auto"/>
          <w:lang w:eastAsia="zh-CN"/>
        </w:rPr>
        <w:t>平利县</w:t>
      </w:r>
      <w:r>
        <w:rPr>
          <w:rFonts w:hint="eastAsia" w:ascii="仿宋" w:hAnsi="仿宋" w:eastAsia="仿宋" w:cs="仿宋"/>
          <w:color w:val="auto"/>
          <w:lang w:val="en-US" w:eastAsia="zh-CN"/>
        </w:rPr>
        <w:t>职业教育中心</w:t>
      </w:r>
    </w:p>
    <w:p>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rPr>
      </w:pPr>
      <w:r>
        <w:rPr>
          <w:rFonts w:hint="eastAsia" w:ascii="仿宋" w:hAnsi="仿宋" w:eastAsia="仿宋" w:cs="仿宋"/>
          <w:color w:val="auto"/>
        </w:rPr>
        <w:t xml:space="preserve">    我单位</w:t>
      </w:r>
      <w:r>
        <w:rPr>
          <w:rFonts w:hint="eastAsia" w:ascii="仿宋" w:hAnsi="仿宋" w:eastAsia="仿宋" w:cs="仿宋"/>
          <w:color w:val="auto"/>
          <w:u w:val="single"/>
        </w:rPr>
        <w:t xml:space="preserve">       （单位名称）           </w:t>
      </w:r>
      <w:r>
        <w:rPr>
          <w:rFonts w:hint="eastAsia" w:ascii="仿宋" w:hAnsi="仿宋" w:eastAsia="仿宋" w:cs="仿宋"/>
          <w:color w:val="auto"/>
        </w:rPr>
        <w:t>参加本次项目</w:t>
      </w:r>
      <w:r>
        <w:rPr>
          <w:rFonts w:hint="eastAsia" w:ascii="仿宋" w:hAnsi="仿宋" w:eastAsia="仿宋" w:cs="仿宋"/>
          <w:color w:val="auto"/>
          <w:u w:val="single"/>
        </w:rPr>
        <w:t xml:space="preserve">    （项目名称）    </w:t>
      </w:r>
      <w:r>
        <w:rPr>
          <w:rFonts w:hint="eastAsia" w:ascii="仿宋" w:hAnsi="仿宋" w:eastAsia="仿宋" w:cs="仿宋"/>
          <w:color w:val="auto"/>
        </w:rPr>
        <w:t>的采购活动，非联合体投标。</w:t>
      </w: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r>
        <w:rPr>
          <w:rFonts w:hint="eastAsia" w:ascii="仿宋" w:hAnsi="仿宋" w:eastAsia="仿宋" w:cs="仿宋"/>
          <w:color w:val="auto"/>
        </w:rPr>
        <w:t xml:space="preserve">                     特此声明！</w:t>
      </w: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u w:val="single"/>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供应商（公章）：</w:t>
      </w:r>
    </w:p>
    <w:p>
      <w:pPr>
        <w:spacing w:line="480" w:lineRule="auto"/>
        <w:rPr>
          <w:rFonts w:hint="eastAsia" w:ascii="仿宋" w:hAnsi="仿宋" w:eastAsia="仿宋" w:cs="仿宋"/>
          <w:color w:val="auto"/>
        </w:rPr>
      </w:pPr>
    </w:p>
    <w:p>
      <w:pPr>
        <w:spacing w:line="480" w:lineRule="auto"/>
        <w:ind w:firstLine="2280" w:firstLineChars="950"/>
        <w:rPr>
          <w:rFonts w:hint="eastAsia"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法定代表人或授权代表（签字或盖章）：</w:t>
      </w:r>
    </w:p>
    <w:p>
      <w:pPr>
        <w:spacing w:line="480" w:lineRule="auto"/>
        <w:rPr>
          <w:rFonts w:hint="eastAsia" w:ascii="仿宋" w:hAnsi="仿宋" w:eastAsia="仿宋" w:cs="仿宋"/>
          <w:color w:val="auto"/>
        </w:rPr>
      </w:pPr>
    </w:p>
    <w:p>
      <w:pPr>
        <w:spacing w:line="360" w:lineRule="auto"/>
        <w:ind w:firstLine="1668" w:firstLineChars="695"/>
        <w:outlineLvl w:val="9"/>
        <w:rPr>
          <w:rFonts w:hint="eastAsia" w:ascii="仿宋" w:hAnsi="仿宋" w:eastAsia="仿宋" w:cs="仿宋"/>
          <w:b/>
          <w:color w:val="auto"/>
          <w:sz w:val="28"/>
          <w:szCs w:val="28"/>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日期：    年    月   日</w:t>
      </w:r>
    </w:p>
    <w:p>
      <w:pPr>
        <w:spacing w:line="360" w:lineRule="auto"/>
        <w:ind w:firstLine="1954" w:firstLineChars="695"/>
        <w:outlineLvl w:val="9"/>
        <w:rPr>
          <w:rFonts w:hint="eastAsia" w:ascii="仿宋" w:hAnsi="仿宋" w:eastAsia="仿宋" w:cs="仿宋"/>
          <w:b/>
          <w:color w:val="auto"/>
          <w:sz w:val="28"/>
          <w:szCs w:val="28"/>
        </w:rPr>
      </w:pPr>
    </w:p>
    <w:p>
      <w:pPr>
        <w:spacing w:line="360" w:lineRule="auto"/>
        <w:ind w:firstLine="1954" w:firstLineChars="695"/>
        <w:outlineLvl w:val="9"/>
        <w:rPr>
          <w:rFonts w:hint="eastAsia" w:ascii="仿宋" w:hAnsi="仿宋" w:eastAsia="仿宋" w:cs="仿宋"/>
          <w:b/>
          <w:color w:val="auto"/>
          <w:sz w:val="28"/>
          <w:szCs w:val="28"/>
        </w:rPr>
      </w:pPr>
    </w:p>
    <w:p>
      <w:pPr>
        <w:spacing w:line="660" w:lineRule="exact"/>
        <w:jc w:val="center"/>
        <w:rPr>
          <w:rFonts w:hint="eastAsia" w:ascii="仿宋" w:hAnsi="仿宋" w:eastAsia="仿宋" w:cs="仿宋"/>
          <w:b/>
          <w:color w:val="auto"/>
          <w:sz w:val="32"/>
        </w:rPr>
      </w:pPr>
    </w:p>
    <w:p>
      <w:pPr>
        <w:spacing w:line="660" w:lineRule="exact"/>
        <w:jc w:val="center"/>
        <w:rPr>
          <w:rFonts w:hint="eastAsia" w:ascii="仿宋" w:hAnsi="仿宋" w:eastAsia="仿宋" w:cs="仿宋"/>
          <w:b/>
          <w:color w:val="auto"/>
          <w:sz w:val="32"/>
        </w:rPr>
      </w:pPr>
    </w:p>
    <w:p>
      <w:pPr>
        <w:spacing w:line="660" w:lineRule="exact"/>
        <w:jc w:val="center"/>
        <w:rPr>
          <w:rFonts w:hint="eastAsia" w:ascii="仿宋" w:hAnsi="仿宋" w:eastAsia="仿宋" w:cs="仿宋"/>
          <w:b/>
          <w:color w:val="auto"/>
          <w:sz w:val="32"/>
        </w:rPr>
      </w:pPr>
    </w:p>
    <w:p>
      <w:pPr>
        <w:pStyle w:val="2"/>
        <w:ind w:left="0" w:leftChars="0" w:firstLine="0" w:firstLineChars="0"/>
        <w:jc w:val="center"/>
        <w:rPr>
          <w:rFonts w:hint="eastAsia" w:ascii="仿宋" w:hAnsi="仿宋" w:eastAsia="仿宋" w:cs="仿宋"/>
          <w:b/>
          <w:bCs/>
          <w:color w:val="auto"/>
          <w:sz w:val="28"/>
          <w:szCs w:val="36"/>
        </w:rPr>
      </w:pPr>
    </w:p>
    <w:p>
      <w:pPr>
        <w:pStyle w:val="2"/>
        <w:ind w:left="0" w:leftChars="0" w:firstLine="0" w:firstLineChars="0"/>
        <w:jc w:val="center"/>
        <w:rPr>
          <w:rFonts w:hint="eastAsia" w:ascii="仿宋" w:hAnsi="仿宋" w:eastAsia="仿宋" w:cs="仿宋"/>
          <w:b/>
          <w:bCs/>
          <w:color w:val="auto"/>
          <w:sz w:val="28"/>
          <w:szCs w:val="36"/>
        </w:rPr>
      </w:pPr>
      <w:r>
        <w:rPr>
          <w:rFonts w:hint="eastAsia" w:ascii="仿宋" w:hAnsi="仿宋" w:eastAsia="仿宋" w:cs="仿宋"/>
          <w:b/>
          <w:bCs/>
          <w:color w:val="auto"/>
          <w:sz w:val="28"/>
          <w:szCs w:val="36"/>
        </w:rPr>
        <w:t>中小企业声明函</w:t>
      </w:r>
    </w:p>
    <w:p>
      <w:pPr>
        <w:pStyle w:val="2"/>
        <w:keepNext w:val="0"/>
        <w:keepLines w:val="0"/>
        <w:pageBreakBefore w:val="0"/>
        <w:widowControl/>
        <w:kinsoku/>
        <w:wordWrap/>
        <w:overflowPunct/>
        <w:topLinePunct w:val="0"/>
        <w:autoSpaceDE/>
        <w:autoSpaceDN/>
        <w:bidi w:val="0"/>
        <w:adjustRightInd/>
        <w:snapToGrid/>
        <w:spacing w:line="440" w:lineRule="atLeas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本公司（联合体）郑重声明，根据《政府采购促进中小企业发展管理办法》（财库﹝ 2020﹞46 号）的规定，本公司（联合体）参加（</w:t>
      </w:r>
      <w:r>
        <w:rPr>
          <w:rFonts w:hint="eastAsia" w:ascii="仿宋" w:hAnsi="仿宋" w:eastAsia="仿宋" w:cs="仿宋"/>
          <w:color w:val="auto"/>
          <w:sz w:val="24"/>
          <w:szCs w:val="24"/>
          <w:u w:val="single"/>
        </w:rPr>
        <w:t>单位名称</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项目名称</w:t>
      </w:r>
      <w:r>
        <w:rPr>
          <w:rFonts w:hint="eastAsia" w:ascii="仿宋" w:hAnsi="仿宋" w:eastAsia="仿宋" w:cs="仿宋"/>
          <w:color w:val="auto"/>
          <w:sz w:val="24"/>
          <w:szCs w:val="24"/>
        </w:rPr>
        <w:t>）采购活动，工程的施工单位全部为符合政策要求的中小企业（或者：服务全部由符合政策要求的中小企业承接）。相关企业（ 含联合体中的中小企业、 签订分包意向协议的中小企业） 的具体情况如下：</w:t>
      </w:r>
    </w:p>
    <w:p>
      <w:pPr>
        <w:pStyle w:val="2"/>
        <w:keepNext w:val="0"/>
        <w:keepLines w:val="0"/>
        <w:pageBreakBefore w:val="0"/>
        <w:widowControl/>
        <w:kinsoku/>
        <w:wordWrap/>
        <w:overflowPunct/>
        <w:topLinePunct w:val="0"/>
        <w:autoSpaceDE/>
        <w:autoSpaceDN/>
        <w:bidi w:val="0"/>
        <w:adjustRightInd/>
        <w:snapToGrid/>
        <w:spacing w:line="440" w:lineRule="atLeas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u w:val="single"/>
        </w:rPr>
        <w:t>标的名称</w:t>
      </w:r>
      <w:r>
        <w:rPr>
          <w:rFonts w:hint="eastAsia" w:ascii="仿宋" w:hAnsi="仿宋" w:eastAsia="仿宋" w:cs="仿宋"/>
          <w:color w:val="auto"/>
          <w:sz w:val="24"/>
          <w:szCs w:val="24"/>
        </w:rPr>
        <w:t>），属于（</w:t>
      </w:r>
      <w:r>
        <w:rPr>
          <w:rFonts w:hint="eastAsia" w:ascii="仿宋" w:hAnsi="仿宋" w:eastAsia="仿宋" w:cs="仿宋"/>
          <w:color w:val="auto"/>
          <w:sz w:val="24"/>
          <w:szCs w:val="24"/>
          <w:u w:val="single"/>
        </w:rPr>
        <w:t>采购文件中明确的所属行业</w:t>
      </w:r>
      <w:r>
        <w:rPr>
          <w:rFonts w:hint="eastAsia" w:ascii="仿宋" w:hAnsi="仿宋" w:eastAsia="仿宋" w:cs="仿宋"/>
          <w:color w:val="auto"/>
          <w:sz w:val="24"/>
          <w:szCs w:val="24"/>
        </w:rPr>
        <w:t>）；承建（承接）企业为（</w:t>
      </w:r>
      <w:r>
        <w:rPr>
          <w:rFonts w:hint="eastAsia" w:ascii="仿宋" w:hAnsi="仿宋" w:eastAsia="仿宋" w:cs="仿宋"/>
          <w:color w:val="auto"/>
          <w:sz w:val="24"/>
          <w:szCs w:val="24"/>
          <w:u w:val="single"/>
        </w:rPr>
        <w:t>企业名称</w:t>
      </w:r>
      <w:r>
        <w:rPr>
          <w:rFonts w:hint="eastAsia" w:ascii="仿宋" w:hAnsi="仿宋" w:eastAsia="仿宋" w:cs="仿宋"/>
          <w:color w:val="auto"/>
          <w:sz w:val="24"/>
          <w:szCs w:val="24"/>
        </w:rPr>
        <w:t>），从业人员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万元</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属于（中型企业、小型企业、微型企业）；</w:t>
      </w:r>
    </w:p>
    <w:p>
      <w:pPr>
        <w:pStyle w:val="2"/>
        <w:keepNext w:val="0"/>
        <w:keepLines w:val="0"/>
        <w:pageBreakBefore w:val="0"/>
        <w:widowControl/>
        <w:kinsoku/>
        <w:wordWrap/>
        <w:overflowPunct/>
        <w:topLinePunct w:val="0"/>
        <w:autoSpaceDE/>
        <w:autoSpaceDN/>
        <w:bidi w:val="0"/>
        <w:adjustRightInd/>
        <w:snapToGrid/>
        <w:spacing w:line="440" w:lineRule="atLeas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 （</w:t>
      </w:r>
      <w:r>
        <w:rPr>
          <w:rFonts w:hint="eastAsia" w:ascii="仿宋" w:hAnsi="仿宋" w:eastAsia="仿宋" w:cs="仿宋"/>
          <w:color w:val="auto"/>
          <w:sz w:val="24"/>
          <w:szCs w:val="24"/>
          <w:u w:val="single"/>
        </w:rPr>
        <w:t>标的名称</w:t>
      </w:r>
      <w:r>
        <w:rPr>
          <w:rFonts w:hint="eastAsia" w:ascii="仿宋" w:hAnsi="仿宋" w:eastAsia="仿宋" w:cs="仿宋"/>
          <w:color w:val="auto"/>
          <w:sz w:val="24"/>
          <w:szCs w:val="24"/>
        </w:rPr>
        <w:t>），属于（</w:t>
      </w:r>
      <w:r>
        <w:rPr>
          <w:rFonts w:hint="eastAsia" w:ascii="仿宋" w:hAnsi="仿宋" w:eastAsia="仿宋" w:cs="仿宋"/>
          <w:color w:val="auto"/>
          <w:sz w:val="24"/>
          <w:szCs w:val="24"/>
          <w:u w:val="single"/>
        </w:rPr>
        <w:t>采购文件中明确的所属行业</w:t>
      </w:r>
      <w:r>
        <w:rPr>
          <w:rFonts w:hint="eastAsia" w:ascii="仿宋" w:hAnsi="仿宋" w:eastAsia="仿宋" w:cs="仿宋"/>
          <w:color w:val="auto"/>
          <w:sz w:val="24"/>
          <w:szCs w:val="24"/>
        </w:rPr>
        <w:t>）；承建（承接）企业为（</w:t>
      </w:r>
      <w:r>
        <w:rPr>
          <w:rFonts w:hint="eastAsia" w:ascii="仿宋" w:hAnsi="仿宋" w:eastAsia="仿宋" w:cs="仿宋"/>
          <w:color w:val="auto"/>
          <w:sz w:val="24"/>
          <w:szCs w:val="24"/>
          <w:u w:val="single"/>
        </w:rPr>
        <w:t>企业名称</w:t>
      </w:r>
      <w:r>
        <w:rPr>
          <w:rFonts w:hint="eastAsia" w:ascii="仿宋" w:hAnsi="仿宋" w:eastAsia="仿宋" w:cs="仿宋"/>
          <w:color w:val="auto"/>
          <w:sz w:val="24"/>
          <w:szCs w:val="24"/>
        </w:rPr>
        <w:t>），从业人员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万元</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属于（中型企业、小型企业、微型企业）；</w:t>
      </w:r>
    </w:p>
    <w:p>
      <w:pPr>
        <w:pStyle w:val="2"/>
        <w:keepNext w:val="0"/>
        <w:keepLines w:val="0"/>
        <w:pageBreakBefore w:val="0"/>
        <w:widowControl/>
        <w:kinsoku/>
        <w:wordWrap/>
        <w:overflowPunct/>
        <w:topLinePunct w:val="0"/>
        <w:autoSpaceDE/>
        <w:autoSpaceDN/>
        <w:bidi w:val="0"/>
        <w:adjustRightInd/>
        <w:snapToGrid/>
        <w:spacing w:line="440" w:lineRule="atLeas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w:t>
      </w:r>
    </w:p>
    <w:p>
      <w:pPr>
        <w:pStyle w:val="2"/>
        <w:keepNext w:val="0"/>
        <w:keepLines w:val="0"/>
        <w:pageBreakBefore w:val="0"/>
        <w:widowControl/>
        <w:kinsoku/>
        <w:wordWrap/>
        <w:overflowPunct/>
        <w:topLinePunct w:val="0"/>
        <w:autoSpaceDE/>
        <w:autoSpaceDN/>
        <w:bidi w:val="0"/>
        <w:adjustRightInd/>
        <w:snapToGrid/>
        <w:spacing w:line="440" w:lineRule="atLeas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以上企业，不属于大企业的分支机构，不存在控股股东为大企业的情形，也不存在与大企业的负责人为同一人的情形。</w:t>
      </w:r>
    </w:p>
    <w:p>
      <w:pPr>
        <w:pStyle w:val="2"/>
        <w:keepNext w:val="0"/>
        <w:keepLines w:val="0"/>
        <w:pageBreakBefore w:val="0"/>
        <w:widowControl/>
        <w:kinsoku/>
        <w:wordWrap/>
        <w:overflowPunct/>
        <w:topLinePunct w:val="0"/>
        <w:autoSpaceDE/>
        <w:autoSpaceDN/>
        <w:bidi w:val="0"/>
        <w:adjustRightInd/>
        <w:snapToGrid/>
        <w:spacing w:line="440" w:lineRule="atLeas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本企业对上述声明内容的真实性</w:t>
      </w:r>
      <w:r>
        <w:rPr>
          <w:rFonts w:hint="eastAsia" w:ascii="仿宋" w:hAnsi="仿宋" w:eastAsia="仿宋" w:cs="仿宋"/>
          <w:color w:val="auto"/>
          <w:sz w:val="24"/>
          <w:szCs w:val="24"/>
          <w:lang w:eastAsia="zh-CN"/>
        </w:rPr>
        <w:t>负</w:t>
      </w:r>
      <w:r>
        <w:rPr>
          <w:rFonts w:hint="eastAsia" w:ascii="仿宋" w:hAnsi="仿宋" w:eastAsia="仿宋" w:cs="仿宋"/>
          <w:color w:val="auto"/>
          <w:sz w:val="24"/>
          <w:szCs w:val="24"/>
        </w:rPr>
        <w:t>责。如有虚假，将依法承担相应责任。</w:t>
      </w:r>
    </w:p>
    <w:p>
      <w:pPr>
        <w:pStyle w:val="2"/>
        <w:jc w:val="right"/>
        <w:rPr>
          <w:rFonts w:hint="eastAsia" w:ascii="仿宋" w:hAnsi="仿宋" w:eastAsia="仿宋" w:cs="仿宋"/>
          <w:color w:val="auto"/>
          <w:sz w:val="24"/>
          <w:szCs w:val="24"/>
        </w:rPr>
      </w:pPr>
    </w:p>
    <w:p>
      <w:pPr>
        <w:pStyle w:val="2"/>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单位</w:t>
      </w:r>
      <w:r>
        <w:rPr>
          <w:rFonts w:hint="eastAsia" w:ascii="仿宋" w:hAnsi="仿宋" w:eastAsia="仿宋" w:cs="仿宋"/>
          <w:color w:val="auto"/>
          <w:sz w:val="24"/>
          <w:szCs w:val="24"/>
        </w:rPr>
        <w:t>名称（盖章）：</w:t>
      </w:r>
    </w:p>
    <w:p>
      <w:pPr>
        <w:pStyle w:val="2"/>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p>
    <w:p>
      <w:pPr>
        <w:pStyle w:val="2"/>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日 期：</w:t>
      </w:r>
      <w:r>
        <w:rPr>
          <w:rFonts w:hint="eastAsia" w:ascii="仿宋" w:hAnsi="仿宋" w:eastAsia="仿宋" w:cs="仿宋"/>
          <w:color w:val="auto"/>
          <w:sz w:val="24"/>
          <w:szCs w:val="24"/>
          <w:lang w:val="en-US" w:eastAsia="zh-CN"/>
        </w:rPr>
        <w:t xml:space="preserve">   </w:t>
      </w:r>
    </w:p>
    <w:p>
      <w:pPr>
        <w:bidi w:val="0"/>
        <w:jc w:val="center"/>
        <w:outlineLvl w:val="9"/>
        <w:rPr>
          <w:rFonts w:hint="eastAsia" w:ascii="仿宋" w:hAnsi="仿宋" w:eastAsia="仿宋" w:cs="仿宋"/>
          <w:b/>
          <w:bCs/>
          <w:color w:val="auto"/>
          <w:sz w:val="28"/>
          <w:szCs w:val="28"/>
        </w:rPr>
      </w:pPr>
    </w:p>
    <w:p>
      <w:pPr>
        <w:pStyle w:val="2"/>
        <w:rPr>
          <w:rFonts w:hint="eastAsia" w:ascii="仿宋" w:hAnsi="仿宋" w:eastAsia="仿宋" w:cs="仿宋"/>
          <w:b/>
          <w:bCs/>
          <w:color w:val="auto"/>
          <w:sz w:val="28"/>
          <w:szCs w:val="28"/>
        </w:rPr>
      </w:pPr>
    </w:p>
    <w:p>
      <w:pPr>
        <w:pStyle w:val="2"/>
        <w:rPr>
          <w:rFonts w:hint="eastAsia" w:ascii="仿宋" w:hAnsi="仿宋" w:eastAsia="仿宋" w:cs="仿宋"/>
          <w:b/>
          <w:bCs/>
          <w:color w:val="auto"/>
          <w:sz w:val="28"/>
          <w:szCs w:val="28"/>
        </w:rPr>
      </w:pPr>
    </w:p>
    <w:p>
      <w:pPr>
        <w:bidi w:val="0"/>
        <w:jc w:val="left"/>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注：从业人员、营业收入、资产总额填报上一年度数据，无上一年度数据的新成立企业可不填报。</w:t>
      </w:r>
    </w:p>
    <w:p>
      <w:pPr>
        <w:bidi w:val="0"/>
        <w:jc w:val="center"/>
        <w:outlineLvl w:val="9"/>
        <w:rPr>
          <w:rFonts w:hint="eastAsia" w:ascii="仿宋" w:hAnsi="仿宋" w:eastAsia="仿宋" w:cs="仿宋"/>
          <w:b/>
          <w:bCs/>
          <w:color w:val="auto"/>
          <w:sz w:val="28"/>
          <w:szCs w:val="28"/>
        </w:rPr>
      </w:pPr>
    </w:p>
    <w:p>
      <w:pPr>
        <w:bidi w:val="0"/>
        <w:jc w:val="center"/>
        <w:outlineLvl w:val="9"/>
        <w:rPr>
          <w:rFonts w:hint="eastAsia" w:ascii="仿宋" w:hAnsi="仿宋" w:eastAsia="仿宋" w:cs="仿宋"/>
          <w:b/>
          <w:bCs/>
          <w:color w:val="auto"/>
          <w:sz w:val="28"/>
          <w:szCs w:val="28"/>
        </w:rPr>
      </w:pPr>
    </w:p>
    <w:p>
      <w:pPr>
        <w:bidi w:val="0"/>
        <w:jc w:val="center"/>
        <w:outlineLvl w:val="9"/>
        <w:rPr>
          <w:rFonts w:hint="eastAsia" w:ascii="仿宋" w:hAnsi="仿宋" w:eastAsia="仿宋" w:cs="仿宋"/>
          <w:b/>
          <w:bCs/>
          <w:color w:val="auto"/>
          <w:sz w:val="28"/>
          <w:szCs w:val="28"/>
        </w:rPr>
      </w:pPr>
    </w:p>
    <w:p>
      <w:pPr>
        <w:pStyle w:val="2"/>
        <w:rPr>
          <w:rFonts w:hint="eastAsia"/>
        </w:rPr>
      </w:pPr>
    </w:p>
    <w:p>
      <w:pPr>
        <w:bidi w:val="0"/>
        <w:jc w:val="center"/>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第四章  供应商概况</w:t>
      </w:r>
    </w:p>
    <w:p>
      <w:pPr>
        <w:spacing w:line="360" w:lineRule="auto"/>
        <w:outlineLvl w:val="9"/>
        <w:rPr>
          <w:rFonts w:hint="eastAsia" w:ascii="仿宋" w:hAnsi="仿宋" w:eastAsia="仿宋" w:cs="仿宋"/>
          <w:color w:val="auto"/>
          <w:sz w:val="28"/>
          <w:szCs w:val="28"/>
        </w:rPr>
      </w:pPr>
    </w:p>
    <w:p>
      <w:pPr>
        <w:spacing w:line="360" w:lineRule="auto"/>
        <w:outlineLvl w:val="9"/>
        <w:rPr>
          <w:rFonts w:hint="eastAsia" w:ascii="仿宋" w:hAnsi="仿宋" w:eastAsia="仿宋" w:cs="仿宋"/>
          <w:color w:val="auto"/>
          <w:sz w:val="28"/>
          <w:szCs w:val="28"/>
        </w:rPr>
      </w:pPr>
    </w:p>
    <w:p>
      <w:pPr>
        <w:spacing w:line="360" w:lineRule="auto"/>
        <w:outlineLvl w:val="9"/>
        <w:rPr>
          <w:rFonts w:hint="eastAsia" w:ascii="仿宋" w:hAnsi="仿宋" w:eastAsia="仿宋" w:cs="仿宋"/>
          <w:color w:val="auto"/>
          <w:sz w:val="28"/>
          <w:szCs w:val="28"/>
        </w:rPr>
      </w:pPr>
    </w:p>
    <w:p>
      <w:pPr>
        <w:spacing w:line="360" w:lineRule="auto"/>
        <w:outlineLvl w:val="9"/>
        <w:rPr>
          <w:rFonts w:hint="eastAsia" w:ascii="仿宋" w:hAnsi="仿宋" w:eastAsia="仿宋" w:cs="仿宋"/>
          <w:color w:val="auto"/>
          <w:sz w:val="28"/>
          <w:szCs w:val="28"/>
        </w:rPr>
      </w:pPr>
    </w:p>
    <w:p>
      <w:pPr>
        <w:spacing w:line="360" w:lineRule="auto"/>
        <w:outlineLvl w:val="9"/>
        <w:rPr>
          <w:rFonts w:hint="eastAsia" w:ascii="仿宋" w:hAnsi="仿宋" w:eastAsia="仿宋" w:cs="仿宋"/>
          <w:color w:val="auto"/>
          <w:sz w:val="28"/>
          <w:szCs w:val="28"/>
        </w:rPr>
      </w:pPr>
    </w:p>
    <w:p>
      <w:pPr>
        <w:spacing w:line="360" w:lineRule="auto"/>
        <w:outlineLvl w:val="9"/>
        <w:rPr>
          <w:rFonts w:hint="eastAsia" w:ascii="仿宋" w:hAnsi="仿宋" w:eastAsia="仿宋" w:cs="仿宋"/>
          <w:color w:val="auto"/>
          <w:sz w:val="28"/>
          <w:szCs w:val="28"/>
        </w:rPr>
      </w:pPr>
    </w:p>
    <w:p>
      <w:pPr>
        <w:spacing w:line="360" w:lineRule="auto"/>
        <w:outlineLvl w:val="9"/>
        <w:rPr>
          <w:rFonts w:hint="eastAsia" w:ascii="仿宋" w:hAnsi="仿宋" w:eastAsia="仿宋" w:cs="仿宋"/>
          <w:color w:val="auto"/>
          <w:sz w:val="28"/>
          <w:szCs w:val="28"/>
        </w:rPr>
      </w:pPr>
    </w:p>
    <w:p>
      <w:pPr>
        <w:spacing w:line="360" w:lineRule="auto"/>
        <w:outlineLvl w:val="9"/>
        <w:rPr>
          <w:rFonts w:hint="eastAsia" w:ascii="仿宋" w:hAnsi="仿宋" w:eastAsia="仿宋" w:cs="仿宋"/>
          <w:color w:val="auto"/>
          <w:sz w:val="28"/>
          <w:szCs w:val="28"/>
        </w:rPr>
      </w:pPr>
    </w:p>
    <w:p>
      <w:pPr>
        <w:spacing w:line="360" w:lineRule="auto"/>
        <w:outlineLvl w:val="9"/>
        <w:rPr>
          <w:rFonts w:hint="eastAsia" w:ascii="仿宋" w:hAnsi="仿宋" w:eastAsia="仿宋" w:cs="仿宋"/>
          <w:color w:val="auto"/>
          <w:sz w:val="28"/>
          <w:szCs w:val="28"/>
        </w:rPr>
      </w:pPr>
    </w:p>
    <w:p>
      <w:pPr>
        <w:spacing w:line="360" w:lineRule="auto"/>
        <w:outlineLvl w:val="9"/>
        <w:rPr>
          <w:rFonts w:hint="eastAsia" w:ascii="仿宋" w:hAnsi="仿宋" w:eastAsia="仿宋" w:cs="仿宋"/>
          <w:color w:val="auto"/>
          <w:sz w:val="28"/>
          <w:szCs w:val="28"/>
        </w:rPr>
      </w:pPr>
    </w:p>
    <w:p>
      <w:pPr>
        <w:pStyle w:val="16"/>
        <w:outlineLvl w:val="9"/>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pStyle w:val="16"/>
        <w:rPr>
          <w:rFonts w:hint="eastAsia" w:ascii="仿宋" w:hAnsi="仿宋" w:eastAsia="仿宋" w:cs="仿宋"/>
          <w:color w:val="auto"/>
        </w:rPr>
      </w:pPr>
    </w:p>
    <w:p>
      <w:pPr>
        <w:ind w:firstLine="3120" w:firstLineChars="1300"/>
        <w:rPr>
          <w:rFonts w:hint="eastAsia" w:ascii="仿宋" w:hAnsi="仿宋" w:eastAsia="仿宋" w:cs="仿宋"/>
          <w:color w:val="auto"/>
        </w:rPr>
      </w:pPr>
      <w:r>
        <w:rPr>
          <w:rFonts w:hint="eastAsia" w:ascii="仿宋" w:hAnsi="仿宋" w:eastAsia="仿宋" w:cs="仿宋"/>
          <w:color w:val="auto"/>
        </w:rPr>
        <w:t>供应商（公章）：</w:t>
      </w:r>
      <w:r>
        <w:rPr>
          <w:rFonts w:hint="eastAsia" w:ascii="仿宋" w:hAnsi="仿宋" w:eastAsia="仿宋" w:cs="仿宋"/>
          <w:color w:val="auto"/>
          <w:u w:val="single"/>
        </w:rPr>
        <w:t>                                </w:t>
      </w:r>
    </w:p>
    <w:p>
      <w:pPr>
        <w:ind w:firstLine="240" w:firstLineChars="100"/>
        <w:rPr>
          <w:rFonts w:hint="eastAsia" w:ascii="仿宋" w:hAnsi="仿宋" w:eastAsia="仿宋" w:cs="仿宋"/>
          <w:color w:val="auto"/>
        </w:rPr>
      </w:pPr>
    </w:p>
    <w:p>
      <w:pPr>
        <w:ind w:firstLine="240" w:firstLineChars="100"/>
        <w:rPr>
          <w:rFonts w:hint="eastAsia" w:ascii="仿宋" w:hAnsi="仿宋" w:eastAsia="仿宋" w:cs="仿宋"/>
          <w:color w:val="auto"/>
        </w:rPr>
      </w:pPr>
    </w:p>
    <w:p>
      <w:pPr>
        <w:ind w:firstLine="3120" w:firstLineChars="1300"/>
        <w:rPr>
          <w:rFonts w:hint="eastAsia" w:ascii="仿宋" w:hAnsi="仿宋" w:eastAsia="仿宋" w:cs="仿宋"/>
          <w:color w:val="auto"/>
        </w:rPr>
      </w:pPr>
      <w:r>
        <w:rPr>
          <w:rFonts w:hint="eastAsia" w:ascii="仿宋" w:hAnsi="仿宋" w:eastAsia="仿宋" w:cs="仿宋"/>
          <w:color w:val="auto"/>
        </w:rPr>
        <w:t>法定代表人或授权代表（签字或盖章）：</w:t>
      </w:r>
      <w:r>
        <w:rPr>
          <w:rFonts w:hint="eastAsia" w:ascii="仿宋" w:hAnsi="仿宋" w:eastAsia="仿宋" w:cs="仿宋"/>
          <w:color w:val="auto"/>
          <w:u w:val="single"/>
        </w:rPr>
        <w:t>              </w:t>
      </w:r>
    </w:p>
    <w:p>
      <w:pPr>
        <w:rPr>
          <w:rFonts w:hint="eastAsia" w:ascii="仿宋" w:hAnsi="仿宋" w:eastAsia="仿宋" w:cs="仿宋"/>
          <w:color w:val="auto"/>
        </w:rPr>
      </w:pPr>
    </w:p>
    <w:p>
      <w:pPr>
        <w:ind w:firstLine="4480"/>
        <w:rPr>
          <w:rFonts w:hint="eastAsia" w:ascii="仿宋" w:hAnsi="仿宋" w:eastAsia="仿宋" w:cs="仿宋"/>
          <w:color w:val="auto"/>
        </w:rPr>
      </w:pPr>
      <w:r>
        <w:rPr>
          <w:rFonts w:hint="eastAsia" w:ascii="仿宋" w:hAnsi="仿宋" w:eastAsia="仿宋" w:cs="仿宋"/>
          <w:color w:val="auto"/>
        </w:rPr>
        <w:t>　</w:t>
      </w:r>
    </w:p>
    <w:p>
      <w:pPr>
        <w:wordWrap w:val="0"/>
        <w:spacing w:line="520" w:lineRule="exact"/>
        <w:ind w:firstLine="1017" w:firstLineChars="424"/>
        <w:jc w:val="center"/>
        <w:rPr>
          <w:rFonts w:hint="eastAsia" w:ascii="仿宋" w:hAnsi="仿宋" w:eastAsia="仿宋" w:cs="仿宋"/>
          <w:color w:val="auto"/>
        </w:rPr>
      </w:pPr>
      <w:r>
        <w:rPr>
          <w:rFonts w:hint="eastAsia" w:ascii="仿宋" w:hAnsi="仿宋" w:eastAsia="仿宋" w:cs="仿宋"/>
          <w:color w:val="auto"/>
          <w:lang w:val="en-US" w:eastAsia="zh-CN"/>
        </w:rPr>
        <w:t xml:space="preserve">        </w:t>
      </w:r>
      <w:r>
        <w:rPr>
          <w:rFonts w:hint="eastAsia" w:ascii="仿宋" w:hAnsi="仿宋" w:eastAsia="仿宋" w:cs="仿宋"/>
          <w:color w:val="auto"/>
        </w:rPr>
        <w:t>日期：      年    月    日</w:t>
      </w:r>
    </w:p>
    <w:p>
      <w:pPr>
        <w:spacing w:line="360" w:lineRule="auto"/>
        <w:ind w:firstLine="1269" w:firstLineChars="395"/>
        <w:outlineLvl w:val="9"/>
        <w:rPr>
          <w:rFonts w:hint="eastAsia" w:ascii="仿宋" w:hAnsi="仿宋" w:eastAsia="仿宋" w:cs="仿宋"/>
          <w:b/>
          <w:color w:val="auto"/>
          <w:sz w:val="32"/>
          <w:szCs w:val="32"/>
        </w:rPr>
      </w:pPr>
    </w:p>
    <w:p>
      <w:pPr>
        <w:pStyle w:val="16"/>
        <w:outlineLvl w:val="9"/>
        <w:rPr>
          <w:rFonts w:hint="eastAsia" w:ascii="仿宋" w:hAnsi="仿宋" w:eastAsia="仿宋" w:cs="仿宋"/>
          <w:color w:val="auto"/>
        </w:rPr>
      </w:pPr>
    </w:p>
    <w:p>
      <w:pPr>
        <w:spacing w:line="360" w:lineRule="auto"/>
        <w:ind w:firstLine="1269" w:firstLineChars="395"/>
        <w:outlineLvl w:val="9"/>
        <w:rPr>
          <w:rFonts w:hint="eastAsia" w:ascii="仿宋" w:hAnsi="仿宋" w:eastAsia="仿宋" w:cs="仿宋"/>
          <w:b/>
          <w:color w:val="auto"/>
          <w:sz w:val="32"/>
          <w:szCs w:val="32"/>
        </w:rPr>
      </w:pPr>
    </w:p>
    <w:p>
      <w:pPr>
        <w:spacing w:line="600" w:lineRule="exact"/>
        <w:outlineLvl w:val="9"/>
        <w:rPr>
          <w:rFonts w:hint="eastAsia" w:ascii="仿宋" w:hAnsi="仿宋" w:eastAsia="仿宋" w:cs="仿宋"/>
          <w:b/>
          <w:bCs/>
          <w:color w:val="auto"/>
          <w:sz w:val="32"/>
          <w:szCs w:val="32"/>
        </w:rPr>
      </w:pP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pPr>
        <w:bidi w:val="0"/>
        <w:jc w:val="center"/>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第五章  供应商拒绝政府采购领域商业贿赂承诺书（一）</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为响应党中央、国务院关于治理政府采购领域商业贿赂行为的号召，我单位在此庄严承诺：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1、在参与政府采购活动中遵纪守法、诚信经营、公平竞标。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2、不向政府采购人、采购代理机构和政府采购评审专家进行任何形式的商业贿赂以谋取交易机会。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3、不向政府采购代理机构和采购人提供虚假资质文件或采用虚假应标方式参与政府采购市场竞争并谋取中标、成交。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4、不采取“围标、陪标”等商业欺诈手段获得政府采购定单。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5、不采取不正当手段诋毁、排挤其他供应商。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6、不在提供商品和服务时“偷梁换柱、以次充好”损害采购人的合法权益。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7、不与采购人、采购代理机构政府采购评审专家或其它供应商恶意串通，进行质疑和投诉，维护政府采购市场秩序。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8、尊重和接受政府采购监督管理部门的监督和政府采购代理机构招标采购要求，承担因违约行为给采购人造成的损失。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9、不发生其他有悖于政府采购公开、公平、公正和诚信原则的行为。 </w:t>
      </w:r>
    </w:p>
    <w:p>
      <w:pPr>
        <w:keepNext w:val="0"/>
        <w:keepLines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仿宋" w:hAnsi="仿宋" w:eastAsia="仿宋" w:cs="仿宋"/>
          <w:color w:val="auto"/>
        </w:rPr>
      </w:pPr>
      <w:r>
        <w:rPr>
          <w:rFonts w:hint="eastAsia" w:ascii="仿宋" w:hAnsi="仿宋" w:eastAsia="仿宋" w:cs="仿宋"/>
          <w:color w:val="auto"/>
        </w:rPr>
        <w:t>承诺单位：</w:t>
      </w:r>
      <w:r>
        <w:rPr>
          <w:rFonts w:hint="eastAsia" w:ascii="仿宋" w:hAnsi="仿宋" w:eastAsia="仿宋" w:cs="仿宋"/>
          <w:color w:val="auto"/>
          <w:u w:val="single"/>
        </w:rPr>
        <w:t>　　                        　</w:t>
      </w:r>
      <w:r>
        <w:rPr>
          <w:rFonts w:hint="eastAsia" w:ascii="仿宋" w:hAnsi="仿宋" w:eastAsia="仿宋" w:cs="仿宋"/>
          <w:color w:val="auto"/>
        </w:rPr>
        <w:t>（盖章）</w:t>
      </w:r>
    </w:p>
    <w:p>
      <w:pPr>
        <w:keepNext w:val="0"/>
        <w:keepLines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u w:val="single"/>
        </w:rPr>
        <w:t xml:space="preserve">　　　　　     　　　       </w:t>
      </w:r>
      <w:r>
        <w:rPr>
          <w:rFonts w:hint="eastAsia" w:ascii="仿宋" w:hAnsi="仿宋" w:eastAsia="仿宋" w:cs="仿宋"/>
          <w:color w:val="auto"/>
        </w:rPr>
        <w:t>（签字）</w:t>
      </w:r>
    </w:p>
    <w:p>
      <w:pPr>
        <w:keepNext w:val="0"/>
        <w:keepLines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仿宋" w:hAnsi="仿宋" w:eastAsia="仿宋" w:cs="仿宋"/>
          <w:color w:val="auto"/>
          <w:u w:val="single"/>
        </w:rPr>
      </w:pPr>
      <w:r>
        <w:rPr>
          <w:rFonts w:hint="eastAsia" w:ascii="仿宋" w:hAnsi="仿宋" w:eastAsia="仿宋" w:cs="仿宋"/>
          <w:color w:val="auto"/>
        </w:rPr>
        <w:t>地　　址：</w:t>
      </w:r>
      <w:r>
        <w:rPr>
          <w:rFonts w:hint="eastAsia" w:ascii="仿宋" w:hAnsi="仿宋" w:eastAsia="仿宋" w:cs="仿宋"/>
          <w:color w:val="auto"/>
          <w:u w:val="single"/>
        </w:rPr>
        <w:t xml:space="preserve">                              </w:t>
      </w:r>
    </w:p>
    <w:p>
      <w:pPr>
        <w:keepNext w:val="0"/>
        <w:keepLines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仿宋" w:hAnsi="仿宋" w:eastAsia="仿宋" w:cs="仿宋"/>
          <w:color w:val="auto"/>
          <w:u w:val="single"/>
        </w:rPr>
      </w:pPr>
      <w:r>
        <w:rPr>
          <w:rFonts w:hint="eastAsia" w:ascii="仿宋" w:hAnsi="仿宋" w:eastAsia="仿宋" w:cs="仿宋"/>
          <w:color w:val="auto"/>
        </w:rPr>
        <w:t>邮    编：</w:t>
      </w:r>
      <w:r>
        <w:rPr>
          <w:rFonts w:hint="eastAsia" w:ascii="仿宋" w:hAnsi="仿宋" w:eastAsia="仿宋" w:cs="仿宋"/>
          <w:color w:val="auto"/>
          <w:u w:val="single"/>
        </w:rPr>
        <w:t xml:space="preserve">　　                     　　 </w:t>
      </w:r>
    </w:p>
    <w:p>
      <w:pPr>
        <w:keepNext w:val="0"/>
        <w:keepLines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仿宋" w:hAnsi="仿宋" w:eastAsia="仿宋" w:cs="仿宋"/>
          <w:color w:val="auto"/>
          <w:u w:val="single"/>
          <w:lang w:eastAsia="zh-CN"/>
        </w:rPr>
      </w:pPr>
      <w:r>
        <w:rPr>
          <w:rFonts w:hint="eastAsia" w:ascii="仿宋" w:hAnsi="仿宋" w:eastAsia="仿宋" w:cs="仿宋"/>
          <w:color w:val="auto"/>
        </w:rPr>
        <w:t>电　　话：</w:t>
      </w:r>
      <w:r>
        <w:rPr>
          <w:rFonts w:hint="eastAsia" w:ascii="仿宋" w:hAnsi="仿宋" w:eastAsia="仿宋" w:cs="仿宋"/>
          <w:color w:val="auto"/>
          <w:u w:val="single"/>
        </w:rPr>
        <w:t>　　　                　　　　</w:t>
      </w:r>
    </w:p>
    <w:p>
      <w:pPr>
        <w:spacing w:line="520" w:lineRule="exact"/>
        <w:ind w:firstLine="720" w:firstLineChars="300"/>
        <w:rPr>
          <w:rFonts w:hint="eastAsia" w:ascii="仿宋" w:hAnsi="仿宋" w:eastAsia="仿宋" w:cs="仿宋"/>
          <w:color w:val="auto"/>
        </w:rPr>
      </w:pPr>
      <w:r>
        <w:rPr>
          <w:rFonts w:hint="eastAsia" w:ascii="仿宋" w:hAnsi="仿宋" w:eastAsia="仿宋" w:cs="仿宋"/>
          <w:color w:val="auto"/>
        </w:rPr>
        <w:t xml:space="preserve">　　　　                                     年　　月　　日        </w:t>
      </w:r>
    </w:p>
    <w:p>
      <w:pPr>
        <w:spacing w:line="520" w:lineRule="exact"/>
        <w:rPr>
          <w:rFonts w:hint="eastAsia" w:ascii="仿宋" w:hAnsi="仿宋" w:eastAsia="仿宋" w:cs="仿宋"/>
          <w:b/>
          <w:color w:val="auto"/>
        </w:rPr>
      </w:pPr>
    </w:p>
    <w:p>
      <w:pPr>
        <w:spacing w:line="520" w:lineRule="exact"/>
        <w:jc w:val="center"/>
        <w:rPr>
          <w:rFonts w:hint="eastAsia" w:ascii="仿宋" w:hAnsi="仿宋" w:eastAsia="仿宋" w:cs="仿宋"/>
          <w:b/>
          <w:color w:val="auto"/>
        </w:rPr>
      </w:pPr>
    </w:p>
    <w:p>
      <w:pPr>
        <w:spacing w:line="520" w:lineRule="exact"/>
        <w:rPr>
          <w:rFonts w:hint="eastAsia" w:ascii="仿宋" w:hAnsi="仿宋" w:eastAsia="仿宋" w:cs="仿宋"/>
          <w:b/>
          <w:color w:val="auto"/>
        </w:rPr>
      </w:pPr>
    </w:p>
    <w:p>
      <w:pPr>
        <w:spacing w:line="520" w:lineRule="exact"/>
        <w:jc w:val="center"/>
        <w:rPr>
          <w:rFonts w:hint="eastAsia" w:ascii="仿宋" w:hAnsi="仿宋" w:eastAsia="仿宋" w:cs="仿宋"/>
          <w:b/>
          <w:color w:val="auto"/>
        </w:rPr>
      </w:pPr>
    </w:p>
    <w:p>
      <w:pPr>
        <w:spacing w:line="520" w:lineRule="exact"/>
        <w:jc w:val="center"/>
        <w:rPr>
          <w:rFonts w:hint="eastAsia" w:ascii="仿宋" w:hAnsi="仿宋" w:eastAsia="仿宋" w:cs="仿宋"/>
          <w:b/>
          <w:color w:val="auto"/>
        </w:rPr>
      </w:pPr>
    </w:p>
    <w:p>
      <w:pPr>
        <w:spacing w:line="520" w:lineRule="exact"/>
        <w:jc w:val="center"/>
        <w:rPr>
          <w:rFonts w:hint="eastAsia" w:ascii="仿宋" w:hAnsi="仿宋" w:eastAsia="仿宋" w:cs="仿宋"/>
          <w:b/>
          <w:color w:val="auto"/>
        </w:rPr>
      </w:pPr>
    </w:p>
    <w:p>
      <w:pPr>
        <w:spacing w:line="520" w:lineRule="exact"/>
        <w:jc w:val="center"/>
        <w:rPr>
          <w:rFonts w:hint="eastAsia" w:ascii="仿宋" w:hAnsi="仿宋" w:eastAsia="仿宋" w:cs="仿宋"/>
          <w:b/>
          <w:color w:val="auto"/>
        </w:rPr>
      </w:pPr>
    </w:p>
    <w:p>
      <w:pPr>
        <w:spacing w:line="520" w:lineRule="exact"/>
        <w:jc w:val="center"/>
        <w:rPr>
          <w:rFonts w:hint="eastAsia" w:ascii="仿宋" w:hAnsi="仿宋" w:eastAsia="仿宋" w:cs="仿宋"/>
          <w:b/>
          <w:color w:val="auto"/>
        </w:rPr>
      </w:pPr>
      <w:r>
        <w:rPr>
          <w:rFonts w:hint="eastAsia" w:ascii="仿宋" w:hAnsi="仿宋" w:eastAsia="仿宋" w:cs="仿宋"/>
          <w:b/>
          <w:color w:val="auto"/>
        </w:rPr>
        <w:t>承诺书（二）</w:t>
      </w:r>
    </w:p>
    <w:p>
      <w:pPr>
        <w:spacing w:line="520" w:lineRule="exact"/>
        <w:jc w:val="center"/>
        <w:rPr>
          <w:rFonts w:hint="eastAsia" w:ascii="仿宋" w:hAnsi="仿宋" w:eastAsia="仿宋" w:cs="仿宋"/>
          <w:b/>
          <w:color w:val="auto"/>
        </w:rPr>
      </w:pPr>
    </w:p>
    <w:tbl>
      <w:tblPr>
        <w:tblStyle w:val="26"/>
        <w:tblW w:w="8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4"/>
        <w:gridCol w:w="3192"/>
        <w:gridCol w:w="2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8400" w:type="dxa"/>
            <w:gridSpan w:val="3"/>
            <w:vAlign w:val="center"/>
          </w:tcPr>
          <w:p>
            <w:pPr>
              <w:spacing w:line="360" w:lineRule="atLeast"/>
              <w:rPr>
                <w:rFonts w:hint="eastAsia" w:ascii="仿宋" w:hAnsi="仿宋" w:eastAsia="仿宋" w:cs="仿宋"/>
                <w:color w:val="auto"/>
              </w:rPr>
            </w:pPr>
            <w:r>
              <w:rPr>
                <w:rFonts w:hint="eastAsia" w:ascii="仿宋" w:hAnsi="仿宋" w:eastAsia="仿宋" w:cs="仿宋"/>
                <w:color w:val="auto"/>
              </w:rPr>
              <w:t>致：宏泰项目管理有限公司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jc w:val="center"/>
        </w:trPr>
        <w:tc>
          <w:tcPr>
            <w:tcW w:w="8400" w:type="dxa"/>
            <w:gridSpan w:val="3"/>
            <w:vAlign w:val="center"/>
          </w:tcPr>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作为参加贵公司组织的采购项目的供应商，本公司承诺：在参加本项目投标之前不存在被依法禁止经营行为、财产被接管或冻结的情况，如有隐瞒实情，愿承担一切责任及后果。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24"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供应商</w:t>
            </w:r>
          </w:p>
        </w:tc>
        <w:tc>
          <w:tcPr>
            <w:tcW w:w="3192"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法定代表人</w:t>
            </w:r>
          </w:p>
        </w:tc>
        <w:tc>
          <w:tcPr>
            <w:tcW w:w="2184"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0" w:hRule="atLeast"/>
          <w:jc w:val="center"/>
        </w:trPr>
        <w:tc>
          <w:tcPr>
            <w:tcW w:w="3024"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（公章）</w:t>
            </w:r>
          </w:p>
        </w:tc>
        <w:tc>
          <w:tcPr>
            <w:tcW w:w="3192"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（签字或盖章）</w:t>
            </w:r>
          </w:p>
        </w:tc>
        <w:tc>
          <w:tcPr>
            <w:tcW w:w="2184" w:type="dxa"/>
            <w:vAlign w:val="center"/>
          </w:tcPr>
          <w:p>
            <w:pPr>
              <w:spacing w:line="360" w:lineRule="atLeast"/>
              <w:ind w:firstLine="240" w:firstLineChars="100"/>
              <w:jc w:val="center"/>
              <w:rPr>
                <w:rFonts w:hint="eastAsia" w:ascii="仿宋" w:hAnsi="仿宋" w:eastAsia="仿宋" w:cs="仿宋"/>
                <w:color w:val="auto"/>
              </w:rPr>
            </w:pPr>
            <w:r>
              <w:rPr>
                <w:rFonts w:hint="eastAsia" w:ascii="仿宋" w:hAnsi="仿宋" w:eastAsia="仿宋" w:cs="仿宋"/>
                <w:color w:val="auto"/>
              </w:rPr>
              <w:t>年 月 日</w:t>
            </w:r>
          </w:p>
        </w:tc>
      </w:tr>
    </w:tbl>
    <w:p>
      <w:pPr>
        <w:spacing w:line="360" w:lineRule="atLeast"/>
        <w:jc w:val="both"/>
        <w:rPr>
          <w:rFonts w:hint="eastAsia" w:ascii="仿宋" w:hAnsi="仿宋" w:eastAsia="仿宋" w:cs="仿宋"/>
          <w:b/>
          <w:color w:val="auto"/>
        </w:rPr>
      </w:pPr>
    </w:p>
    <w:p>
      <w:pPr>
        <w:spacing w:line="360" w:lineRule="atLeast"/>
        <w:jc w:val="center"/>
        <w:rPr>
          <w:rFonts w:hint="eastAsia" w:ascii="仿宋" w:hAnsi="仿宋" w:eastAsia="仿宋" w:cs="仿宋"/>
          <w:b/>
          <w:color w:val="auto"/>
        </w:rPr>
      </w:pPr>
    </w:p>
    <w:p>
      <w:pPr>
        <w:spacing w:line="360" w:lineRule="atLeast"/>
        <w:jc w:val="center"/>
        <w:rPr>
          <w:rFonts w:hint="eastAsia" w:ascii="仿宋" w:hAnsi="仿宋" w:eastAsia="仿宋" w:cs="仿宋"/>
          <w:b/>
          <w:color w:val="auto"/>
        </w:rPr>
      </w:pPr>
      <w:r>
        <w:rPr>
          <w:rFonts w:hint="eastAsia" w:ascii="仿宋" w:hAnsi="仿宋" w:eastAsia="仿宋" w:cs="仿宋"/>
          <w:b/>
          <w:color w:val="auto"/>
        </w:rPr>
        <w:t>承诺书（三）</w:t>
      </w:r>
    </w:p>
    <w:p>
      <w:pPr>
        <w:spacing w:line="360" w:lineRule="atLeast"/>
        <w:jc w:val="center"/>
        <w:rPr>
          <w:rFonts w:hint="eastAsia" w:ascii="仿宋" w:hAnsi="仿宋" w:eastAsia="仿宋" w:cs="仿宋"/>
          <w:b/>
          <w:color w:val="auto"/>
        </w:rPr>
      </w:pPr>
    </w:p>
    <w:tbl>
      <w:tblPr>
        <w:tblStyle w:val="26"/>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8"/>
        <w:gridCol w:w="3208"/>
        <w:gridCol w:w="21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8440" w:type="dxa"/>
            <w:gridSpan w:val="3"/>
            <w:vAlign w:val="center"/>
          </w:tcPr>
          <w:p>
            <w:pPr>
              <w:spacing w:line="360" w:lineRule="atLeast"/>
              <w:rPr>
                <w:rFonts w:hint="eastAsia" w:ascii="仿宋" w:hAnsi="仿宋" w:eastAsia="仿宋" w:cs="仿宋"/>
                <w:color w:val="auto"/>
              </w:rPr>
            </w:pPr>
            <w:r>
              <w:rPr>
                <w:rFonts w:hint="eastAsia" w:ascii="仿宋" w:hAnsi="仿宋" w:eastAsia="仿宋" w:cs="仿宋"/>
                <w:color w:val="auto"/>
              </w:rPr>
              <w:t>致：宏泰项目管理有限公司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8440" w:type="dxa"/>
            <w:gridSpan w:val="3"/>
            <w:vAlign w:val="center"/>
          </w:tcPr>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作为参加贵公司组织的采购项目的供应商，本公司郑重申告并承诺：近三年受到有关行政主管部门的行政处理、不良行为记录为</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rPr>
              <w:t>次（没有填零），如有隐瞒实情，愿承担一切责任及后果。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3038"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供应商</w:t>
            </w:r>
          </w:p>
        </w:tc>
        <w:tc>
          <w:tcPr>
            <w:tcW w:w="3208"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法定代表人</w:t>
            </w:r>
          </w:p>
        </w:tc>
        <w:tc>
          <w:tcPr>
            <w:tcW w:w="2194"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1" w:hRule="atLeast"/>
          <w:jc w:val="center"/>
        </w:trPr>
        <w:tc>
          <w:tcPr>
            <w:tcW w:w="3038"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（公章）</w:t>
            </w:r>
          </w:p>
        </w:tc>
        <w:tc>
          <w:tcPr>
            <w:tcW w:w="3208"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（签字或盖章）</w:t>
            </w:r>
          </w:p>
        </w:tc>
        <w:tc>
          <w:tcPr>
            <w:tcW w:w="2194" w:type="dxa"/>
            <w:vAlign w:val="center"/>
          </w:tcPr>
          <w:p>
            <w:pPr>
              <w:spacing w:line="360" w:lineRule="atLeast"/>
              <w:ind w:firstLine="240" w:firstLineChars="100"/>
              <w:jc w:val="center"/>
              <w:rPr>
                <w:rFonts w:hint="eastAsia" w:ascii="仿宋" w:hAnsi="仿宋" w:eastAsia="仿宋" w:cs="仿宋"/>
                <w:color w:val="auto"/>
              </w:rPr>
            </w:pPr>
            <w:r>
              <w:rPr>
                <w:rFonts w:hint="eastAsia" w:ascii="仿宋" w:hAnsi="仿宋" w:eastAsia="仿宋" w:cs="仿宋"/>
                <w:color w:val="auto"/>
              </w:rPr>
              <w:t>年 月 日</w:t>
            </w:r>
          </w:p>
        </w:tc>
      </w:tr>
    </w:tbl>
    <w:p>
      <w:pPr>
        <w:spacing w:line="360" w:lineRule="atLeast"/>
        <w:jc w:val="center"/>
        <w:rPr>
          <w:rFonts w:hint="eastAsia" w:ascii="仿宋" w:hAnsi="仿宋" w:eastAsia="仿宋" w:cs="仿宋"/>
          <w:b/>
          <w:color w:val="auto"/>
        </w:rPr>
      </w:pPr>
    </w:p>
    <w:p>
      <w:pPr>
        <w:spacing w:line="360" w:lineRule="atLeast"/>
        <w:jc w:val="center"/>
        <w:rPr>
          <w:rFonts w:hint="eastAsia" w:ascii="仿宋" w:hAnsi="仿宋" w:eastAsia="仿宋" w:cs="仿宋"/>
          <w:b/>
          <w:color w:val="auto"/>
        </w:rPr>
      </w:pPr>
    </w:p>
    <w:p>
      <w:pPr>
        <w:spacing w:line="360" w:lineRule="atLeast"/>
        <w:jc w:val="both"/>
        <w:rPr>
          <w:rFonts w:hint="eastAsia" w:ascii="仿宋" w:hAnsi="仿宋" w:eastAsia="仿宋" w:cs="仿宋"/>
          <w:b/>
          <w:color w:val="auto"/>
        </w:rPr>
      </w:pPr>
    </w:p>
    <w:p>
      <w:pPr>
        <w:spacing w:line="360" w:lineRule="atLeast"/>
        <w:jc w:val="center"/>
        <w:rPr>
          <w:rFonts w:hint="eastAsia" w:ascii="仿宋" w:hAnsi="仿宋" w:eastAsia="仿宋" w:cs="仿宋"/>
          <w:b/>
          <w:color w:val="auto"/>
        </w:rPr>
      </w:pPr>
      <w:r>
        <w:rPr>
          <w:rFonts w:hint="eastAsia" w:ascii="仿宋" w:hAnsi="仿宋" w:eastAsia="仿宋" w:cs="仿宋"/>
          <w:b/>
          <w:color w:val="auto"/>
        </w:rPr>
        <w:t>承诺书（四）</w:t>
      </w:r>
    </w:p>
    <w:p>
      <w:pPr>
        <w:spacing w:line="360" w:lineRule="atLeast"/>
        <w:jc w:val="center"/>
        <w:rPr>
          <w:rFonts w:hint="eastAsia" w:ascii="仿宋" w:hAnsi="仿宋" w:eastAsia="仿宋" w:cs="仿宋"/>
          <w:b/>
          <w:color w:val="auto"/>
        </w:rPr>
      </w:pPr>
    </w:p>
    <w:tbl>
      <w:tblPr>
        <w:tblStyle w:val="26"/>
        <w:tblW w:w="8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1"/>
        <w:gridCol w:w="3146"/>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280" w:type="dxa"/>
            <w:gridSpan w:val="3"/>
            <w:vAlign w:val="center"/>
          </w:tcPr>
          <w:p>
            <w:pPr>
              <w:spacing w:line="360" w:lineRule="atLeast"/>
              <w:rPr>
                <w:rFonts w:hint="eastAsia" w:ascii="仿宋" w:hAnsi="仿宋" w:eastAsia="仿宋" w:cs="仿宋"/>
                <w:color w:val="auto"/>
              </w:rPr>
            </w:pPr>
            <w:r>
              <w:rPr>
                <w:rFonts w:hint="eastAsia" w:ascii="仿宋" w:hAnsi="仿宋" w:eastAsia="仿宋" w:cs="仿宋"/>
                <w:color w:val="auto"/>
              </w:rPr>
              <w:t>致：宏泰项目管理有限公司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8280" w:type="dxa"/>
            <w:gridSpan w:val="3"/>
            <w:vAlign w:val="center"/>
          </w:tcPr>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作为参加贵公司组织的采购项目的供应商，本公司郑重申告：近三年因产品供货问题（水货、替代品、次品、翻新品等）的不法行为记录为</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rPr>
              <w:t>次（没有填零），如有隐瞒实情，愿承担一切责任及后果。</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本公司承诺：本次投标的物为正品行货。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981"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供应商</w:t>
            </w:r>
          </w:p>
        </w:tc>
        <w:tc>
          <w:tcPr>
            <w:tcW w:w="3146"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法定代表人</w:t>
            </w:r>
          </w:p>
        </w:tc>
        <w:tc>
          <w:tcPr>
            <w:tcW w:w="2153"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5" w:hRule="atLeast"/>
          <w:jc w:val="center"/>
        </w:trPr>
        <w:tc>
          <w:tcPr>
            <w:tcW w:w="2981"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（公章）</w:t>
            </w:r>
          </w:p>
        </w:tc>
        <w:tc>
          <w:tcPr>
            <w:tcW w:w="3146"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（签字或盖章）</w:t>
            </w:r>
          </w:p>
        </w:tc>
        <w:tc>
          <w:tcPr>
            <w:tcW w:w="2153" w:type="dxa"/>
            <w:vAlign w:val="center"/>
          </w:tcPr>
          <w:p>
            <w:pPr>
              <w:spacing w:line="360" w:lineRule="atLeast"/>
              <w:ind w:firstLine="240" w:firstLineChars="100"/>
              <w:jc w:val="center"/>
              <w:rPr>
                <w:rFonts w:hint="eastAsia" w:ascii="仿宋" w:hAnsi="仿宋" w:eastAsia="仿宋" w:cs="仿宋"/>
                <w:color w:val="auto"/>
              </w:rPr>
            </w:pPr>
            <w:r>
              <w:rPr>
                <w:rFonts w:hint="eastAsia" w:ascii="仿宋" w:hAnsi="仿宋" w:eastAsia="仿宋" w:cs="仿宋"/>
                <w:color w:val="auto"/>
              </w:rPr>
              <w:t>年 月 日</w:t>
            </w:r>
          </w:p>
        </w:tc>
      </w:tr>
    </w:tbl>
    <w:p>
      <w:pPr>
        <w:spacing w:line="360" w:lineRule="atLeast"/>
        <w:jc w:val="center"/>
        <w:rPr>
          <w:rFonts w:hint="eastAsia" w:ascii="仿宋" w:hAnsi="仿宋" w:eastAsia="仿宋" w:cs="仿宋"/>
          <w:b/>
          <w:color w:val="auto"/>
        </w:rPr>
      </w:pPr>
    </w:p>
    <w:p>
      <w:pPr>
        <w:spacing w:line="360" w:lineRule="atLeast"/>
        <w:jc w:val="both"/>
        <w:rPr>
          <w:rFonts w:hint="eastAsia" w:ascii="仿宋" w:hAnsi="仿宋" w:eastAsia="仿宋" w:cs="仿宋"/>
          <w:b/>
          <w:color w:val="auto"/>
        </w:rPr>
      </w:pPr>
    </w:p>
    <w:p>
      <w:pPr>
        <w:spacing w:line="360" w:lineRule="atLeast"/>
        <w:jc w:val="center"/>
        <w:rPr>
          <w:rFonts w:hint="eastAsia" w:ascii="仿宋" w:hAnsi="仿宋" w:eastAsia="仿宋" w:cs="仿宋"/>
          <w:b/>
          <w:color w:val="auto"/>
        </w:rPr>
      </w:pPr>
      <w:r>
        <w:rPr>
          <w:rFonts w:hint="eastAsia" w:ascii="仿宋" w:hAnsi="仿宋" w:eastAsia="仿宋" w:cs="仿宋"/>
          <w:b/>
          <w:color w:val="auto"/>
        </w:rPr>
        <w:t>承诺书（五）</w:t>
      </w:r>
    </w:p>
    <w:p>
      <w:pPr>
        <w:spacing w:line="360" w:lineRule="atLeast"/>
        <w:jc w:val="center"/>
        <w:rPr>
          <w:rFonts w:hint="eastAsia" w:ascii="仿宋" w:hAnsi="仿宋" w:eastAsia="仿宋" w:cs="仿宋"/>
          <w:b/>
          <w:color w:val="auto"/>
        </w:rPr>
      </w:pPr>
    </w:p>
    <w:tbl>
      <w:tblPr>
        <w:tblStyle w:val="26"/>
        <w:tblW w:w="8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9"/>
        <w:gridCol w:w="3354"/>
        <w:gridCol w:w="2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345" w:type="dxa"/>
            <w:gridSpan w:val="3"/>
            <w:vAlign w:val="center"/>
          </w:tcPr>
          <w:p>
            <w:pPr>
              <w:spacing w:line="360" w:lineRule="atLeast"/>
              <w:rPr>
                <w:rFonts w:hint="eastAsia" w:ascii="仿宋" w:hAnsi="仿宋" w:eastAsia="仿宋" w:cs="仿宋"/>
                <w:color w:val="auto"/>
              </w:rPr>
            </w:pPr>
            <w:r>
              <w:rPr>
                <w:rFonts w:hint="eastAsia" w:ascii="仿宋" w:hAnsi="仿宋" w:eastAsia="仿宋" w:cs="仿宋"/>
                <w:color w:val="auto"/>
              </w:rPr>
              <w:t>致：宏泰项目管理有限公司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8345" w:type="dxa"/>
            <w:gridSpan w:val="3"/>
            <w:vAlign w:val="center"/>
          </w:tcPr>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rPr>
            </w:pPr>
            <w:r>
              <w:rPr>
                <w:rFonts w:hint="eastAsia" w:ascii="仿宋" w:hAnsi="仿宋" w:eastAsia="仿宋" w:cs="仿宋"/>
                <w:color w:val="auto"/>
              </w:rPr>
              <w:t>作为参加贵公司组织的采购项目的供应商，本公司承诺：参加本次招标提交的所有资质证明文件及业绩证明文件是真实的、有效的，如有隐瞒实情，愿承担一切责任及后果。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2979"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供应商</w:t>
            </w:r>
          </w:p>
        </w:tc>
        <w:tc>
          <w:tcPr>
            <w:tcW w:w="3354"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法定代表人</w:t>
            </w:r>
          </w:p>
        </w:tc>
        <w:tc>
          <w:tcPr>
            <w:tcW w:w="2012"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8" w:hRule="atLeast"/>
          <w:jc w:val="center"/>
        </w:trPr>
        <w:tc>
          <w:tcPr>
            <w:tcW w:w="2979"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（公章）</w:t>
            </w:r>
          </w:p>
        </w:tc>
        <w:tc>
          <w:tcPr>
            <w:tcW w:w="3354" w:type="dxa"/>
            <w:vAlign w:val="center"/>
          </w:tcPr>
          <w:p>
            <w:pPr>
              <w:spacing w:line="360" w:lineRule="atLeast"/>
              <w:jc w:val="center"/>
              <w:rPr>
                <w:rFonts w:hint="eastAsia" w:ascii="仿宋" w:hAnsi="仿宋" w:eastAsia="仿宋" w:cs="仿宋"/>
                <w:color w:val="auto"/>
              </w:rPr>
            </w:pPr>
            <w:r>
              <w:rPr>
                <w:rFonts w:hint="eastAsia" w:ascii="仿宋" w:hAnsi="仿宋" w:eastAsia="仿宋" w:cs="仿宋"/>
                <w:color w:val="auto"/>
              </w:rPr>
              <w:t>（签字或盖章）</w:t>
            </w:r>
          </w:p>
        </w:tc>
        <w:tc>
          <w:tcPr>
            <w:tcW w:w="2012" w:type="dxa"/>
            <w:vAlign w:val="center"/>
          </w:tcPr>
          <w:p>
            <w:pPr>
              <w:spacing w:line="360" w:lineRule="atLeast"/>
              <w:ind w:firstLine="240" w:firstLineChars="100"/>
              <w:jc w:val="center"/>
              <w:rPr>
                <w:rFonts w:hint="eastAsia" w:ascii="仿宋" w:hAnsi="仿宋" w:eastAsia="仿宋" w:cs="仿宋"/>
                <w:color w:val="auto"/>
              </w:rPr>
            </w:pPr>
            <w:r>
              <w:rPr>
                <w:rFonts w:hint="eastAsia" w:ascii="仿宋" w:hAnsi="仿宋" w:eastAsia="仿宋" w:cs="仿宋"/>
                <w:color w:val="auto"/>
              </w:rPr>
              <w:t>年 月 日</w:t>
            </w:r>
          </w:p>
        </w:tc>
      </w:tr>
    </w:tbl>
    <w:p>
      <w:pPr>
        <w:spacing w:line="360" w:lineRule="auto"/>
        <w:jc w:val="center"/>
        <w:outlineLvl w:val="9"/>
        <w:rPr>
          <w:rFonts w:hint="eastAsia" w:ascii="仿宋" w:hAnsi="仿宋" w:eastAsia="仿宋" w:cs="仿宋"/>
          <w:b/>
          <w:bCs/>
          <w:color w:val="auto"/>
          <w:sz w:val="30"/>
          <w:szCs w:val="30"/>
        </w:rPr>
      </w:pPr>
    </w:p>
    <w:p>
      <w:pPr>
        <w:spacing w:line="360" w:lineRule="auto"/>
        <w:ind w:firstLine="2093" w:firstLineChars="695"/>
        <w:outlineLvl w:val="9"/>
        <w:rPr>
          <w:rFonts w:hint="eastAsia" w:ascii="仿宋" w:hAnsi="仿宋" w:eastAsia="仿宋" w:cs="仿宋"/>
          <w:b/>
          <w:bCs/>
          <w:color w:val="auto"/>
          <w:sz w:val="30"/>
          <w:szCs w:val="30"/>
        </w:rPr>
      </w:pPr>
    </w:p>
    <w:p>
      <w:pPr>
        <w:bidi w:val="0"/>
        <w:jc w:val="center"/>
        <w:outlineLvl w:val="1"/>
        <w:rPr>
          <w:rFonts w:hint="eastAsia" w:ascii="仿宋" w:hAnsi="仿宋" w:eastAsia="仿宋" w:cs="仿宋"/>
          <w:color w:val="auto"/>
          <w:sz w:val="32"/>
          <w:szCs w:val="32"/>
        </w:rPr>
      </w:pPr>
      <w:r>
        <w:rPr>
          <w:rFonts w:hint="eastAsia" w:ascii="仿宋" w:hAnsi="仿宋" w:eastAsia="仿宋" w:cs="仿宋"/>
          <w:b/>
          <w:color w:val="auto"/>
          <w:sz w:val="28"/>
          <w:szCs w:val="28"/>
        </w:rPr>
        <w:t>第六</w:t>
      </w:r>
      <w:r>
        <w:rPr>
          <w:rFonts w:hint="eastAsia" w:ascii="仿宋" w:hAnsi="仿宋" w:eastAsia="仿宋" w:cs="仿宋"/>
          <w:b/>
          <w:bCs/>
          <w:color w:val="auto"/>
          <w:sz w:val="28"/>
          <w:szCs w:val="28"/>
        </w:rPr>
        <w:t xml:space="preserve">章 </w:t>
      </w:r>
      <w:r>
        <w:rPr>
          <w:rFonts w:hint="eastAsia" w:ascii="仿宋" w:hAnsi="仿宋" w:eastAsia="仿宋" w:cs="仿宋"/>
          <w:b/>
          <w:bCs/>
          <w:color w:val="auto"/>
          <w:sz w:val="28"/>
          <w:szCs w:val="28"/>
          <w:lang w:val="en-US" w:eastAsia="zh-CN"/>
        </w:rPr>
        <w:t xml:space="preserve"> </w:t>
      </w:r>
      <w:r>
        <w:rPr>
          <w:rFonts w:hint="eastAsia" w:ascii="仿宋" w:hAnsi="仿宋" w:eastAsia="仿宋" w:cs="仿宋"/>
          <w:b/>
          <w:bCs/>
          <w:color w:val="auto"/>
          <w:sz w:val="28"/>
          <w:szCs w:val="28"/>
        </w:rPr>
        <w:t>响应方案</w:t>
      </w:r>
    </w:p>
    <w:p>
      <w:pPr>
        <w:spacing w:line="360" w:lineRule="auto"/>
        <w:ind w:firstLine="480" w:firstLineChars="200"/>
        <w:rPr>
          <w:rFonts w:hint="eastAsia" w:ascii="仿宋" w:hAnsi="仿宋" w:eastAsia="仿宋" w:cs="仿宋"/>
          <w:color w:val="auto"/>
        </w:rPr>
      </w:pPr>
    </w:p>
    <w:p>
      <w:pPr>
        <w:spacing w:line="360" w:lineRule="auto"/>
        <w:outlineLvl w:val="9"/>
        <w:rPr>
          <w:rFonts w:hint="eastAsia" w:ascii="仿宋" w:hAnsi="仿宋" w:eastAsia="仿宋" w:cs="仿宋"/>
          <w:b/>
          <w:bCs/>
          <w:color w:val="auto"/>
          <w:sz w:val="44"/>
          <w:szCs w:val="44"/>
        </w:rPr>
      </w:pPr>
      <w:r>
        <w:rPr>
          <w:rFonts w:hint="eastAsia" w:ascii="仿宋" w:hAnsi="仿宋" w:eastAsia="仿宋" w:cs="仿宋"/>
          <w:b/>
          <w:bCs/>
          <w:color w:val="auto"/>
          <w:sz w:val="24"/>
          <w:szCs w:val="24"/>
        </w:rPr>
        <w:t>注：供应商依据本项目实际情况，按竞争性磋商文件打分要求自拟</w:t>
      </w:r>
      <w:r>
        <w:rPr>
          <w:rFonts w:hint="eastAsia" w:ascii="仿宋" w:hAnsi="仿宋" w:eastAsia="仿宋" w:cs="仿宋"/>
          <w:b/>
          <w:bCs/>
          <w:color w:val="auto"/>
          <w:sz w:val="24"/>
          <w:szCs w:val="24"/>
          <w:lang w:eastAsia="zh-CN"/>
        </w:rPr>
        <w:t>。（详见</w:t>
      </w:r>
      <w:r>
        <w:rPr>
          <w:rFonts w:hint="eastAsia" w:ascii="仿宋" w:hAnsi="仿宋" w:eastAsia="仿宋" w:cs="仿宋"/>
          <w:b/>
          <w:bCs/>
          <w:color w:val="auto"/>
          <w:sz w:val="24"/>
          <w:szCs w:val="24"/>
        </w:rPr>
        <w:t>磋商文件的内容及评分细则等并编写</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w:t>
      </w:r>
    </w:p>
    <w:p>
      <w:pPr>
        <w:spacing w:line="360" w:lineRule="auto"/>
        <w:jc w:val="center"/>
        <w:outlineLvl w:val="9"/>
        <w:rPr>
          <w:rFonts w:hint="eastAsia" w:ascii="仿宋" w:hAnsi="仿宋" w:eastAsia="仿宋" w:cs="仿宋"/>
          <w:b/>
          <w:bCs/>
          <w:color w:val="auto"/>
          <w:sz w:val="44"/>
          <w:szCs w:val="44"/>
        </w:rPr>
      </w:pPr>
    </w:p>
    <w:p>
      <w:pPr>
        <w:spacing w:line="360" w:lineRule="auto"/>
        <w:jc w:val="center"/>
        <w:outlineLvl w:val="9"/>
        <w:rPr>
          <w:rFonts w:hint="eastAsia" w:ascii="仿宋" w:hAnsi="仿宋" w:eastAsia="仿宋" w:cs="仿宋"/>
          <w:b/>
          <w:bCs/>
          <w:color w:val="auto"/>
          <w:sz w:val="44"/>
          <w:szCs w:val="44"/>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spacing w:line="600" w:lineRule="exact"/>
        <w:jc w:val="center"/>
        <w:outlineLvl w:val="9"/>
        <w:rPr>
          <w:rFonts w:hint="eastAsia" w:ascii="仿宋" w:hAnsi="仿宋" w:eastAsia="仿宋" w:cs="仿宋"/>
          <w:b/>
          <w:bCs/>
          <w:color w:val="auto"/>
          <w:sz w:val="28"/>
          <w:szCs w:val="28"/>
        </w:rPr>
      </w:pPr>
    </w:p>
    <w:p>
      <w:pPr>
        <w:spacing w:line="600" w:lineRule="exact"/>
        <w:jc w:val="center"/>
        <w:outlineLvl w:val="9"/>
        <w:rPr>
          <w:rFonts w:hint="eastAsia" w:ascii="仿宋" w:hAnsi="仿宋" w:eastAsia="仿宋" w:cs="仿宋"/>
          <w:b/>
          <w:bCs/>
          <w:color w:val="auto"/>
          <w:sz w:val="28"/>
          <w:szCs w:val="28"/>
        </w:rPr>
      </w:pPr>
    </w:p>
    <w:p>
      <w:pPr>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br w:type="page"/>
      </w:r>
    </w:p>
    <w:p>
      <w:pPr>
        <w:bidi w:val="0"/>
        <w:jc w:val="center"/>
        <w:outlineLvl w:val="1"/>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第七章</w:t>
      </w:r>
      <w:r>
        <w:rPr>
          <w:rFonts w:hint="eastAsia" w:ascii="仿宋" w:hAnsi="仿宋" w:eastAsia="仿宋" w:cs="仿宋"/>
          <w:b/>
          <w:bCs/>
          <w:color w:val="auto"/>
          <w:sz w:val="28"/>
          <w:szCs w:val="28"/>
          <w:lang w:val="en-US" w:eastAsia="zh-CN"/>
        </w:rPr>
        <w:t xml:space="preserve">  项目业绩一览表</w:t>
      </w:r>
      <w:r>
        <w:rPr>
          <w:rFonts w:hint="eastAsia" w:ascii="仿宋" w:hAnsi="仿宋" w:eastAsia="仿宋" w:cs="仿宋"/>
          <w:b/>
          <w:bCs/>
          <w:color w:val="auto"/>
          <w:sz w:val="24"/>
          <w:szCs w:val="24"/>
          <w:lang w:val="en-US" w:eastAsia="zh-CN"/>
        </w:rPr>
        <w:t>（如有）</w:t>
      </w:r>
      <w:r>
        <w:rPr>
          <w:rFonts w:hint="eastAsia" w:ascii="仿宋" w:hAnsi="仿宋" w:eastAsia="仿宋" w:cs="仿宋"/>
          <w:b/>
          <w:bCs/>
          <w:color w:val="auto"/>
          <w:sz w:val="28"/>
          <w:szCs w:val="28"/>
          <w:lang w:val="en-US" w:eastAsia="zh-CN"/>
        </w:rPr>
        <w:t xml:space="preserve"> </w:t>
      </w:r>
    </w:p>
    <w:p>
      <w:pPr>
        <w:bidi w:val="0"/>
        <w:jc w:val="center"/>
        <w:outlineLvl w:val="9"/>
        <w:rPr>
          <w:rFonts w:hint="eastAsia" w:ascii="仿宋" w:hAnsi="仿宋" w:eastAsia="仿宋" w:cs="仿宋"/>
          <w:b/>
          <w:bCs/>
          <w:color w:val="auto"/>
          <w:sz w:val="28"/>
          <w:szCs w:val="28"/>
        </w:rPr>
      </w:pP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54" w:type="dxa"/>
          <w:bottom w:w="0" w:type="dxa"/>
          <w:right w:w="54" w:type="dxa"/>
        </w:tblCellMar>
      </w:tblPr>
      <w:tblGrid>
        <w:gridCol w:w="556"/>
        <w:gridCol w:w="1974"/>
        <w:gridCol w:w="1282"/>
        <w:gridCol w:w="1555"/>
        <w:gridCol w:w="1410"/>
        <w:gridCol w:w="1199"/>
        <w:gridCol w:w="120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57" w:hRule="atLeast"/>
          <w:jc w:val="center"/>
        </w:trPr>
        <w:tc>
          <w:tcPr>
            <w:tcW w:w="303" w:type="pct"/>
            <w:tcBorders>
              <w:top w:val="single" w:color="auto" w:sz="4"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1075" w:type="pct"/>
            <w:tcBorders>
              <w:top w:val="single" w:color="auto" w:sz="4" w:space="0"/>
              <w:left w:val="single" w:color="auto" w:sz="6" w:space="0"/>
              <w:bottom w:val="single" w:color="auto" w:sz="6" w:space="0"/>
              <w:right w:val="single" w:color="auto" w:sz="6" w:space="0"/>
            </w:tcBorders>
            <w:noWrap w:val="0"/>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合同名称</w:t>
            </w:r>
          </w:p>
        </w:tc>
        <w:tc>
          <w:tcPr>
            <w:tcW w:w="698" w:type="pct"/>
            <w:tcBorders>
              <w:top w:val="single" w:color="auto" w:sz="4" w:space="0"/>
              <w:left w:val="single" w:color="auto" w:sz="6" w:space="0"/>
              <w:bottom w:val="single" w:color="auto" w:sz="6" w:space="0"/>
              <w:right w:val="single" w:color="auto" w:sz="6" w:space="0"/>
            </w:tcBorders>
            <w:noWrap w:val="0"/>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合同内容</w:t>
            </w:r>
          </w:p>
        </w:tc>
        <w:tc>
          <w:tcPr>
            <w:tcW w:w="847" w:type="pct"/>
            <w:tcBorders>
              <w:top w:val="single" w:color="auto" w:sz="4" w:space="0"/>
              <w:left w:val="single" w:color="auto" w:sz="6" w:space="0"/>
              <w:bottom w:val="single" w:color="auto" w:sz="6" w:space="0"/>
              <w:right w:val="single" w:color="auto" w:sz="6" w:space="0"/>
            </w:tcBorders>
            <w:noWrap w:val="0"/>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rPr>
              <w:t>合同金额</w:t>
            </w:r>
            <w:r>
              <w:rPr>
                <w:rFonts w:hint="eastAsia" w:ascii="仿宋" w:hAnsi="仿宋" w:eastAsia="仿宋" w:cs="仿宋"/>
                <w:color w:val="auto"/>
                <w:sz w:val="24"/>
                <w:lang w:eastAsia="zh-CN"/>
              </w:rPr>
              <w:t>（元）</w:t>
            </w:r>
          </w:p>
        </w:tc>
        <w:tc>
          <w:tcPr>
            <w:tcW w:w="768" w:type="pct"/>
            <w:tcBorders>
              <w:top w:val="single" w:color="auto" w:sz="4"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r>
              <w:rPr>
                <w:rFonts w:hint="eastAsia" w:ascii="仿宋" w:hAnsi="仿宋" w:eastAsia="仿宋" w:cs="仿宋"/>
                <w:color w:val="auto"/>
                <w:sz w:val="24"/>
              </w:rPr>
              <w:t>合同签约日期</w:t>
            </w:r>
          </w:p>
        </w:tc>
        <w:tc>
          <w:tcPr>
            <w:tcW w:w="653" w:type="pct"/>
            <w:tcBorders>
              <w:top w:val="single" w:color="auto" w:sz="4" w:space="0"/>
              <w:left w:val="single" w:color="auto" w:sz="4" w:space="0"/>
              <w:bottom w:val="single" w:color="auto" w:sz="6" w:space="0"/>
              <w:right w:val="single" w:color="auto" w:sz="4" w:space="0"/>
            </w:tcBorders>
            <w:noWrap w:val="0"/>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竣工日期</w:t>
            </w:r>
          </w:p>
        </w:tc>
        <w:tc>
          <w:tcPr>
            <w:tcW w:w="653" w:type="pct"/>
            <w:tcBorders>
              <w:top w:val="single" w:color="auto" w:sz="4" w:space="0"/>
              <w:left w:val="single" w:color="auto" w:sz="4" w:space="0"/>
              <w:bottom w:val="single" w:color="auto" w:sz="6" w:space="0"/>
              <w:right w:val="single" w:color="auto" w:sz="4" w:space="0"/>
            </w:tcBorders>
            <w:noWrap w:val="0"/>
            <w:vAlign w:val="center"/>
          </w:tcPr>
          <w:p>
            <w:pPr>
              <w:jc w:val="center"/>
              <w:rPr>
                <w:rFonts w:hint="eastAsia" w:ascii="仿宋" w:hAnsi="仿宋" w:eastAsia="仿宋" w:cs="仿宋"/>
                <w:color w:val="auto"/>
                <w:sz w:val="24"/>
              </w:rPr>
            </w:pPr>
            <w:r>
              <w:rPr>
                <w:rFonts w:hint="eastAsia" w:ascii="仿宋" w:hAnsi="仿宋" w:eastAsia="仿宋" w:cs="仿宋"/>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bl>
    <w:p>
      <w:pPr>
        <w:bidi w:val="0"/>
        <w:jc w:val="center"/>
        <w:outlineLvl w:val="9"/>
        <w:rPr>
          <w:rFonts w:hint="eastAsia" w:ascii="仿宋" w:hAnsi="仿宋" w:eastAsia="仿宋" w:cs="仿宋"/>
          <w:b/>
          <w:bCs/>
          <w:color w:val="auto"/>
          <w:sz w:val="28"/>
          <w:szCs w:val="28"/>
        </w:rPr>
      </w:pPr>
    </w:p>
    <w:p>
      <w:pPr>
        <w:pStyle w:val="2"/>
        <w:rPr>
          <w:rFonts w:hint="eastAsia" w:ascii="仿宋" w:hAnsi="仿宋" w:eastAsia="仿宋" w:cs="仿宋"/>
          <w:b/>
          <w:bCs/>
          <w:color w:val="auto"/>
          <w:sz w:val="28"/>
          <w:szCs w:val="28"/>
        </w:rPr>
      </w:pPr>
    </w:p>
    <w:p>
      <w:pPr>
        <w:spacing w:line="360" w:lineRule="auto"/>
        <w:jc w:val="left"/>
        <w:outlineLvl w:val="9"/>
        <w:rPr>
          <w:rFonts w:hint="eastAsia" w:ascii="仿宋" w:hAnsi="仿宋" w:eastAsia="仿宋" w:cs="仿宋"/>
          <w:b/>
          <w:bCs/>
          <w:color w:val="auto"/>
          <w:sz w:val="44"/>
          <w:szCs w:val="44"/>
        </w:rPr>
      </w:pPr>
      <w:r>
        <w:rPr>
          <w:rFonts w:hint="eastAsia" w:ascii="仿宋" w:hAnsi="仿宋" w:eastAsia="仿宋" w:cs="仿宋"/>
          <w:b/>
          <w:bCs/>
          <w:color w:val="auto"/>
          <w:sz w:val="24"/>
          <w:szCs w:val="24"/>
        </w:rPr>
        <w:t>注：投标人应填写“项目业绩一览表”，并附上符合评分标准要求的业绩证明材料复印件。</w:t>
      </w:r>
    </w:p>
    <w:p>
      <w:pPr>
        <w:spacing w:line="360" w:lineRule="auto"/>
        <w:jc w:val="center"/>
        <w:outlineLvl w:val="9"/>
        <w:rPr>
          <w:rFonts w:hint="eastAsia" w:ascii="仿宋" w:hAnsi="仿宋" w:eastAsia="仿宋" w:cs="仿宋"/>
          <w:b/>
          <w:bCs/>
          <w:color w:val="auto"/>
          <w:sz w:val="44"/>
          <w:szCs w:val="44"/>
        </w:rPr>
      </w:pPr>
    </w:p>
    <w:p>
      <w:pPr>
        <w:rPr>
          <w:rFonts w:hint="eastAsia" w:ascii="仿宋" w:hAnsi="仿宋" w:eastAsia="仿宋" w:cs="仿宋"/>
          <w:color w:val="auto"/>
          <w:sz w:val="28"/>
          <w:szCs w:val="28"/>
        </w:rPr>
      </w:pPr>
    </w:p>
    <w:p>
      <w:pPr>
        <w:ind w:firstLine="4320" w:firstLineChars="1800"/>
        <w:rPr>
          <w:rFonts w:hint="eastAsia" w:ascii="仿宋" w:hAnsi="仿宋" w:eastAsia="仿宋" w:cs="仿宋"/>
          <w:color w:val="auto"/>
          <w:sz w:val="24"/>
        </w:rPr>
      </w:pPr>
      <w:r>
        <w:rPr>
          <w:rFonts w:hint="eastAsia" w:ascii="仿宋" w:hAnsi="仿宋" w:eastAsia="仿宋" w:cs="仿宋"/>
          <w:color w:val="auto"/>
          <w:sz w:val="24"/>
        </w:rPr>
        <w:t>供应商（公章）：</w:t>
      </w:r>
    </w:p>
    <w:p>
      <w:pPr>
        <w:rPr>
          <w:rFonts w:hint="eastAsia" w:ascii="仿宋" w:hAnsi="仿宋" w:eastAsia="仿宋" w:cs="仿宋"/>
          <w:color w:val="auto"/>
          <w:sz w:val="24"/>
        </w:rPr>
      </w:pPr>
    </w:p>
    <w:p>
      <w:pPr>
        <w:rPr>
          <w:rFonts w:hint="eastAsia" w:ascii="仿宋" w:hAnsi="仿宋" w:eastAsia="仿宋" w:cs="仿宋"/>
          <w:color w:val="auto"/>
          <w:sz w:val="24"/>
        </w:rPr>
      </w:pPr>
      <w:r>
        <w:rPr>
          <w:rFonts w:hint="eastAsia" w:ascii="仿宋" w:hAnsi="仿宋" w:eastAsia="仿宋" w:cs="仿宋"/>
          <w:color w:val="auto"/>
          <w:sz w:val="24"/>
        </w:rPr>
        <w:t xml:space="preserve">              </w:t>
      </w:r>
    </w:p>
    <w:p>
      <w:pPr>
        <w:ind w:firstLine="4320" w:firstLineChars="1800"/>
        <w:rPr>
          <w:rFonts w:hint="eastAsia" w:ascii="仿宋" w:hAnsi="仿宋" w:eastAsia="仿宋" w:cs="仿宋"/>
          <w:color w:val="auto"/>
          <w:sz w:val="24"/>
        </w:rPr>
      </w:pPr>
      <w:r>
        <w:rPr>
          <w:rFonts w:hint="eastAsia" w:ascii="仿宋" w:hAnsi="仿宋" w:eastAsia="仿宋" w:cs="仿宋"/>
          <w:color w:val="auto"/>
          <w:sz w:val="24"/>
        </w:rPr>
        <w:t>法定代表人或授权</w:t>
      </w:r>
      <w:r>
        <w:rPr>
          <w:rFonts w:hint="eastAsia" w:ascii="仿宋" w:hAnsi="仿宋" w:eastAsia="仿宋" w:cs="仿宋"/>
          <w:color w:val="auto"/>
          <w:sz w:val="24"/>
          <w:lang w:eastAsia="zh-CN"/>
        </w:rPr>
        <w:t>代表</w:t>
      </w:r>
      <w:r>
        <w:rPr>
          <w:rFonts w:hint="eastAsia" w:ascii="仿宋" w:hAnsi="仿宋" w:eastAsia="仿宋" w:cs="仿宋"/>
          <w:color w:val="auto"/>
          <w:sz w:val="24"/>
        </w:rPr>
        <w:t>（签字或盖章）：</w:t>
      </w:r>
    </w:p>
    <w:p>
      <w:pPr>
        <w:pStyle w:val="2"/>
        <w:rPr>
          <w:rFonts w:hint="eastAsia" w:ascii="仿宋" w:hAnsi="仿宋" w:eastAsia="仿宋" w:cs="仿宋"/>
          <w:b/>
          <w:bCs/>
          <w:color w:val="auto"/>
          <w:sz w:val="28"/>
          <w:szCs w:val="28"/>
        </w:rPr>
      </w:pPr>
    </w:p>
    <w:p>
      <w:pPr>
        <w:bidi w:val="0"/>
        <w:jc w:val="center"/>
        <w:outlineLvl w:val="9"/>
        <w:rPr>
          <w:rFonts w:hint="eastAsia" w:ascii="仿宋" w:hAnsi="仿宋" w:eastAsia="仿宋" w:cs="仿宋"/>
          <w:b/>
          <w:bCs/>
          <w:color w:val="auto"/>
          <w:sz w:val="28"/>
          <w:szCs w:val="28"/>
        </w:rPr>
      </w:pPr>
    </w:p>
    <w:p>
      <w:pPr>
        <w:bidi w:val="0"/>
        <w:jc w:val="center"/>
        <w:outlineLvl w:val="9"/>
        <w:rPr>
          <w:rFonts w:hint="eastAsia" w:ascii="仿宋" w:hAnsi="仿宋" w:eastAsia="仿宋" w:cs="仿宋"/>
          <w:b/>
          <w:bCs/>
          <w:color w:val="auto"/>
          <w:sz w:val="28"/>
          <w:szCs w:val="28"/>
        </w:rPr>
      </w:pPr>
    </w:p>
    <w:p>
      <w:pPr>
        <w:bidi w:val="0"/>
        <w:jc w:val="center"/>
        <w:outlineLvl w:val="9"/>
        <w:rPr>
          <w:rFonts w:hint="eastAsia" w:ascii="仿宋" w:hAnsi="仿宋" w:eastAsia="仿宋" w:cs="仿宋"/>
          <w:b/>
          <w:bCs/>
          <w:color w:val="auto"/>
          <w:sz w:val="28"/>
          <w:szCs w:val="28"/>
        </w:rPr>
      </w:pPr>
    </w:p>
    <w:p>
      <w:pPr>
        <w:bidi w:val="0"/>
        <w:jc w:val="center"/>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第</w:t>
      </w:r>
      <w:r>
        <w:rPr>
          <w:rFonts w:hint="eastAsia" w:ascii="仿宋" w:hAnsi="仿宋" w:eastAsia="仿宋" w:cs="仿宋"/>
          <w:b/>
          <w:bCs/>
          <w:color w:val="auto"/>
          <w:sz w:val="28"/>
          <w:szCs w:val="28"/>
          <w:lang w:eastAsia="zh-CN"/>
        </w:rPr>
        <w:t>八</w:t>
      </w:r>
      <w:r>
        <w:rPr>
          <w:rFonts w:hint="eastAsia" w:ascii="仿宋" w:hAnsi="仿宋" w:eastAsia="仿宋" w:cs="仿宋"/>
          <w:b/>
          <w:bCs/>
          <w:color w:val="auto"/>
          <w:sz w:val="28"/>
          <w:szCs w:val="28"/>
        </w:rPr>
        <w:t>章  已标价工程量清单</w:t>
      </w:r>
    </w:p>
    <w:p>
      <w:pPr>
        <w:pStyle w:val="16"/>
        <w:ind w:firstLine="480"/>
        <w:rPr>
          <w:rFonts w:hint="eastAsia" w:ascii="仿宋" w:hAnsi="仿宋" w:eastAsia="仿宋" w:cs="仿宋"/>
          <w:color w:val="auto"/>
        </w:rPr>
      </w:pPr>
      <w:r>
        <w:rPr>
          <w:rFonts w:hint="eastAsia" w:ascii="仿宋" w:hAnsi="仿宋" w:eastAsia="仿宋" w:cs="仿宋"/>
          <w:color w:val="auto"/>
          <w:sz w:val="24"/>
        </w:rPr>
        <w:t>投标人应该按照 “工程量清单”的要求逐项填报工程量清单，不得擅自更改，与清单不符一律视为无效投标。</w:t>
      </w:r>
    </w:p>
    <w:sectPr>
      <w:pgSz w:w="11906" w:h="16838"/>
      <w:pgMar w:top="1440" w:right="1417" w:bottom="1440"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Arial Unicode MS">
    <w:panose1 w:val="020B0604020202020204"/>
    <w:charset w:val="86"/>
    <w:family w:val="swiss"/>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single" w:color="auto" w:sz="4" w:space="0"/>
      </w:pBdr>
      <w:rPr>
        <w:rStyle w:val="30"/>
        <w:rFonts w:hint="default" w:ascii="Times New Roman" w:hAnsi="Times New Roman"/>
        <w:i/>
        <w:lang w:val="en-US"/>
      </w:rPr>
    </w:pPr>
    <w:r>
      <w:rPr>
        <w:sz w:val="18"/>
      </w:rPr>
      <w:pict>
        <v:shape id="_x0000_s3078" o:spid="_x0000_s3078"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14"/>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w:r>
    <w:r>
      <w:rPr>
        <w:rStyle w:val="30"/>
        <w:rFonts w:hint="eastAsia"/>
        <w:i/>
      </w:rPr>
      <w:t xml:space="preserve">宏泰项目管理有限公司                                              </w:t>
    </w:r>
    <w:r>
      <w:rPr>
        <w:rStyle w:val="30"/>
        <w:rFonts w:hint="eastAsia"/>
        <w:i/>
        <w:lang w:val="en-US" w:eastAsia="zh-CN"/>
      </w:rPr>
      <w:t xml:space="preserve">   </w:t>
    </w:r>
    <w:r>
      <w:rPr>
        <w:rStyle w:val="30"/>
        <w:rFonts w:hint="eastAsia" w:ascii="Times New Roman" w:hAnsi="Times New Roman"/>
        <w:i/>
      </w:rPr>
      <w:t>平利县城关镇</w:t>
    </w:r>
    <w:r>
      <w:rPr>
        <w:rStyle w:val="30"/>
        <w:rFonts w:hint="eastAsia" w:ascii="Times New Roman" w:hAnsi="Times New Roman"/>
        <w:i/>
      </w:rPr>
      <w:pict>
        <v:shape id="_x0000_s3079" o:spid="_x0000_s3079" o:spt="202" type="#_x0000_t202" style="position:absolute;left:0pt;margin-top:0pt;height:10.85pt;width:4.55pt;mso-position-horizontal:center;mso-position-horizontal-relative:margin;mso-wrap-style:none;z-index:251661312;mso-width-relative:page;mso-height-relative:page;" filled="f" stroked="f" coordsize="21600,21600" o:gfxdata="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ibC6IdAAAAACAQAADwAAAAAAAAABACAAAAAiAAAAZHJz&#10;L2Rvd25yZXYueG1sUEsBAhQAFAAAAAgAh07iQGzvgPfTAQAApQMAAA4AAAAAAAAAAQAgAAAAHwEA&#10;AGRycy9lMm9Eb2MueG1sUEsFBgAAAAAGAAYAWQEAAGQFAAAAAA==&#10;">
          <v:path/>
          <v:fill on="f" focussize="0,0"/>
          <v:stroke on="f" joinstyle="miter"/>
          <v:imagedata o:title=""/>
          <o:lock v:ext="edit"/>
          <v:textbox inset="0mm,0mm,0mm,0mm" style="mso-fit-shape-to-text:t;">
            <w:txbxContent>
              <w:p>
                <w:pPr>
                  <w:pStyle w:val="14"/>
                  <w:pBdr>
                    <w:top w:val="single" w:color="auto" w:sz="4" w:space="0"/>
                  </w:pBdr>
                  <w:adjustRightInd w:val="0"/>
                  <w:jc w:val="both"/>
                </w:pPr>
              </w:p>
            </w:txbxContent>
          </v:textbox>
        </v:shape>
      </w:pict>
    </w:r>
    <w:r>
      <w:rPr>
        <w:rStyle w:val="30"/>
        <w:rFonts w:hint="eastAsia" w:ascii="Times New Roman" w:hAnsi="Times New Roman"/>
        <w:i/>
        <w:lang w:eastAsia="zh-CN"/>
      </w:rPr>
      <w:t>莲花巷</w:t>
    </w:r>
    <w:r>
      <w:rPr>
        <w:rStyle w:val="30"/>
        <w:rFonts w:hint="eastAsia" w:ascii="Times New Roman" w:hAnsi="Times New Roman"/>
        <w:i/>
        <w:lang w:val="en-US" w:eastAsia="zh-CN"/>
      </w:rPr>
      <w:t>19号</w:t>
    </w:r>
  </w:p>
  <w:p>
    <w:pPr>
      <w:pStyle w:val="14"/>
      <w:rPr>
        <w:rFonts w:hint="default"/>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single" w:color="auto" w:sz="4" w:space="0"/>
      </w:pBdr>
      <w:rPr>
        <w:rStyle w:val="30"/>
        <w:rFonts w:hint="default" w:ascii="Times New Roman" w:hAnsi="Times New Roman"/>
        <w:i/>
        <w:lang w:val="en-US"/>
      </w:rPr>
    </w:pPr>
    <w:r>
      <w:rPr>
        <w:sz w:val="18"/>
      </w:rPr>
      <w:pict>
        <v:shape id="_x0000_s3077" o:spid="_x0000_s307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4"/>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w:r>
    <w:r>
      <w:rPr>
        <w:rStyle w:val="30"/>
        <w:rFonts w:hint="eastAsia"/>
        <w:i/>
      </w:rPr>
      <w:t xml:space="preserve">宏泰项目管理有限公司                                              </w:t>
    </w:r>
    <w:r>
      <w:rPr>
        <w:rStyle w:val="30"/>
        <w:rFonts w:hint="eastAsia"/>
        <w:i/>
        <w:lang w:val="en-US" w:eastAsia="zh-CN"/>
      </w:rPr>
      <w:t xml:space="preserve">   </w:t>
    </w:r>
    <w:r>
      <w:rPr>
        <w:rStyle w:val="30"/>
        <w:rFonts w:hint="eastAsia" w:ascii="Times New Roman" w:hAnsi="Times New Roman"/>
        <w:i/>
      </w:rPr>
      <w:t>平利县城关镇</w:t>
    </w:r>
    <w:r>
      <w:rPr>
        <w:rStyle w:val="30"/>
        <w:rFonts w:hint="eastAsia" w:ascii="Times New Roman" w:hAnsi="Times New Roman"/>
        <w:i/>
      </w:rPr>
      <w:pict>
        <v:shape id="文本框 13" o:spid="_x0000_s3073" o:spt="202" type="#_x0000_t202" style="position:absolute;left:0pt;margin-top:0pt;height:10.85pt;width:4.55pt;mso-position-horizontal:center;mso-position-horizontal-relative:margin;mso-wrap-style:none;z-index:251659264;mso-width-relative:page;mso-height-relative:page;" filled="f" stroked="f" coordsize="21600,21600" o:gfxdata="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ibC6IdAAAAACAQAADwAAAAAAAAABACAAAAAiAAAAZHJz&#10;L2Rvd25yZXYueG1sUEsBAhQAFAAAAAgAh07iQGzvgPfTAQAApQMAAA4AAAAAAAAAAQAgAAAAHwEA&#10;AGRycy9lMm9Eb2MueG1sUEsFBgAAAAAGAAYAWQEAAGQFAAAAAA==&#10;">
          <v:path/>
          <v:fill on="f" focussize="0,0"/>
          <v:stroke on="f" joinstyle="miter"/>
          <v:imagedata o:title=""/>
          <o:lock v:ext="edit"/>
          <v:textbox inset="0mm,0mm,0mm,0mm" style="mso-fit-shape-to-text:t;">
            <w:txbxContent>
              <w:p>
                <w:pPr>
                  <w:pStyle w:val="14"/>
                  <w:pBdr>
                    <w:top w:val="single" w:color="auto" w:sz="4" w:space="0"/>
                  </w:pBdr>
                  <w:adjustRightInd w:val="0"/>
                  <w:jc w:val="both"/>
                </w:pPr>
              </w:p>
            </w:txbxContent>
          </v:textbox>
        </v:shape>
      </w:pict>
    </w:r>
    <w:r>
      <w:rPr>
        <w:rStyle w:val="30"/>
        <w:rFonts w:hint="eastAsia" w:ascii="Times New Roman" w:hAnsi="Times New Roman"/>
        <w:i/>
        <w:lang w:eastAsia="zh-CN"/>
      </w:rPr>
      <w:t>莲花巷</w:t>
    </w:r>
    <w:r>
      <w:rPr>
        <w:rStyle w:val="30"/>
        <w:rFonts w:hint="eastAsia" w:ascii="Times New Roman" w:hAnsi="Times New Roman"/>
        <w:i/>
        <w:lang w:val="en-US" w:eastAsia="zh-CN"/>
      </w:rPr>
      <w:t>19号</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single" w:color="auto" w:sz="4" w:space="1"/>
      </w:pBdr>
      <w:rPr>
        <w:rFonts w:hint="eastAsia" w:eastAsia="宋体"/>
        <w:i/>
        <w:iCs/>
        <w:lang w:eastAsia="zh-CN"/>
      </w:rPr>
    </w:pPr>
    <w:r>
      <w:rPr>
        <w:rFonts w:hint="eastAsia"/>
        <w:i/>
        <w:iCs/>
        <w:lang w:val="en-US" w:eastAsia="zh-CN"/>
      </w:rPr>
      <w:t xml:space="preserve">                                                           平利县职业教育中心新校区餐厅改造项目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pPr>
    <w:r>
      <w:rPr>
        <w:rFonts w:hint="eastAsia"/>
        <w:i/>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eastAsia"/>
        <w:i/>
        <w:lang w:eastAsia="zh-CN"/>
      </w:rPr>
    </w:pPr>
    <w:r>
      <w:rPr>
        <w:rFonts w:hint="eastAsia"/>
        <w:i/>
        <w:lang w:val="en-US" w:eastAsia="zh-CN"/>
      </w:rPr>
      <w:t xml:space="preserve">                                                      平利县职业教育中心新校区餐厅改造项目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183915"/>
    <w:multiLevelType w:val="singleLevel"/>
    <w:tmpl w:val="441839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ThlZmMwMDU0ZGQ5NjJhNDhjYWZmNTgzMDdlZTQwMWMifQ=="/>
    <w:docVar w:name="KSO_WPS_MARK_KEY" w:val="7b41016b-7f0b-4b9a-b12a-18173d0c7777"/>
  </w:docVars>
  <w:rsids>
    <w:rsidRoot w:val="00BF6740"/>
    <w:rsid w:val="00000986"/>
    <w:rsid w:val="00001D02"/>
    <w:rsid w:val="00003A18"/>
    <w:rsid w:val="000044E6"/>
    <w:rsid w:val="00004520"/>
    <w:rsid w:val="0000666B"/>
    <w:rsid w:val="0001384F"/>
    <w:rsid w:val="00013AA9"/>
    <w:rsid w:val="00014522"/>
    <w:rsid w:val="00015B12"/>
    <w:rsid w:val="0001667B"/>
    <w:rsid w:val="000215F4"/>
    <w:rsid w:val="00022114"/>
    <w:rsid w:val="00023179"/>
    <w:rsid w:val="00023305"/>
    <w:rsid w:val="0002529E"/>
    <w:rsid w:val="00025C67"/>
    <w:rsid w:val="00030871"/>
    <w:rsid w:val="00035775"/>
    <w:rsid w:val="00040476"/>
    <w:rsid w:val="000412EC"/>
    <w:rsid w:val="0004292A"/>
    <w:rsid w:val="0004366A"/>
    <w:rsid w:val="000446C8"/>
    <w:rsid w:val="00044BED"/>
    <w:rsid w:val="0004506E"/>
    <w:rsid w:val="00051A3C"/>
    <w:rsid w:val="00051B14"/>
    <w:rsid w:val="00052FB3"/>
    <w:rsid w:val="000536B7"/>
    <w:rsid w:val="00055123"/>
    <w:rsid w:val="0005529C"/>
    <w:rsid w:val="0006257E"/>
    <w:rsid w:val="00063543"/>
    <w:rsid w:val="0006360A"/>
    <w:rsid w:val="0006451E"/>
    <w:rsid w:val="00064F20"/>
    <w:rsid w:val="00065E0C"/>
    <w:rsid w:val="0006664A"/>
    <w:rsid w:val="00071334"/>
    <w:rsid w:val="00071529"/>
    <w:rsid w:val="00071859"/>
    <w:rsid w:val="00072803"/>
    <w:rsid w:val="000734B5"/>
    <w:rsid w:val="00073CB4"/>
    <w:rsid w:val="000810B0"/>
    <w:rsid w:val="00082697"/>
    <w:rsid w:val="00083316"/>
    <w:rsid w:val="000835CC"/>
    <w:rsid w:val="000952D3"/>
    <w:rsid w:val="00095D6E"/>
    <w:rsid w:val="00096958"/>
    <w:rsid w:val="00096BF9"/>
    <w:rsid w:val="00097652"/>
    <w:rsid w:val="000A06AC"/>
    <w:rsid w:val="000A1203"/>
    <w:rsid w:val="000A1D62"/>
    <w:rsid w:val="000A3A71"/>
    <w:rsid w:val="000A446B"/>
    <w:rsid w:val="000A5F32"/>
    <w:rsid w:val="000B0D64"/>
    <w:rsid w:val="000B3164"/>
    <w:rsid w:val="000B495B"/>
    <w:rsid w:val="000B4BAD"/>
    <w:rsid w:val="000B5418"/>
    <w:rsid w:val="000B5866"/>
    <w:rsid w:val="000B5E07"/>
    <w:rsid w:val="000B7E9F"/>
    <w:rsid w:val="000C0188"/>
    <w:rsid w:val="000C3C49"/>
    <w:rsid w:val="000C7E7C"/>
    <w:rsid w:val="000D1803"/>
    <w:rsid w:val="000D25C6"/>
    <w:rsid w:val="000D4EE2"/>
    <w:rsid w:val="000D528A"/>
    <w:rsid w:val="000D73AF"/>
    <w:rsid w:val="000E0D54"/>
    <w:rsid w:val="000E1EEA"/>
    <w:rsid w:val="000E25B7"/>
    <w:rsid w:val="000E3B52"/>
    <w:rsid w:val="000E6011"/>
    <w:rsid w:val="000E62CE"/>
    <w:rsid w:val="000F0D1F"/>
    <w:rsid w:val="000F259D"/>
    <w:rsid w:val="000F355E"/>
    <w:rsid w:val="000F3F3F"/>
    <w:rsid w:val="000F5A9F"/>
    <w:rsid w:val="001002A4"/>
    <w:rsid w:val="00100B16"/>
    <w:rsid w:val="00102BB3"/>
    <w:rsid w:val="001031E4"/>
    <w:rsid w:val="00103453"/>
    <w:rsid w:val="00104748"/>
    <w:rsid w:val="00106835"/>
    <w:rsid w:val="0011420A"/>
    <w:rsid w:val="00114483"/>
    <w:rsid w:val="00120434"/>
    <w:rsid w:val="0012623A"/>
    <w:rsid w:val="00126E00"/>
    <w:rsid w:val="001300E9"/>
    <w:rsid w:val="00130C33"/>
    <w:rsid w:val="00131169"/>
    <w:rsid w:val="00134C6A"/>
    <w:rsid w:val="00136057"/>
    <w:rsid w:val="0013616D"/>
    <w:rsid w:val="001363A0"/>
    <w:rsid w:val="00136EBC"/>
    <w:rsid w:val="00137A85"/>
    <w:rsid w:val="00140831"/>
    <w:rsid w:val="00140EB2"/>
    <w:rsid w:val="00141409"/>
    <w:rsid w:val="00141F94"/>
    <w:rsid w:val="0014294E"/>
    <w:rsid w:val="00146CC0"/>
    <w:rsid w:val="001479E1"/>
    <w:rsid w:val="00150197"/>
    <w:rsid w:val="00150CFF"/>
    <w:rsid w:val="00151821"/>
    <w:rsid w:val="00153DE1"/>
    <w:rsid w:val="00155280"/>
    <w:rsid w:val="00156774"/>
    <w:rsid w:val="00156FF1"/>
    <w:rsid w:val="00160262"/>
    <w:rsid w:val="0016082C"/>
    <w:rsid w:val="00161160"/>
    <w:rsid w:val="001632D5"/>
    <w:rsid w:val="00164DC4"/>
    <w:rsid w:val="00165BD6"/>
    <w:rsid w:val="00166646"/>
    <w:rsid w:val="00166F53"/>
    <w:rsid w:val="00171316"/>
    <w:rsid w:val="001752B4"/>
    <w:rsid w:val="00176B80"/>
    <w:rsid w:val="001802A2"/>
    <w:rsid w:val="00180689"/>
    <w:rsid w:val="00180A43"/>
    <w:rsid w:val="001821EB"/>
    <w:rsid w:val="00182663"/>
    <w:rsid w:val="0018638C"/>
    <w:rsid w:val="0018659B"/>
    <w:rsid w:val="0018706E"/>
    <w:rsid w:val="00187100"/>
    <w:rsid w:val="00190052"/>
    <w:rsid w:val="001902EA"/>
    <w:rsid w:val="00191287"/>
    <w:rsid w:val="001916C8"/>
    <w:rsid w:val="0019195A"/>
    <w:rsid w:val="00192FE0"/>
    <w:rsid w:val="00194EC8"/>
    <w:rsid w:val="001975CD"/>
    <w:rsid w:val="001A3EEE"/>
    <w:rsid w:val="001A4A86"/>
    <w:rsid w:val="001A7CCF"/>
    <w:rsid w:val="001A7D75"/>
    <w:rsid w:val="001B1ADD"/>
    <w:rsid w:val="001B4EF3"/>
    <w:rsid w:val="001B61DA"/>
    <w:rsid w:val="001B6909"/>
    <w:rsid w:val="001B6F29"/>
    <w:rsid w:val="001B7376"/>
    <w:rsid w:val="001B7466"/>
    <w:rsid w:val="001C0D86"/>
    <w:rsid w:val="001C3613"/>
    <w:rsid w:val="001C3B6F"/>
    <w:rsid w:val="001C6D11"/>
    <w:rsid w:val="001C7322"/>
    <w:rsid w:val="001D030A"/>
    <w:rsid w:val="001D1B51"/>
    <w:rsid w:val="001D2F2D"/>
    <w:rsid w:val="001D4C85"/>
    <w:rsid w:val="001D70A0"/>
    <w:rsid w:val="001E0951"/>
    <w:rsid w:val="001E2F0C"/>
    <w:rsid w:val="001E3914"/>
    <w:rsid w:val="001E4021"/>
    <w:rsid w:val="001E61F4"/>
    <w:rsid w:val="001F0492"/>
    <w:rsid w:val="001F0FA8"/>
    <w:rsid w:val="001F1A54"/>
    <w:rsid w:val="001F318E"/>
    <w:rsid w:val="001F43E8"/>
    <w:rsid w:val="001F4D47"/>
    <w:rsid w:val="001F6DAE"/>
    <w:rsid w:val="00203A3B"/>
    <w:rsid w:val="00205CD2"/>
    <w:rsid w:val="00205FAC"/>
    <w:rsid w:val="0020660D"/>
    <w:rsid w:val="0020683D"/>
    <w:rsid w:val="002103B1"/>
    <w:rsid w:val="00210F07"/>
    <w:rsid w:val="00211542"/>
    <w:rsid w:val="00213639"/>
    <w:rsid w:val="00213C47"/>
    <w:rsid w:val="0021458A"/>
    <w:rsid w:val="00220298"/>
    <w:rsid w:val="00220D93"/>
    <w:rsid w:val="00220EC9"/>
    <w:rsid w:val="0022434E"/>
    <w:rsid w:val="00225347"/>
    <w:rsid w:val="00226560"/>
    <w:rsid w:val="002277EB"/>
    <w:rsid w:val="00227A00"/>
    <w:rsid w:val="00227A14"/>
    <w:rsid w:val="00233019"/>
    <w:rsid w:val="00233199"/>
    <w:rsid w:val="0023352F"/>
    <w:rsid w:val="00233805"/>
    <w:rsid w:val="002345B0"/>
    <w:rsid w:val="00234A65"/>
    <w:rsid w:val="002359D4"/>
    <w:rsid w:val="00237881"/>
    <w:rsid w:val="002407F4"/>
    <w:rsid w:val="002416D0"/>
    <w:rsid w:val="002417C6"/>
    <w:rsid w:val="00242026"/>
    <w:rsid w:val="002424EC"/>
    <w:rsid w:val="00242EE9"/>
    <w:rsid w:val="0024306E"/>
    <w:rsid w:val="00243448"/>
    <w:rsid w:val="00247D3D"/>
    <w:rsid w:val="00247DA8"/>
    <w:rsid w:val="00254B05"/>
    <w:rsid w:val="00257132"/>
    <w:rsid w:val="00257AB5"/>
    <w:rsid w:val="00261C2C"/>
    <w:rsid w:val="002624DF"/>
    <w:rsid w:val="002628BE"/>
    <w:rsid w:val="00265865"/>
    <w:rsid w:val="0026759C"/>
    <w:rsid w:val="00270ADC"/>
    <w:rsid w:val="00271832"/>
    <w:rsid w:val="0027234B"/>
    <w:rsid w:val="00274741"/>
    <w:rsid w:val="00275858"/>
    <w:rsid w:val="00277A9A"/>
    <w:rsid w:val="00283012"/>
    <w:rsid w:val="0028419B"/>
    <w:rsid w:val="002842D0"/>
    <w:rsid w:val="002867A0"/>
    <w:rsid w:val="00287818"/>
    <w:rsid w:val="00287F72"/>
    <w:rsid w:val="002917AF"/>
    <w:rsid w:val="0029188A"/>
    <w:rsid w:val="0029239B"/>
    <w:rsid w:val="00293E5B"/>
    <w:rsid w:val="00296D67"/>
    <w:rsid w:val="002977ED"/>
    <w:rsid w:val="002A05D2"/>
    <w:rsid w:val="002A10FA"/>
    <w:rsid w:val="002A40CA"/>
    <w:rsid w:val="002A5A51"/>
    <w:rsid w:val="002A62C0"/>
    <w:rsid w:val="002A707D"/>
    <w:rsid w:val="002A78C9"/>
    <w:rsid w:val="002B01F5"/>
    <w:rsid w:val="002B068D"/>
    <w:rsid w:val="002B139C"/>
    <w:rsid w:val="002B1EBB"/>
    <w:rsid w:val="002B4F17"/>
    <w:rsid w:val="002B55B2"/>
    <w:rsid w:val="002B58FD"/>
    <w:rsid w:val="002C0439"/>
    <w:rsid w:val="002C0DB8"/>
    <w:rsid w:val="002C1A3A"/>
    <w:rsid w:val="002C29F1"/>
    <w:rsid w:val="002C35A4"/>
    <w:rsid w:val="002C40B0"/>
    <w:rsid w:val="002C4799"/>
    <w:rsid w:val="002C4C40"/>
    <w:rsid w:val="002C4F8D"/>
    <w:rsid w:val="002C5E50"/>
    <w:rsid w:val="002C6445"/>
    <w:rsid w:val="002C7E1B"/>
    <w:rsid w:val="002D1605"/>
    <w:rsid w:val="002D2F01"/>
    <w:rsid w:val="002D32DD"/>
    <w:rsid w:val="002D350E"/>
    <w:rsid w:val="002D6C71"/>
    <w:rsid w:val="002D6CF1"/>
    <w:rsid w:val="002E05B0"/>
    <w:rsid w:val="002E0695"/>
    <w:rsid w:val="002E124B"/>
    <w:rsid w:val="002E5D10"/>
    <w:rsid w:val="002F09C8"/>
    <w:rsid w:val="002F1623"/>
    <w:rsid w:val="002F3781"/>
    <w:rsid w:val="002F3D7E"/>
    <w:rsid w:val="002F56C5"/>
    <w:rsid w:val="002F5748"/>
    <w:rsid w:val="002F5B93"/>
    <w:rsid w:val="002F5FD6"/>
    <w:rsid w:val="002F63D3"/>
    <w:rsid w:val="002F763B"/>
    <w:rsid w:val="00300F2A"/>
    <w:rsid w:val="003012EE"/>
    <w:rsid w:val="00302A6B"/>
    <w:rsid w:val="003033C1"/>
    <w:rsid w:val="003047A8"/>
    <w:rsid w:val="00304B71"/>
    <w:rsid w:val="00310A26"/>
    <w:rsid w:val="003129AB"/>
    <w:rsid w:val="00313D51"/>
    <w:rsid w:val="003149CC"/>
    <w:rsid w:val="00315F40"/>
    <w:rsid w:val="00316B54"/>
    <w:rsid w:val="00317014"/>
    <w:rsid w:val="00317774"/>
    <w:rsid w:val="00317A60"/>
    <w:rsid w:val="00323EE2"/>
    <w:rsid w:val="003259CB"/>
    <w:rsid w:val="0032758F"/>
    <w:rsid w:val="00327A71"/>
    <w:rsid w:val="00327CC8"/>
    <w:rsid w:val="00331A19"/>
    <w:rsid w:val="0033374F"/>
    <w:rsid w:val="00335099"/>
    <w:rsid w:val="003355D0"/>
    <w:rsid w:val="003417A2"/>
    <w:rsid w:val="00342B0C"/>
    <w:rsid w:val="003434E5"/>
    <w:rsid w:val="00343F99"/>
    <w:rsid w:val="003440CC"/>
    <w:rsid w:val="0034422C"/>
    <w:rsid w:val="00345BD1"/>
    <w:rsid w:val="00346C40"/>
    <w:rsid w:val="00351A62"/>
    <w:rsid w:val="0035300C"/>
    <w:rsid w:val="0035564D"/>
    <w:rsid w:val="0035684C"/>
    <w:rsid w:val="00357007"/>
    <w:rsid w:val="0035759B"/>
    <w:rsid w:val="0036068B"/>
    <w:rsid w:val="00360D7B"/>
    <w:rsid w:val="00365488"/>
    <w:rsid w:val="003659C9"/>
    <w:rsid w:val="00366C94"/>
    <w:rsid w:val="00370DDA"/>
    <w:rsid w:val="00371F90"/>
    <w:rsid w:val="00373578"/>
    <w:rsid w:val="00373CDE"/>
    <w:rsid w:val="00375457"/>
    <w:rsid w:val="003763E9"/>
    <w:rsid w:val="003800A1"/>
    <w:rsid w:val="00380706"/>
    <w:rsid w:val="00382198"/>
    <w:rsid w:val="00383D40"/>
    <w:rsid w:val="0038451E"/>
    <w:rsid w:val="003860E7"/>
    <w:rsid w:val="0039144B"/>
    <w:rsid w:val="00391F47"/>
    <w:rsid w:val="00392B06"/>
    <w:rsid w:val="00394724"/>
    <w:rsid w:val="00394AA3"/>
    <w:rsid w:val="00394F1B"/>
    <w:rsid w:val="003A2C64"/>
    <w:rsid w:val="003A2DDB"/>
    <w:rsid w:val="003A4302"/>
    <w:rsid w:val="003A46D9"/>
    <w:rsid w:val="003A6CD3"/>
    <w:rsid w:val="003A7C99"/>
    <w:rsid w:val="003B010A"/>
    <w:rsid w:val="003B1701"/>
    <w:rsid w:val="003B205F"/>
    <w:rsid w:val="003B2367"/>
    <w:rsid w:val="003B23F0"/>
    <w:rsid w:val="003B5949"/>
    <w:rsid w:val="003B6BCB"/>
    <w:rsid w:val="003B710D"/>
    <w:rsid w:val="003B76DD"/>
    <w:rsid w:val="003C0603"/>
    <w:rsid w:val="003C0ADC"/>
    <w:rsid w:val="003C2348"/>
    <w:rsid w:val="003C2E5B"/>
    <w:rsid w:val="003C3312"/>
    <w:rsid w:val="003C45E0"/>
    <w:rsid w:val="003C6645"/>
    <w:rsid w:val="003C6D3B"/>
    <w:rsid w:val="003C7B1A"/>
    <w:rsid w:val="003C7C72"/>
    <w:rsid w:val="003D0F33"/>
    <w:rsid w:val="003D2740"/>
    <w:rsid w:val="003D2EB8"/>
    <w:rsid w:val="003D31A4"/>
    <w:rsid w:val="003D39A0"/>
    <w:rsid w:val="003D43AD"/>
    <w:rsid w:val="003D4A33"/>
    <w:rsid w:val="003D535D"/>
    <w:rsid w:val="003D5748"/>
    <w:rsid w:val="003D5C54"/>
    <w:rsid w:val="003E0A7F"/>
    <w:rsid w:val="003E1C4E"/>
    <w:rsid w:val="003E3DA2"/>
    <w:rsid w:val="003E497B"/>
    <w:rsid w:val="003E5440"/>
    <w:rsid w:val="003E5BA9"/>
    <w:rsid w:val="003E65F1"/>
    <w:rsid w:val="003E703D"/>
    <w:rsid w:val="003E7513"/>
    <w:rsid w:val="003F17C1"/>
    <w:rsid w:val="003F2C4E"/>
    <w:rsid w:val="003F50DC"/>
    <w:rsid w:val="0040013D"/>
    <w:rsid w:val="00403817"/>
    <w:rsid w:val="0040422F"/>
    <w:rsid w:val="00404A24"/>
    <w:rsid w:val="00406C91"/>
    <w:rsid w:val="00406F44"/>
    <w:rsid w:val="00407A70"/>
    <w:rsid w:val="00407D24"/>
    <w:rsid w:val="00411E91"/>
    <w:rsid w:val="004132F2"/>
    <w:rsid w:val="00413591"/>
    <w:rsid w:val="00413F88"/>
    <w:rsid w:val="0041471B"/>
    <w:rsid w:val="0041513D"/>
    <w:rsid w:val="004154C4"/>
    <w:rsid w:val="004159D8"/>
    <w:rsid w:val="00415E9D"/>
    <w:rsid w:val="00416A20"/>
    <w:rsid w:val="0041731B"/>
    <w:rsid w:val="00421801"/>
    <w:rsid w:val="004222B1"/>
    <w:rsid w:val="004242A6"/>
    <w:rsid w:val="00424532"/>
    <w:rsid w:val="004258EC"/>
    <w:rsid w:val="00425E12"/>
    <w:rsid w:val="00426210"/>
    <w:rsid w:val="0042715C"/>
    <w:rsid w:val="0042728C"/>
    <w:rsid w:val="00430635"/>
    <w:rsid w:val="004312A6"/>
    <w:rsid w:val="0043348E"/>
    <w:rsid w:val="00433A95"/>
    <w:rsid w:val="00433C1E"/>
    <w:rsid w:val="00434F2C"/>
    <w:rsid w:val="00440C24"/>
    <w:rsid w:val="0044286E"/>
    <w:rsid w:val="00444F77"/>
    <w:rsid w:val="00444F98"/>
    <w:rsid w:val="0044575F"/>
    <w:rsid w:val="0044592A"/>
    <w:rsid w:val="00445DFA"/>
    <w:rsid w:val="00445EE2"/>
    <w:rsid w:val="0044697C"/>
    <w:rsid w:val="00447C8E"/>
    <w:rsid w:val="00451A77"/>
    <w:rsid w:val="00451C2D"/>
    <w:rsid w:val="00451DF2"/>
    <w:rsid w:val="00452F02"/>
    <w:rsid w:val="00453F16"/>
    <w:rsid w:val="00455C59"/>
    <w:rsid w:val="0045661A"/>
    <w:rsid w:val="004574E1"/>
    <w:rsid w:val="0045783C"/>
    <w:rsid w:val="0046028B"/>
    <w:rsid w:val="00462547"/>
    <w:rsid w:val="004625D7"/>
    <w:rsid w:val="00462805"/>
    <w:rsid w:val="004631CF"/>
    <w:rsid w:val="00466DAE"/>
    <w:rsid w:val="00467150"/>
    <w:rsid w:val="004707AD"/>
    <w:rsid w:val="004716FD"/>
    <w:rsid w:val="004750A9"/>
    <w:rsid w:val="00476431"/>
    <w:rsid w:val="004766FC"/>
    <w:rsid w:val="00476849"/>
    <w:rsid w:val="00476C52"/>
    <w:rsid w:val="00476F1F"/>
    <w:rsid w:val="00482155"/>
    <w:rsid w:val="00482232"/>
    <w:rsid w:val="00483315"/>
    <w:rsid w:val="00483D62"/>
    <w:rsid w:val="0048449E"/>
    <w:rsid w:val="00484C21"/>
    <w:rsid w:val="004875E6"/>
    <w:rsid w:val="00487DDF"/>
    <w:rsid w:val="00487F79"/>
    <w:rsid w:val="00490C5F"/>
    <w:rsid w:val="004910C9"/>
    <w:rsid w:val="00491F00"/>
    <w:rsid w:val="00495702"/>
    <w:rsid w:val="004959B8"/>
    <w:rsid w:val="00497C31"/>
    <w:rsid w:val="004A3034"/>
    <w:rsid w:val="004A37AB"/>
    <w:rsid w:val="004A726E"/>
    <w:rsid w:val="004B1794"/>
    <w:rsid w:val="004B22C4"/>
    <w:rsid w:val="004B2999"/>
    <w:rsid w:val="004B3823"/>
    <w:rsid w:val="004B419F"/>
    <w:rsid w:val="004B6D44"/>
    <w:rsid w:val="004C094F"/>
    <w:rsid w:val="004C178F"/>
    <w:rsid w:val="004C2041"/>
    <w:rsid w:val="004C48E8"/>
    <w:rsid w:val="004C54DC"/>
    <w:rsid w:val="004C582C"/>
    <w:rsid w:val="004C6A9B"/>
    <w:rsid w:val="004C7F4F"/>
    <w:rsid w:val="004D0A01"/>
    <w:rsid w:val="004D3E7D"/>
    <w:rsid w:val="004D3EF7"/>
    <w:rsid w:val="004D51E2"/>
    <w:rsid w:val="004D5DB4"/>
    <w:rsid w:val="004D6AB4"/>
    <w:rsid w:val="004E04E5"/>
    <w:rsid w:val="004E0E64"/>
    <w:rsid w:val="004E42F1"/>
    <w:rsid w:val="004E668A"/>
    <w:rsid w:val="004F0BCF"/>
    <w:rsid w:val="004F1D0D"/>
    <w:rsid w:val="004F2646"/>
    <w:rsid w:val="004F51CC"/>
    <w:rsid w:val="004F5ACD"/>
    <w:rsid w:val="005009F7"/>
    <w:rsid w:val="00502700"/>
    <w:rsid w:val="00502A58"/>
    <w:rsid w:val="00503F45"/>
    <w:rsid w:val="005060D6"/>
    <w:rsid w:val="00507582"/>
    <w:rsid w:val="00511FCB"/>
    <w:rsid w:val="00512D01"/>
    <w:rsid w:val="00516213"/>
    <w:rsid w:val="00517B0D"/>
    <w:rsid w:val="00517BF6"/>
    <w:rsid w:val="00522C45"/>
    <w:rsid w:val="005243C3"/>
    <w:rsid w:val="00524A77"/>
    <w:rsid w:val="0052796B"/>
    <w:rsid w:val="00530373"/>
    <w:rsid w:val="00534DE3"/>
    <w:rsid w:val="00536CC0"/>
    <w:rsid w:val="00537B29"/>
    <w:rsid w:val="00537E17"/>
    <w:rsid w:val="00542D65"/>
    <w:rsid w:val="00544573"/>
    <w:rsid w:val="005471AF"/>
    <w:rsid w:val="00550AD5"/>
    <w:rsid w:val="00550E23"/>
    <w:rsid w:val="0055227F"/>
    <w:rsid w:val="00552510"/>
    <w:rsid w:val="00552C78"/>
    <w:rsid w:val="00553631"/>
    <w:rsid w:val="005543A0"/>
    <w:rsid w:val="00555CE1"/>
    <w:rsid w:val="0055606F"/>
    <w:rsid w:val="005561F7"/>
    <w:rsid w:val="005571AC"/>
    <w:rsid w:val="00562750"/>
    <w:rsid w:val="005635C2"/>
    <w:rsid w:val="0056636D"/>
    <w:rsid w:val="00567A1E"/>
    <w:rsid w:val="00570985"/>
    <w:rsid w:val="0057100C"/>
    <w:rsid w:val="00572027"/>
    <w:rsid w:val="00572457"/>
    <w:rsid w:val="0057259B"/>
    <w:rsid w:val="00573CEE"/>
    <w:rsid w:val="00574550"/>
    <w:rsid w:val="0057478A"/>
    <w:rsid w:val="00575CF8"/>
    <w:rsid w:val="00580FFD"/>
    <w:rsid w:val="0058357C"/>
    <w:rsid w:val="0058710D"/>
    <w:rsid w:val="0059570E"/>
    <w:rsid w:val="00596C8F"/>
    <w:rsid w:val="0059717A"/>
    <w:rsid w:val="005975E2"/>
    <w:rsid w:val="005A02B3"/>
    <w:rsid w:val="005A0CE4"/>
    <w:rsid w:val="005A3E75"/>
    <w:rsid w:val="005A4A3F"/>
    <w:rsid w:val="005A52A0"/>
    <w:rsid w:val="005A62B1"/>
    <w:rsid w:val="005A7D40"/>
    <w:rsid w:val="005A7E81"/>
    <w:rsid w:val="005B1B01"/>
    <w:rsid w:val="005B5007"/>
    <w:rsid w:val="005B5097"/>
    <w:rsid w:val="005B567E"/>
    <w:rsid w:val="005C3F3B"/>
    <w:rsid w:val="005C7178"/>
    <w:rsid w:val="005D2452"/>
    <w:rsid w:val="005D3166"/>
    <w:rsid w:val="005D4E01"/>
    <w:rsid w:val="005D7A1D"/>
    <w:rsid w:val="005E0682"/>
    <w:rsid w:val="005E10C7"/>
    <w:rsid w:val="005E23BD"/>
    <w:rsid w:val="005E3CFB"/>
    <w:rsid w:val="005F0B2F"/>
    <w:rsid w:val="005F184F"/>
    <w:rsid w:val="005F1D0A"/>
    <w:rsid w:val="005F1E62"/>
    <w:rsid w:val="005F2BB3"/>
    <w:rsid w:val="005F3F7E"/>
    <w:rsid w:val="005F5C36"/>
    <w:rsid w:val="005F652E"/>
    <w:rsid w:val="005F6E36"/>
    <w:rsid w:val="005F7218"/>
    <w:rsid w:val="005F79B7"/>
    <w:rsid w:val="0060126B"/>
    <w:rsid w:val="0060225D"/>
    <w:rsid w:val="00602ABD"/>
    <w:rsid w:val="006033AE"/>
    <w:rsid w:val="006044EE"/>
    <w:rsid w:val="00607CE2"/>
    <w:rsid w:val="006104CD"/>
    <w:rsid w:val="00611896"/>
    <w:rsid w:val="00611F97"/>
    <w:rsid w:val="006122C5"/>
    <w:rsid w:val="00614185"/>
    <w:rsid w:val="00614C0D"/>
    <w:rsid w:val="00614F9D"/>
    <w:rsid w:val="00617636"/>
    <w:rsid w:val="00620514"/>
    <w:rsid w:val="00620A63"/>
    <w:rsid w:val="00620E42"/>
    <w:rsid w:val="00621301"/>
    <w:rsid w:val="0062184A"/>
    <w:rsid w:val="006228E0"/>
    <w:rsid w:val="00622C2B"/>
    <w:rsid w:val="006237FA"/>
    <w:rsid w:val="00623FCD"/>
    <w:rsid w:val="006244E5"/>
    <w:rsid w:val="00625252"/>
    <w:rsid w:val="0062593A"/>
    <w:rsid w:val="006320C3"/>
    <w:rsid w:val="00633047"/>
    <w:rsid w:val="0063436F"/>
    <w:rsid w:val="006347C1"/>
    <w:rsid w:val="0063624E"/>
    <w:rsid w:val="0063706E"/>
    <w:rsid w:val="006375C7"/>
    <w:rsid w:val="00640626"/>
    <w:rsid w:val="00640976"/>
    <w:rsid w:val="00641154"/>
    <w:rsid w:val="00641173"/>
    <w:rsid w:val="00643B6A"/>
    <w:rsid w:val="00644008"/>
    <w:rsid w:val="0064480A"/>
    <w:rsid w:val="0064588D"/>
    <w:rsid w:val="00650903"/>
    <w:rsid w:val="006522F0"/>
    <w:rsid w:val="0065358D"/>
    <w:rsid w:val="00653B97"/>
    <w:rsid w:val="00653DF3"/>
    <w:rsid w:val="006542F1"/>
    <w:rsid w:val="00654404"/>
    <w:rsid w:val="00654B2D"/>
    <w:rsid w:val="00660A82"/>
    <w:rsid w:val="00661D63"/>
    <w:rsid w:val="006621D0"/>
    <w:rsid w:val="00663663"/>
    <w:rsid w:val="00664475"/>
    <w:rsid w:val="00665E53"/>
    <w:rsid w:val="006666AD"/>
    <w:rsid w:val="00667577"/>
    <w:rsid w:val="00670D98"/>
    <w:rsid w:val="00673BD4"/>
    <w:rsid w:val="006742A2"/>
    <w:rsid w:val="006760AC"/>
    <w:rsid w:val="00677930"/>
    <w:rsid w:val="00682493"/>
    <w:rsid w:val="006836A0"/>
    <w:rsid w:val="00683FFA"/>
    <w:rsid w:val="0068523A"/>
    <w:rsid w:val="0068632E"/>
    <w:rsid w:val="00686381"/>
    <w:rsid w:val="006925AA"/>
    <w:rsid w:val="00694DC4"/>
    <w:rsid w:val="006A00AF"/>
    <w:rsid w:val="006A08DA"/>
    <w:rsid w:val="006A0DB4"/>
    <w:rsid w:val="006A1E65"/>
    <w:rsid w:val="006A4874"/>
    <w:rsid w:val="006A4E2D"/>
    <w:rsid w:val="006A5098"/>
    <w:rsid w:val="006A758F"/>
    <w:rsid w:val="006B0237"/>
    <w:rsid w:val="006B02BB"/>
    <w:rsid w:val="006B120E"/>
    <w:rsid w:val="006B247C"/>
    <w:rsid w:val="006B3341"/>
    <w:rsid w:val="006B37FA"/>
    <w:rsid w:val="006B3DC9"/>
    <w:rsid w:val="006B68DE"/>
    <w:rsid w:val="006B6E83"/>
    <w:rsid w:val="006B71DA"/>
    <w:rsid w:val="006B77D0"/>
    <w:rsid w:val="006C2B0C"/>
    <w:rsid w:val="006C55EC"/>
    <w:rsid w:val="006C5D6A"/>
    <w:rsid w:val="006C78FF"/>
    <w:rsid w:val="006D067A"/>
    <w:rsid w:val="006D0EC1"/>
    <w:rsid w:val="006D0F82"/>
    <w:rsid w:val="006D1919"/>
    <w:rsid w:val="006D3318"/>
    <w:rsid w:val="006D5C38"/>
    <w:rsid w:val="006D721C"/>
    <w:rsid w:val="006D7D65"/>
    <w:rsid w:val="006E345B"/>
    <w:rsid w:val="006E43F9"/>
    <w:rsid w:val="006E4D7C"/>
    <w:rsid w:val="006E7535"/>
    <w:rsid w:val="006F3441"/>
    <w:rsid w:val="006F3916"/>
    <w:rsid w:val="006F4AAA"/>
    <w:rsid w:val="006F4BDC"/>
    <w:rsid w:val="006F58A7"/>
    <w:rsid w:val="006F737B"/>
    <w:rsid w:val="006F7A3B"/>
    <w:rsid w:val="006F7FD7"/>
    <w:rsid w:val="00701000"/>
    <w:rsid w:val="00702F11"/>
    <w:rsid w:val="00703C91"/>
    <w:rsid w:val="007042AE"/>
    <w:rsid w:val="00705FE2"/>
    <w:rsid w:val="00706A38"/>
    <w:rsid w:val="00710910"/>
    <w:rsid w:val="00711E5A"/>
    <w:rsid w:val="00712059"/>
    <w:rsid w:val="00712BA2"/>
    <w:rsid w:val="0071337B"/>
    <w:rsid w:val="007147BE"/>
    <w:rsid w:val="00716EDD"/>
    <w:rsid w:val="00720A82"/>
    <w:rsid w:val="00721043"/>
    <w:rsid w:val="007228A6"/>
    <w:rsid w:val="00723CD4"/>
    <w:rsid w:val="0072402B"/>
    <w:rsid w:val="00724F1E"/>
    <w:rsid w:val="00726596"/>
    <w:rsid w:val="00726965"/>
    <w:rsid w:val="007303E9"/>
    <w:rsid w:val="00731BCA"/>
    <w:rsid w:val="00733556"/>
    <w:rsid w:val="007338ED"/>
    <w:rsid w:val="00733E7D"/>
    <w:rsid w:val="0073470C"/>
    <w:rsid w:val="00735641"/>
    <w:rsid w:val="007359A0"/>
    <w:rsid w:val="007366D5"/>
    <w:rsid w:val="00737187"/>
    <w:rsid w:val="00740AB9"/>
    <w:rsid w:val="00741CAB"/>
    <w:rsid w:val="00741CBD"/>
    <w:rsid w:val="00742BF7"/>
    <w:rsid w:val="00743B78"/>
    <w:rsid w:val="00743DC3"/>
    <w:rsid w:val="007456CD"/>
    <w:rsid w:val="00746F67"/>
    <w:rsid w:val="00747BAE"/>
    <w:rsid w:val="007525CB"/>
    <w:rsid w:val="00754D54"/>
    <w:rsid w:val="00755528"/>
    <w:rsid w:val="007572A1"/>
    <w:rsid w:val="00760BB4"/>
    <w:rsid w:val="00760CB5"/>
    <w:rsid w:val="00761716"/>
    <w:rsid w:val="007641F5"/>
    <w:rsid w:val="00764649"/>
    <w:rsid w:val="00764993"/>
    <w:rsid w:val="007651D8"/>
    <w:rsid w:val="00765502"/>
    <w:rsid w:val="007657AC"/>
    <w:rsid w:val="007678A3"/>
    <w:rsid w:val="00767CC0"/>
    <w:rsid w:val="00771712"/>
    <w:rsid w:val="00771D47"/>
    <w:rsid w:val="00772CCE"/>
    <w:rsid w:val="0077439A"/>
    <w:rsid w:val="0077630F"/>
    <w:rsid w:val="00780FD3"/>
    <w:rsid w:val="0078180A"/>
    <w:rsid w:val="00783296"/>
    <w:rsid w:val="007848D6"/>
    <w:rsid w:val="007856B4"/>
    <w:rsid w:val="00792D54"/>
    <w:rsid w:val="00796312"/>
    <w:rsid w:val="0079667D"/>
    <w:rsid w:val="007A02C9"/>
    <w:rsid w:val="007A1B9C"/>
    <w:rsid w:val="007A2266"/>
    <w:rsid w:val="007A3E58"/>
    <w:rsid w:val="007A54C9"/>
    <w:rsid w:val="007A6C5F"/>
    <w:rsid w:val="007B137E"/>
    <w:rsid w:val="007B23D8"/>
    <w:rsid w:val="007B4193"/>
    <w:rsid w:val="007B4632"/>
    <w:rsid w:val="007B4F80"/>
    <w:rsid w:val="007B50A2"/>
    <w:rsid w:val="007B76F0"/>
    <w:rsid w:val="007B7D12"/>
    <w:rsid w:val="007C0BB4"/>
    <w:rsid w:val="007C1309"/>
    <w:rsid w:val="007C1C22"/>
    <w:rsid w:val="007C211D"/>
    <w:rsid w:val="007C33D9"/>
    <w:rsid w:val="007C36B5"/>
    <w:rsid w:val="007C37E6"/>
    <w:rsid w:val="007C413A"/>
    <w:rsid w:val="007C4E6A"/>
    <w:rsid w:val="007C6F52"/>
    <w:rsid w:val="007C7297"/>
    <w:rsid w:val="007D0395"/>
    <w:rsid w:val="007D0838"/>
    <w:rsid w:val="007D348B"/>
    <w:rsid w:val="007D3ED7"/>
    <w:rsid w:val="007D3F65"/>
    <w:rsid w:val="007D4BBD"/>
    <w:rsid w:val="007D60DF"/>
    <w:rsid w:val="007E1F14"/>
    <w:rsid w:val="007E230F"/>
    <w:rsid w:val="007E3962"/>
    <w:rsid w:val="007E3C65"/>
    <w:rsid w:val="007E4653"/>
    <w:rsid w:val="007E75A4"/>
    <w:rsid w:val="007E7957"/>
    <w:rsid w:val="007F37F1"/>
    <w:rsid w:val="007F3EE0"/>
    <w:rsid w:val="007F5077"/>
    <w:rsid w:val="007F772E"/>
    <w:rsid w:val="00800AF0"/>
    <w:rsid w:val="008011AB"/>
    <w:rsid w:val="00801ABA"/>
    <w:rsid w:val="00802EFF"/>
    <w:rsid w:val="00804677"/>
    <w:rsid w:val="00806CF6"/>
    <w:rsid w:val="00807964"/>
    <w:rsid w:val="008109EB"/>
    <w:rsid w:val="00811481"/>
    <w:rsid w:val="00811AF1"/>
    <w:rsid w:val="00812847"/>
    <w:rsid w:val="00815280"/>
    <w:rsid w:val="00815371"/>
    <w:rsid w:val="00815580"/>
    <w:rsid w:val="0081589B"/>
    <w:rsid w:val="008165C5"/>
    <w:rsid w:val="008165C8"/>
    <w:rsid w:val="00817035"/>
    <w:rsid w:val="00817311"/>
    <w:rsid w:val="00820897"/>
    <w:rsid w:val="008209B6"/>
    <w:rsid w:val="008230D6"/>
    <w:rsid w:val="00823C4F"/>
    <w:rsid w:val="00825494"/>
    <w:rsid w:val="0082603F"/>
    <w:rsid w:val="008260CE"/>
    <w:rsid w:val="0082621F"/>
    <w:rsid w:val="008279D5"/>
    <w:rsid w:val="00827FA5"/>
    <w:rsid w:val="0083082E"/>
    <w:rsid w:val="00831625"/>
    <w:rsid w:val="00833854"/>
    <w:rsid w:val="00833C5F"/>
    <w:rsid w:val="00833EF0"/>
    <w:rsid w:val="008346BD"/>
    <w:rsid w:val="008351F1"/>
    <w:rsid w:val="008367A1"/>
    <w:rsid w:val="008370B5"/>
    <w:rsid w:val="00840392"/>
    <w:rsid w:val="00841524"/>
    <w:rsid w:val="00843375"/>
    <w:rsid w:val="0084362D"/>
    <w:rsid w:val="00843E7C"/>
    <w:rsid w:val="00845F8C"/>
    <w:rsid w:val="00846BF3"/>
    <w:rsid w:val="00846C09"/>
    <w:rsid w:val="008504F8"/>
    <w:rsid w:val="008508BA"/>
    <w:rsid w:val="00850F64"/>
    <w:rsid w:val="00851F66"/>
    <w:rsid w:val="00851FAA"/>
    <w:rsid w:val="008547C1"/>
    <w:rsid w:val="0085482A"/>
    <w:rsid w:val="00855159"/>
    <w:rsid w:val="008556F5"/>
    <w:rsid w:val="00855F2C"/>
    <w:rsid w:val="0085613D"/>
    <w:rsid w:val="008564F2"/>
    <w:rsid w:val="0085793C"/>
    <w:rsid w:val="00857A03"/>
    <w:rsid w:val="00861BF5"/>
    <w:rsid w:val="00862F10"/>
    <w:rsid w:val="00865014"/>
    <w:rsid w:val="00865086"/>
    <w:rsid w:val="008653F5"/>
    <w:rsid w:val="008660C4"/>
    <w:rsid w:val="00866F9F"/>
    <w:rsid w:val="00867530"/>
    <w:rsid w:val="008707A3"/>
    <w:rsid w:val="00872516"/>
    <w:rsid w:val="00873EA5"/>
    <w:rsid w:val="0087440D"/>
    <w:rsid w:val="00875153"/>
    <w:rsid w:val="008756F6"/>
    <w:rsid w:val="008760FB"/>
    <w:rsid w:val="00876182"/>
    <w:rsid w:val="0088053D"/>
    <w:rsid w:val="00881644"/>
    <w:rsid w:val="008816D8"/>
    <w:rsid w:val="00886EF3"/>
    <w:rsid w:val="008911A1"/>
    <w:rsid w:val="00895173"/>
    <w:rsid w:val="00895314"/>
    <w:rsid w:val="00895C4D"/>
    <w:rsid w:val="00895F84"/>
    <w:rsid w:val="0089680C"/>
    <w:rsid w:val="00896A66"/>
    <w:rsid w:val="008A0054"/>
    <w:rsid w:val="008A09C9"/>
    <w:rsid w:val="008A238A"/>
    <w:rsid w:val="008A3A1F"/>
    <w:rsid w:val="008A3A8F"/>
    <w:rsid w:val="008A42B0"/>
    <w:rsid w:val="008A44AB"/>
    <w:rsid w:val="008A471C"/>
    <w:rsid w:val="008A5495"/>
    <w:rsid w:val="008A5C3F"/>
    <w:rsid w:val="008A764C"/>
    <w:rsid w:val="008B196D"/>
    <w:rsid w:val="008B1ABF"/>
    <w:rsid w:val="008B2FA8"/>
    <w:rsid w:val="008B5687"/>
    <w:rsid w:val="008B6405"/>
    <w:rsid w:val="008B64C1"/>
    <w:rsid w:val="008B75E1"/>
    <w:rsid w:val="008B77C8"/>
    <w:rsid w:val="008C3478"/>
    <w:rsid w:val="008C5D17"/>
    <w:rsid w:val="008C6B81"/>
    <w:rsid w:val="008C7811"/>
    <w:rsid w:val="008D11CE"/>
    <w:rsid w:val="008D24A7"/>
    <w:rsid w:val="008D24DB"/>
    <w:rsid w:val="008D38F7"/>
    <w:rsid w:val="008D73EA"/>
    <w:rsid w:val="008D76C5"/>
    <w:rsid w:val="008E06D3"/>
    <w:rsid w:val="008E0880"/>
    <w:rsid w:val="008E1838"/>
    <w:rsid w:val="008E204B"/>
    <w:rsid w:val="008E210C"/>
    <w:rsid w:val="008E231F"/>
    <w:rsid w:val="008E23ED"/>
    <w:rsid w:val="008E3552"/>
    <w:rsid w:val="008E41C7"/>
    <w:rsid w:val="008E6180"/>
    <w:rsid w:val="008F0D20"/>
    <w:rsid w:val="008F12BB"/>
    <w:rsid w:val="008F1503"/>
    <w:rsid w:val="008F2051"/>
    <w:rsid w:val="008F214A"/>
    <w:rsid w:val="008F30CE"/>
    <w:rsid w:val="008F40D3"/>
    <w:rsid w:val="008F4156"/>
    <w:rsid w:val="008F4179"/>
    <w:rsid w:val="008F4412"/>
    <w:rsid w:val="008F4DE7"/>
    <w:rsid w:val="008F54D5"/>
    <w:rsid w:val="008F6CB9"/>
    <w:rsid w:val="008F7F01"/>
    <w:rsid w:val="00900046"/>
    <w:rsid w:val="00900B57"/>
    <w:rsid w:val="00900B62"/>
    <w:rsid w:val="00902098"/>
    <w:rsid w:val="0090213D"/>
    <w:rsid w:val="00904E9D"/>
    <w:rsid w:val="00905848"/>
    <w:rsid w:val="00905C13"/>
    <w:rsid w:val="00906D72"/>
    <w:rsid w:val="009104E8"/>
    <w:rsid w:val="00913316"/>
    <w:rsid w:val="00913ACE"/>
    <w:rsid w:val="009140C0"/>
    <w:rsid w:val="00914ADC"/>
    <w:rsid w:val="009151F8"/>
    <w:rsid w:val="00915FFA"/>
    <w:rsid w:val="009162E2"/>
    <w:rsid w:val="00917A53"/>
    <w:rsid w:val="00920807"/>
    <w:rsid w:val="00922332"/>
    <w:rsid w:val="00925781"/>
    <w:rsid w:val="009264C5"/>
    <w:rsid w:val="00926C65"/>
    <w:rsid w:val="00927548"/>
    <w:rsid w:val="009317E5"/>
    <w:rsid w:val="00934EA8"/>
    <w:rsid w:val="00935651"/>
    <w:rsid w:val="00937016"/>
    <w:rsid w:val="009419A4"/>
    <w:rsid w:val="00942198"/>
    <w:rsid w:val="00942A28"/>
    <w:rsid w:val="00942BB1"/>
    <w:rsid w:val="00943801"/>
    <w:rsid w:val="00944B65"/>
    <w:rsid w:val="00945FB3"/>
    <w:rsid w:val="00946E1E"/>
    <w:rsid w:val="0095073E"/>
    <w:rsid w:val="00950742"/>
    <w:rsid w:val="009524B9"/>
    <w:rsid w:val="00952C82"/>
    <w:rsid w:val="009541EB"/>
    <w:rsid w:val="00954EDB"/>
    <w:rsid w:val="009567AC"/>
    <w:rsid w:val="009570B7"/>
    <w:rsid w:val="00957A80"/>
    <w:rsid w:val="00957FF9"/>
    <w:rsid w:val="009619DA"/>
    <w:rsid w:val="00962F67"/>
    <w:rsid w:val="0096660F"/>
    <w:rsid w:val="00966B24"/>
    <w:rsid w:val="00966BDF"/>
    <w:rsid w:val="00970AF6"/>
    <w:rsid w:val="00972651"/>
    <w:rsid w:val="00972FE7"/>
    <w:rsid w:val="009735C3"/>
    <w:rsid w:val="00973C56"/>
    <w:rsid w:val="00974390"/>
    <w:rsid w:val="00974D3C"/>
    <w:rsid w:val="009766FA"/>
    <w:rsid w:val="00976BC1"/>
    <w:rsid w:val="0097716D"/>
    <w:rsid w:val="009773E5"/>
    <w:rsid w:val="00977AF7"/>
    <w:rsid w:val="00981580"/>
    <w:rsid w:val="00982DC3"/>
    <w:rsid w:val="00983E04"/>
    <w:rsid w:val="00985566"/>
    <w:rsid w:val="00987803"/>
    <w:rsid w:val="0099447D"/>
    <w:rsid w:val="00994506"/>
    <w:rsid w:val="0099481A"/>
    <w:rsid w:val="009A0183"/>
    <w:rsid w:val="009A0CA7"/>
    <w:rsid w:val="009A1F09"/>
    <w:rsid w:val="009A24D8"/>
    <w:rsid w:val="009A4796"/>
    <w:rsid w:val="009A5D6B"/>
    <w:rsid w:val="009A716E"/>
    <w:rsid w:val="009A7F5B"/>
    <w:rsid w:val="009B21BE"/>
    <w:rsid w:val="009B2308"/>
    <w:rsid w:val="009B2972"/>
    <w:rsid w:val="009B4DA9"/>
    <w:rsid w:val="009B5662"/>
    <w:rsid w:val="009B567C"/>
    <w:rsid w:val="009B70D4"/>
    <w:rsid w:val="009B74C4"/>
    <w:rsid w:val="009B74E2"/>
    <w:rsid w:val="009C0CF7"/>
    <w:rsid w:val="009C4E6D"/>
    <w:rsid w:val="009C5CF7"/>
    <w:rsid w:val="009C75CB"/>
    <w:rsid w:val="009D09C9"/>
    <w:rsid w:val="009D1225"/>
    <w:rsid w:val="009D1254"/>
    <w:rsid w:val="009D14ED"/>
    <w:rsid w:val="009D3D77"/>
    <w:rsid w:val="009D58DC"/>
    <w:rsid w:val="009D6607"/>
    <w:rsid w:val="009D66E2"/>
    <w:rsid w:val="009D68AE"/>
    <w:rsid w:val="009D78FD"/>
    <w:rsid w:val="009E09EB"/>
    <w:rsid w:val="009E0B8A"/>
    <w:rsid w:val="009E0F95"/>
    <w:rsid w:val="009E121A"/>
    <w:rsid w:val="009E1DD0"/>
    <w:rsid w:val="009E2F46"/>
    <w:rsid w:val="009E3EB5"/>
    <w:rsid w:val="009E4C6E"/>
    <w:rsid w:val="009E4CB8"/>
    <w:rsid w:val="009E6BD8"/>
    <w:rsid w:val="009F0C5E"/>
    <w:rsid w:val="009F0EEB"/>
    <w:rsid w:val="009F116B"/>
    <w:rsid w:val="009F157D"/>
    <w:rsid w:val="009F3668"/>
    <w:rsid w:val="009F44F6"/>
    <w:rsid w:val="009F4D71"/>
    <w:rsid w:val="009F4DC0"/>
    <w:rsid w:val="009F583E"/>
    <w:rsid w:val="009F5956"/>
    <w:rsid w:val="009F59B5"/>
    <w:rsid w:val="009F6037"/>
    <w:rsid w:val="009F6625"/>
    <w:rsid w:val="009F7162"/>
    <w:rsid w:val="00A023E7"/>
    <w:rsid w:val="00A05614"/>
    <w:rsid w:val="00A058FE"/>
    <w:rsid w:val="00A06472"/>
    <w:rsid w:val="00A0687E"/>
    <w:rsid w:val="00A06F14"/>
    <w:rsid w:val="00A102D9"/>
    <w:rsid w:val="00A11627"/>
    <w:rsid w:val="00A1327D"/>
    <w:rsid w:val="00A14FBB"/>
    <w:rsid w:val="00A20507"/>
    <w:rsid w:val="00A2068F"/>
    <w:rsid w:val="00A20CCB"/>
    <w:rsid w:val="00A22910"/>
    <w:rsid w:val="00A246CD"/>
    <w:rsid w:val="00A27FC9"/>
    <w:rsid w:val="00A314A5"/>
    <w:rsid w:val="00A34D06"/>
    <w:rsid w:val="00A34F18"/>
    <w:rsid w:val="00A40892"/>
    <w:rsid w:val="00A41621"/>
    <w:rsid w:val="00A41DA8"/>
    <w:rsid w:val="00A4299A"/>
    <w:rsid w:val="00A43A8B"/>
    <w:rsid w:val="00A43F4F"/>
    <w:rsid w:val="00A47D03"/>
    <w:rsid w:val="00A53B0B"/>
    <w:rsid w:val="00A53FA7"/>
    <w:rsid w:val="00A566A7"/>
    <w:rsid w:val="00A57C9B"/>
    <w:rsid w:val="00A604CF"/>
    <w:rsid w:val="00A627F5"/>
    <w:rsid w:val="00A62A65"/>
    <w:rsid w:val="00A63FFC"/>
    <w:rsid w:val="00A6421A"/>
    <w:rsid w:val="00A657B9"/>
    <w:rsid w:val="00A657F6"/>
    <w:rsid w:val="00A663C9"/>
    <w:rsid w:val="00A670B4"/>
    <w:rsid w:val="00A70753"/>
    <w:rsid w:val="00A70DCE"/>
    <w:rsid w:val="00A7223A"/>
    <w:rsid w:val="00A73473"/>
    <w:rsid w:val="00A81E56"/>
    <w:rsid w:val="00A8222A"/>
    <w:rsid w:val="00A83349"/>
    <w:rsid w:val="00A87853"/>
    <w:rsid w:val="00A913CA"/>
    <w:rsid w:val="00A9255E"/>
    <w:rsid w:val="00A92FF2"/>
    <w:rsid w:val="00A9479B"/>
    <w:rsid w:val="00AA0B99"/>
    <w:rsid w:val="00AA1FCC"/>
    <w:rsid w:val="00AA2C22"/>
    <w:rsid w:val="00AA4D73"/>
    <w:rsid w:val="00AA4F87"/>
    <w:rsid w:val="00AA57CE"/>
    <w:rsid w:val="00AA5D71"/>
    <w:rsid w:val="00AA782D"/>
    <w:rsid w:val="00AA7A7B"/>
    <w:rsid w:val="00AA7B4C"/>
    <w:rsid w:val="00AB2508"/>
    <w:rsid w:val="00AB2925"/>
    <w:rsid w:val="00AB2E11"/>
    <w:rsid w:val="00AB4370"/>
    <w:rsid w:val="00AB43BF"/>
    <w:rsid w:val="00AB6717"/>
    <w:rsid w:val="00AB6827"/>
    <w:rsid w:val="00AB77BC"/>
    <w:rsid w:val="00AC27BA"/>
    <w:rsid w:val="00AC4DC5"/>
    <w:rsid w:val="00AC5DCA"/>
    <w:rsid w:val="00AC6E79"/>
    <w:rsid w:val="00AC769B"/>
    <w:rsid w:val="00AC7CAB"/>
    <w:rsid w:val="00AD4218"/>
    <w:rsid w:val="00AD42FF"/>
    <w:rsid w:val="00AD4EBA"/>
    <w:rsid w:val="00AD5C24"/>
    <w:rsid w:val="00AD6210"/>
    <w:rsid w:val="00AD6A53"/>
    <w:rsid w:val="00AD7E22"/>
    <w:rsid w:val="00AE0289"/>
    <w:rsid w:val="00AE26A0"/>
    <w:rsid w:val="00AE39CB"/>
    <w:rsid w:val="00AE52DF"/>
    <w:rsid w:val="00AE539C"/>
    <w:rsid w:val="00AE5874"/>
    <w:rsid w:val="00AE7A50"/>
    <w:rsid w:val="00AF0A7C"/>
    <w:rsid w:val="00AF0FA6"/>
    <w:rsid w:val="00AF1BBB"/>
    <w:rsid w:val="00AF1D3F"/>
    <w:rsid w:val="00AF1E20"/>
    <w:rsid w:val="00AF2BE3"/>
    <w:rsid w:val="00AF6D8F"/>
    <w:rsid w:val="00AF781C"/>
    <w:rsid w:val="00AF7CFE"/>
    <w:rsid w:val="00B0058F"/>
    <w:rsid w:val="00B00AAA"/>
    <w:rsid w:val="00B02D8D"/>
    <w:rsid w:val="00B04340"/>
    <w:rsid w:val="00B05635"/>
    <w:rsid w:val="00B06315"/>
    <w:rsid w:val="00B12392"/>
    <w:rsid w:val="00B12AB0"/>
    <w:rsid w:val="00B145A8"/>
    <w:rsid w:val="00B15CFF"/>
    <w:rsid w:val="00B17391"/>
    <w:rsid w:val="00B17E56"/>
    <w:rsid w:val="00B20FF7"/>
    <w:rsid w:val="00B23667"/>
    <w:rsid w:val="00B249CD"/>
    <w:rsid w:val="00B24A19"/>
    <w:rsid w:val="00B24A21"/>
    <w:rsid w:val="00B255C8"/>
    <w:rsid w:val="00B27011"/>
    <w:rsid w:val="00B27EFF"/>
    <w:rsid w:val="00B3052C"/>
    <w:rsid w:val="00B31BDC"/>
    <w:rsid w:val="00B32166"/>
    <w:rsid w:val="00B36C35"/>
    <w:rsid w:val="00B37F87"/>
    <w:rsid w:val="00B40F65"/>
    <w:rsid w:val="00B45531"/>
    <w:rsid w:val="00B51B48"/>
    <w:rsid w:val="00B51E7E"/>
    <w:rsid w:val="00B52F93"/>
    <w:rsid w:val="00B53285"/>
    <w:rsid w:val="00B55AF8"/>
    <w:rsid w:val="00B57769"/>
    <w:rsid w:val="00B57E6D"/>
    <w:rsid w:val="00B61DC2"/>
    <w:rsid w:val="00B628B4"/>
    <w:rsid w:val="00B63830"/>
    <w:rsid w:val="00B63CEB"/>
    <w:rsid w:val="00B64A5A"/>
    <w:rsid w:val="00B6605B"/>
    <w:rsid w:val="00B70205"/>
    <w:rsid w:val="00B73E25"/>
    <w:rsid w:val="00B74980"/>
    <w:rsid w:val="00B75F81"/>
    <w:rsid w:val="00B771D9"/>
    <w:rsid w:val="00B80B81"/>
    <w:rsid w:val="00B80FAC"/>
    <w:rsid w:val="00B81E62"/>
    <w:rsid w:val="00B8379D"/>
    <w:rsid w:val="00B840D0"/>
    <w:rsid w:val="00B85903"/>
    <w:rsid w:val="00B85B4F"/>
    <w:rsid w:val="00B85C43"/>
    <w:rsid w:val="00B905D4"/>
    <w:rsid w:val="00B91386"/>
    <w:rsid w:val="00B92A06"/>
    <w:rsid w:val="00B968BF"/>
    <w:rsid w:val="00B96DAE"/>
    <w:rsid w:val="00B97ECA"/>
    <w:rsid w:val="00BA1832"/>
    <w:rsid w:val="00BA1F62"/>
    <w:rsid w:val="00BA25E8"/>
    <w:rsid w:val="00BA3660"/>
    <w:rsid w:val="00BA5621"/>
    <w:rsid w:val="00BA7DD5"/>
    <w:rsid w:val="00BB06F5"/>
    <w:rsid w:val="00BB0ECD"/>
    <w:rsid w:val="00BB14B2"/>
    <w:rsid w:val="00BB27E9"/>
    <w:rsid w:val="00BB2880"/>
    <w:rsid w:val="00BB376D"/>
    <w:rsid w:val="00BB4021"/>
    <w:rsid w:val="00BB571C"/>
    <w:rsid w:val="00BB64BD"/>
    <w:rsid w:val="00BC0623"/>
    <w:rsid w:val="00BC18F6"/>
    <w:rsid w:val="00BC523D"/>
    <w:rsid w:val="00BD0596"/>
    <w:rsid w:val="00BD0F82"/>
    <w:rsid w:val="00BD34A9"/>
    <w:rsid w:val="00BD3A90"/>
    <w:rsid w:val="00BD6570"/>
    <w:rsid w:val="00BD72D2"/>
    <w:rsid w:val="00BD74FE"/>
    <w:rsid w:val="00BE05A6"/>
    <w:rsid w:val="00BE0E87"/>
    <w:rsid w:val="00BE265F"/>
    <w:rsid w:val="00BE33E6"/>
    <w:rsid w:val="00BE47F5"/>
    <w:rsid w:val="00BE7A4E"/>
    <w:rsid w:val="00BF0F10"/>
    <w:rsid w:val="00BF36ED"/>
    <w:rsid w:val="00BF4514"/>
    <w:rsid w:val="00BF4843"/>
    <w:rsid w:val="00BF4C14"/>
    <w:rsid w:val="00BF4E82"/>
    <w:rsid w:val="00BF549E"/>
    <w:rsid w:val="00BF57E3"/>
    <w:rsid w:val="00BF5CC9"/>
    <w:rsid w:val="00BF6740"/>
    <w:rsid w:val="00C04CCE"/>
    <w:rsid w:val="00C04FC5"/>
    <w:rsid w:val="00C10484"/>
    <w:rsid w:val="00C12EDD"/>
    <w:rsid w:val="00C134F6"/>
    <w:rsid w:val="00C13D1E"/>
    <w:rsid w:val="00C142A9"/>
    <w:rsid w:val="00C15BD7"/>
    <w:rsid w:val="00C167E0"/>
    <w:rsid w:val="00C16DDC"/>
    <w:rsid w:val="00C176D8"/>
    <w:rsid w:val="00C22FC7"/>
    <w:rsid w:val="00C24960"/>
    <w:rsid w:val="00C254BA"/>
    <w:rsid w:val="00C25DC4"/>
    <w:rsid w:val="00C273E6"/>
    <w:rsid w:val="00C31268"/>
    <w:rsid w:val="00C33D3A"/>
    <w:rsid w:val="00C350EA"/>
    <w:rsid w:val="00C35A3D"/>
    <w:rsid w:val="00C360CF"/>
    <w:rsid w:val="00C404B6"/>
    <w:rsid w:val="00C40553"/>
    <w:rsid w:val="00C40971"/>
    <w:rsid w:val="00C40B3B"/>
    <w:rsid w:val="00C419DB"/>
    <w:rsid w:val="00C42532"/>
    <w:rsid w:val="00C4354B"/>
    <w:rsid w:val="00C438F9"/>
    <w:rsid w:val="00C43B29"/>
    <w:rsid w:val="00C461BE"/>
    <w:rsid w:val="00C4658A"/>
    <w:rsid w:val="00C4690C"/>
    <w:rsid w:val="00C46DF9"/>
    <w:rsid w:val="00C478BB"/>
    <w:rsid w:val="00C50073"/>
    <w:rsid w:val="00C509E9"/>
    <w:rsid w:val="00C511F4"/>
    <w:rsid w:val="00C52292"/>
    <w:rsid w:val="00C532D6"/>
    <w:rsid w:val="00C54836"/>
    <w:rsid w:val="00C55E39"/>
    <w:rsid w:val="00C563AB"/>
    <w:rsid w:val="00C572DD"/>
    <w:rsid w:val="00C57E97"/>
    <w:rsid w:val="00C601C5"/>
    <w:rsid w:val="00C607E1"/>
    <w:rsid w:val="00C633C6"/>
    <w:rsid w:val="00C636FF"/>
    <w:rsid w:val="00C70BD2"/>
    <w:rsid w:val="00C723F2"/>
    <w:rsid w:val="00C72A7C"/>
    <w:rsid w:val="00C7410E"/>
    <w:rsid w:val="00C777FB"/>
    <w:rsid w:val="00C80313"/>
    <w:rsid w:val="00C80472"/>
    <w:rsid w:val="00C8177D"/>
    <w:rsid w:val="00C850E6"/>
    <w:rsid w:val="00C87C0B"/>
    <w:rsid w:val="00C922C6"/>
    <w:rsid w:val="00C93C4A"/>
    <w:rsid w:val="00C96BC9"/>
    <w:rsid w:val="00C97069"/>
    <w:rsid w:val="00CA00BF"/>
    <w:rsid w:val="00CA05D6"/>
    <w:rsid w:val="00CA1FE2"/>
    <w:rsid w:val="00CA29F3"/>
    <w:rsid w:val="00CA30B5"/>
    <w:rsid w:val="00CA6000"/>
    <w:rsid w:val="00CB1CA9"/>
    <w:rsid w:val="00CB24D1"/>
    <w:rsid w:val="00CB2D6C"/>
    <w:rsid w:val="00CB2F29"/>
    <w:rsid w:val="00CC0FB1"/>
    <w:rsid w:val="00CC1042"/>
    <w:rsid w:val="00CC1411"/>
    <w:rsid w:val="00CC2B68"/>
    <w:rsid w:val="00CC34DD"/>
    <w:rsid w:val="00CC3ABD"/>
    <w:rsid w:val="00CD05A4"/>
    <w:rsid w:val="00CD1472"/>
    <w:rsid w:val="00CD158E"/>
    <w:rsid w:val="00CD2C02"/>
    <w:rsid w:val="00CD5D4A"/>
    <w:rsid w:val="00CD6B78"/>
    <w:rsid w:val="00CD710C"/>
    <w:rsid w:val="00CE01F1"/>
    <w:rsid w:val="00CE2F9F"/>
    <w:rsid w:val="00CE4505"/>
    <w:rsid w:val="00CE4E2D"/>
    <w:rsid w:val="00CE5CD1"/>
    <w:rsid w:val="00CE5DD5"/>
    <w:rsid w:val="00CF2F11"/>
    <w:rsid w:val="00CF414A"/>
    <w:rsid w:val="00CF6597"/>
    <w:rsid w:val="00D03008"/>
    <w:rsid w:val="00D04636"/>
    <w:rsid w:val="00D07071"/>
    <w:rsid w:val="00D1018C"/>
    <w:rsid w:val="00D121AC"/>
    <w:rsid w:val="00D12C36"/>
    <w:rsid w:val="00D12CF1"/>
    <w:rsid w:val="00D13915"/>
    <w:rsid w:val="00D13A2C"/>
    <w:rsid w:val="00D14A5E"/>
    <w:rsid w:val="00D16B85"/>
    <w:rsid w:val="00D16E85"/>
    <w:rsid w:val="00D2016E"/>
    <w:rsid w:val="00D20E5B"/>
    <w:rsid w:val="00D2104E"/>
    <w:rsid w:val="00D22D4C"/>
    <w:rsid w:val="00D236B9"/>
    <w:rsid w:val="00D23BBD"/>
    <w:rsid w:val="00D24636"/>
    <w:rsid w:val="00D24A3B"/>
    <w:rsid w:val="00D24B8D"/>
    <w:rsid w:val="00D269E1"/>
    <w:rsid w:val="00D26CF9"/>
    <w:rsid w:val="00D275B6"/>
    <w:rsid w:val="00D304A6"/>
    <w:rsid w:val="00D30689"/>
    <w:rsid w:val="00D3298C"/>
    <w:rsid w:val="00D32AF1"/>
    <w:rsid w:val="00D33350"/>
    <w:rsid w:val="00D3478C"/>
    <w:rsid w:val="00D351C2"/>
    <w:rsid w:val="00D42618"/>
    <w:rsid w:val="00D42847"/>
    <w:rsid w:val="00D44FCB"/>
    <w:rsid w:val="00D4623C"/>
    <w:rsid w:val="00D4785E"/>
    <w:rsid w:val="00D51253"/>
    <w:rsid w:val="00D51FFA"/>
    <w:rsid w:val="00D52836"/>
    <w:rsid w:val="00D53CC1"/>
    <w:rsid w:val="00D551A4"/>
    <w:rsid w:val="00D57DC8"/>
    <w:rsid w:val="00D57FB4"/>
    <w:rsid w:val="00D60300"/>
    <w:rsid w:val="00D613F0"/>
    <w:rsid w:val="00D61978"/>
    <w:rsid w:val="00D61A4E"/>
    <w:rsid w:val="00D61C0B"/>
    <w:rsid w:val="00D62DDF"/>
    <w:rsid w:val="00D64C05"/>
    <w:rsid w:val="00D70B3A"/>
    <w:rsid w:val="00D70BA2"/>
    <w:rsid w:val="00D70E6C"/>
    <w:rsid w:val="00D71727"/>
    <w:rsid w:val="00D74465"/>
    <w:rsid w:val="00D75793"/>
    <w:rsid w:val="00D772B3"/>
    <w:rsid w:val="00D779DF"/>
    <w:rsid w:val="00D77D49"/>
    <w:rsid w:val="00D8089C"/>
    <w:rsid w:val="00D8204B"/>
    <w:rsid w:val="00D8428B"/>
    <w:rsid w:val="00D84EDA"/>
    <w:rsid w:val="00D8543D"/>
    <w:rsid w:val="00D86367"/>
    <w:rsid w:val="00D903BA"/>
    <w:rsid w:val="00D91705"/>
    <w:rsid w:val="00D94FF4"/>
    <w:rsid w:val="00D95FC1"/>
    <w:rsid w:val="00D96601"/>
    <w:rsid w:val="00D96B00"/>
    <w:rsid w:val="00D97223"/>
    <w:rsid w:val="00D97981"/>
    <w:rsid w:val="00DA0439"/>
    <w:rsid w:val="00DA0657"/>
    <w:rsid w:val="00DA1B6F"/>
    <w:rsid w:val="00DA4544"/>
    <w:rsid w:val="00DA6D5C"/>
    <w:rsid w:val="00DB1144"/>
    <w:rsid w:val="00DB15C9"/>
    <w:rsid w:val="00DB1A5B"/>
    <w:rsid w:val="00DB1A87"/>
    <w:rsid w:val="00DB2164"/>
    <w:rsid w:val="00DB3C54"/>
    <w:rsid w:val="00DB5536"/>
    <w:rsid w:val="00DB598E"/>
    <w:rsid w:val="00DB637C"/>
    <w:rsid w:val="00DB63FA"/>
    <w:rsid w:val="00DC2F8D"/>
    <w:rsid w:val="00DC4DA8"/>
    <w:rsid w:val="00DC58D2"/>
    <w:rsid w:val="00DC58EB"/>
    <w:rsid w:val="00DC7189"/>
    <w:rsid w:val="00DD09C1"/>
    <w:rsid w:val="00DD0AF4"/>
    <w:rsid w:val="00DD0DC7"/>
    <w:rsid w:val="00DD163F"/>
    <w:rsid w:val="00DD26F6"/>
    <w:rsid w:val="00DD768F"/>
    <w:rsid w:val="00DE07AC"/>
    <w:rsid w:val="00DE2EC0"/>
    <w:rsid w:val="00DE3D17"/>
    <w:rsid w:val="00DE4B73"/>
    <w:rsid w:val="00DE5AE7"/>
    <w:rsid w:val="00DF052B"/>
    <w:rsid w:val="00DF100E"/>
    <w:rsid w:val="00DF1255"/>
    <w:rsid w:val="00DF1B5A"/>
    <w:rsid w:val="00DF2A85"/>
    <w:rsid w:val="00DF59CD"/>
    <w:rsid w:val="00E00E6E"/>
    <w:rsid w:val="00E01F6F"/>
    <w:rsid w:val="00E035E6"/>
    <w:rsid w:val="00E03F0E"/>
    <w:rsid w:val="00E06094"/>
    <w:rsid w:val="00E06AD5"/>
    <w:rsid w:val="00E105AC"/>
    <w:rsid w:val="00E112D7"/>
    <w:rsid w:val="00E11528"/>
    <w:rsid w:val="00E13667"/>
    <w:rsid w:val="00E146E0"/>
    <w:rsid w:val="00E17059"/>
    <w:rsid w:val="00E20882"/>
    <w:rsid w:val="00E21591"/>
    <w:rsid w:val="00E25066"/>
    <w:rsid w:val="00E2612D"/>
    <w:rsid w:val="00E27640"/>
    <w:rsid w:val="00E27AA4"/>
    <w:rsid w:val="00E27BB4"/>
    <w:rsid w:val="00E31096"/>
    <w:rsid w:val="00E31A6D"/>
    <w:rsid w:val="00E31FDE"/>
    <w:rsid w:val="00E335D2"/>
    <w:rsid w:val="00E33A9D"/>
    <w:rsid w:val="00E33F1E"/>
    <w:rsid w:val="00E349C6"/>
    <w:rsid w:val="00E35F9A"/>
    <w:rsid w:val="00E37457"/>
    <w:rsid w:val="00E37735"/>
    <w:rsid w:val="00E37EE2"/>
    <w:rsid w:val="00E434EE"/>
    <w:rsid w:val="00E43553"/>
    <w:rsid w:val="00E43A1F"/>
    <w:rsid w:val="00E44B22"/>
    <w:rsid w:val="00E52736"/>
    <w:rsid w:val="00E53DF8"/>
    <w:rsid w:val="00E54857"/>
    <w:rsid w:val="00E55F99"/>
    <w:rsid w:val="00E5626D"/>
    <w:rsid w:val="00E604E0"/>
    <w:rsid w:val="00E610DF"/>
    <w:rsid w:val="00E6165F"/>
    <w:rsid w:val="00E636ED"/>
    <w:rsid w:val="00E63ECB"/>
    <w:rsid w:val="00E66D26"/>
    <w:rsid w:val="00E6731D"/>
    <w:rsid w:val="00E708CD"/>
    <w:rsid w:val="00E72C80"/>
    <w:rsid w:val="00E735C1"/>
    <w:rsid w:val="00E74084"/>
    <w:rsid w:val="00E7753A"/>
    <w:rsid w:val="00E77A27"/>
    <w:rsid w:val="00E80A14"/>
    <w:rsid w:val="00E80CFC"/>
    <w:rsid w:val="00E82606"/>
    <w:rsid w:val="00E8404F"/>
    <w:rsid w:val="00E84610"/>
    <w:rsid w:val="00E85354"/>
    <w:rsid w:val="00E86286"/>
    <w:rsid w:val="00E871A4"/>
    <w:rsid w:val="00E97666"/>
    <w:rsid w:val="00EA0E57"/>
    <w:rsid w:val="00EA14AB"/>
    <w:rsid w:val="00EA1A34"/>
    <w:rsid w:val="00EA1AEA"/>
    <w:rsid w:val="00EA1E51"/>
    <w:rsid w:val="00EA1F45"/>
    <w:rsid w:val="00EA2019"/>
    <w:rsid w:val="00EA22C9"/>
    <w:rsid w:val="00EA2740"/>
    <w:rsid w:val="00EA34C5"/>
    <w:rsid w:val="00EA39A6"/>
    <w:rsid w:val="00EA3EB3"/>
    <w:rsid w:val="00EA516A"/>
    <w:rsid w:val="00EA53A2"/>
    <w:rsid w:val="00EA58D3"/>
    <w:rsid w:val="00EA673D"/>
    <w:rsid w:val="00EA6D01"/>
    <w:rsid w:val="00EA7297"/>
    <w:rsid w:val="00EA7622"/>
    <w:rsid w:val="00EB0DFB"/>
    <w:rsid w:val="00EB23C7"/>
    <w:rsid w:val="00EB264F"/>
    <w:rsid w:val="00EB3B85"/>
    <w:rsid w:val="00EB4598"/>
    <w:rsid w:val="00EB4A4A"/>
    <w:rsid w:val="00EB5A91"/>
    <w:rsid w:val="00EC0115"/>
    <w:rsid w:val="00EC09D0"/>
    <w:rsid w:val="00EC179B"/>
    <w:rsid w:val="00EC2A7D"/>
    <w:rsid w:val="00EC2EF9"/>
    <w:rsid w:val="00EC494D"/>
    <w:rsid w:val="00EC5A35"/>
    <w:rsid w:val="00ED28A8"/>
    <w:rsid w:val="00ED3C8E"/>
    <w:rsid w:val="00ED458E"/>
    <w:rsid w:val="00ED5873"/>
    <w:rsid w:val="00ED7702"/>
    <w:rsid w:val="00ED79F6"/>
    <w:rsid w:val="00EE393D"/>
    <w:rsid w:val="00EE4B26"/>
    <w:rsid w:val="00EE5EAA"/>
    <w:rsid w:val="00EE615A"/>
    <w:rsid w:val="00EE759F"/>
    <w:rsid w:val="00EE7B27"/>
    <w:rsid w:val="00EF0351"/>
    <w:rsid w:val="00EF20A4"/>
    <w:rsid w:val="00EF40CB"/>
    <w:rsid w:val="00EF5E85"/>
    <w:rsid w:val="00EF75AB"/>
    <w:rsid w:val="00EF783C"/>
    <w:rsid w:val="00F019C6"/>
    <w:rsid w:val="00F01F6B"/>
    <w:rsid w:val="00F033A7"/>
    <w:rsid w:val="00F06E77"/>
    <w:rsid w:val="00F0776D"/>
    <w:rsid w:val="00F11C45"/>
    <w:rsid w:val="00F13124"/>
    <w:rsid w:val="00F1399B"/>
    <w:rsid w:val="00F141DE"/>
    <w:rsid w:val="00F149E9"/>
    <w:rsid w:val="00F14EFE"/>
    <w:rsid w:val="00F15D97"/>
    <w:rsid w:val="00F168AD"/>
    <w:rsid w:val="00F1719B"/>
    <w:rsid w:val="00F17F84"/>
    <w:rsid w:val="00F2080C"/>
    <w:rsid w:val="00F21FB4"/>
    <w:rsid w:val="00F23748"/>
    <w:rsid w:val="00F23BF2"/>
    <w:rsid w:val="00F26B2A"/>
    <w:rsid w:val="00F27266"/>
    <w:rsid w:val="00F279F9"/>
    <w:rsid w:val="00F306AE"/>
    <w:rsid w:val="00F32137"/>
    <w:rsid w:val="00F3524A"/>
    <w:rsid w:val="00F356FC"/>
    <w:rsid w:val="00F35A47"/>
    <w:rsid w:val="00F360E0"/>
    <w:rsid w:val="00F36459"/>
    <w:rsid w:val="00F365C9"/>
    <w:rsid w:val="00F37C91"/>
    <w:rsid w:val="00F41DA1"/>
    <w:rsid w:val="00F4296D"/>
    <w:rsid w:val="00F439EC"/>
    <w:rsid w:val="00F43A29"/>
    <w:rsid w:val="00F43C99"/>
    <w:rsid w:val="00F44F8F"/>
    <w:rsid w:val="00F52688"/>
    <w:rsid w:val="00F52D10"/>
    <w:rsid w:val="00F5315D"/>
    <w:rsid w:val="00F57A65"/>
    <w:rsid w:val="00F61C24"/>
    <w:rsid w:val="00F61FA3"/>
    <w:rsid w:val="00F61FA9"/>
    <w:rsid w:val="00F62A37"/>
    <w:rsid w:val="00F71199"/>
    <w:rsid w:val="00F72803"/>
    <w:rsid w:val="00F73434"/>
    <w:rsid w:val="00F74477"/>
    <w:rsid w:val="00F74EB6"/>
    <w:rsid w:val="00F767DE"/>
    <w:rsid w:val="00F76EB6"/>
    <w:rsid w:val="00F7705A"/>
    <w:rsid w:val="00F82001"/>
    <w:rsid w:val="00F82E16"/>
    <w:rsid w:val="00F83B14"/>
    <w:rsid w:val="00F84D40"/>
    <w:rsid w:val="00F90604"/>
    <w:rsid w:val="00F92500"/>
    <w:rsid w:val="00F95383"/>
    <w:rsid w:val="00FA1327"/>
    <w:rsid w:val="00FA2B82"/>
    <w:rsid w:val="00FA2EAE"/>
    <w:rsid w:val="00FA3671"/>
    <w:rsid w:val="00FA36F8"/>
    <w:rsid w:val="00FA3882"/>
    <w:rsid w:val="00FA47E8"/>
    <w:rsid w:val="00FA670D"/>
    <w:rsid w:val="00FA6FC9"/>
    <w:rsid w:val="00FB0A44"/>
    <w:rsid w:val="00FB1087"/>
    <w:rsid w:val="00FB16EE"/>
    <w:rsid w:val="00FB2052"/>
    <w:rsid w:val="00FB57E1"/>
    <w:rsid w:val="00FB73CF"/>
    <w:rsid w:val="00FC0DF7"/>
    <w:rsid w:val="00FC18AE"/>
    <w:rsid w:val="00FC38B5"/>
    <w:rsid w:val="00FC574C"/>
    <w:rsid w:val="00FC60E8"/>
    <w:rsid w:val="00FC663C"/>
    <w:rsid w:val="00FC6AAE"/>
    <w:rsid w:val="00FC6C3A"/>
    <w:rsid w:val="00FC76C0"/>
    <w:rsid w:val="00FD158C"/>
    <w:rsid w:val="00FD2368"/>
    <w:rsid w:val="00FD4968"/>
    <w:rsid w:val="00FD5C98"/>
    <w:rsid w:val="00FD760F"/>
    <w:rsid w:val="00FD79C6"/>
    <w:rsid w:val="00FE1A13"/>
    <w:rsid w:val="00FE2A6D"/>
    <w:rsid w:val="00FE3ED9"/>
    <w:rsid w:val="00FE4F85"/>
    <w:rsid w:val="00FE566F"/>
    <w:rsid w:val="00FE715D"/>
    <w:rsid w:val="00FF0727"/>
    <w:rsid w:val="00FF10B2"/>
    <w:rsid w:val="00FF2F14"/>
    <w:rsid w:val="00FF2FBE"/>
    <w:rsid w:val="00FF68EF"/>
    <w:rsid w:val="00FF700E"/>
    <w:rsid w:val="00FF73E9"/>
    <w:rsid w:val="017442FA"/>
    <w:rsid w:val="01841385"/>
    <w:rsid w:val="01C012ED"/>
    <w:rsid w:val="01DB1EFD"/>
    <w:rsid w:val="01FB17A8"/>
    <w:rsid w:val="02A8425B"/>
    <w:rsid w:val="02D22FAD"/>
    <w:rsid w:val="02D83FDB"/>
    <w:rsid w:val="03A271EB"/>
    <w:rsid w:val="03A52437"/>
    <w:rsid w:val="03D70A78"/>
    <w:rsid w:val="03F71927"/>
    <w:rsid w:val="03F76BEF"/>
    <w:rsid w:val="040A1BF0"/>
    <w:rsid w:val="04275653"/>
    <w:rsid w:val="043175DB"/>
    <w:rsid w:val="0433794E"/>
    <w:rsid w:val="04536AA2"/>
    <w:rsid w:val="0462668B"/>
    <w:rsid w:val="046643CE"/>
    <w:rsid w:val="049F2D71"/>
    <w:rsid w:val="04A96825"/>
    <w:rsid w:val="04B064ED"/>
    <w:rsid w:val="04BE1080"/>
    <w:rsid w:val="05084C9E"/>
    <w:rsid w:val="05271B7A"/>
    <w:rsid w:val="0531747D"/>
    <w:rsid w:val="056742BA"/>
    <w:rsid w:val="056D695A"/>
    <w:rsid w:val="05A532F8"/>
    <w:rsid w:val="05B36CA0"/>
    <w:rsid w:val="05DC1929"/>
    <w:rsid w:val="06287461"/>
    <w:rsid w:val="063949DE"/>
    <w:rsid w:val="064571B4"/>
    <w:rsid w:val="064E112E"/>
    <w:rsid w:val="066C559F"/>
    <w:rsid w:val="06950257"/>
    <w:rsid w:val="06A72A7B"/>
    <w:rsid w:val="06B54D24"/>
    <w:rsid w:val="06BF6017"/>
    <w:rsid w:val="06CE448B"/>
    <w:rsid w:val="06DF0467"/>
    <w:rsid w:val="06F105E8"/>
    <w:rsid w:val="07371C64"/>
    <w:rsid w:val="075514AC"/>
    <w:rsid w:val="076F17EB"/>
    <w:rsid w:val="07856539"/>
    <w:rsid w:val="079052BE"/>
    <w:rsid w:val="07B45450"/>
    <w:rsid w:val="07D23954"/>
    <w:rsid w:val="08294E5C"/>
    <w:rsid w:val="084C6FBD"/>
    <w:rsid w:val="08980644"/>
    <w:rsid w:val="08AB7AD0"/>
    <w:rsid w:val="08B1661A"/>
    <w:rsid w:val="08E16808"/>
    <w:rsid w:val="08FD4A01"/>
    <w:rsid w:val="091B5142"/>
    <w:rsid w:val="095F15AF"/>
    <w:rsid w:val="09A44896"/>
    <w:rsid w:val="09AB3780"/>
    <w:rsid w:val="0A0F621E"/>
    <w:rsid w:val="0A6C3D26"/>
    <w:rsid w:val="0A8807C9"/>
    <w:rsid w:val="0AD95339"/>
    <w:rsid w:val="0AEF3795"/>
    <w:rsid w:val="0AF6184C"/>
    <w:rsid w:val="0B061448"/>
    <w:rsid w:val="0B1B7477"/>
    <w:rsid w:val="0B431E52"/>
    <w:rsid w:val="0B7E571C"/>
    <w:rsid w:val="0BDE0664"/>
    <w:rsid w:val="0BF86013"/>
    <w:rsid w:val="0C040834"/>
    <w:rsid w:val="0C5B62AF"/>
    <w:rsid w:val="0C88252C"/>
    <w:rsid w:val="0CA644AE"/>
    <w:rsid w:val="0CBF5EC8"/>
    <w:rsid w:val="0CC92F67"/>
    <w:rsid w:val="0CE16E82"/>
    <w:rsid w:val="0D264F39"/>
    <w:rsid w:val="0D340160"/>
    <w:rsid w:val="0D3D1A44"/>
    <w:rsid w:val="0D467EED"/>
    <w:rsid w:val="0D50686F"/>
    <w:rsid w:val="0D58062B"/>
    <w:rsid w:val="0D6A702C"/>
    <w:rsid w:val="0D91242B"/>
    <w:rsid w:val="0DAD3DE6"/>
    <w:rsid w:val="0DC14423"/>
    <w:rsid w:val="0DDC300B"/>
    <w:rsid w:val="0E606A6F"/>
    <w:rsid w:val="0E713C39"/>
    <w:rsid w:val="0E7D1722"/>
    <w:rsid w:val="0E9A6777"/>
    <w:rsid w:val="0EAC5BB3"/>
    <w:rsid w:val="0EE87CF8"/>
    <w:rsid w:val="0F1D2448"/>
    <w:rsid w:val="0F266268"/>
    <w:rsid w:val="0F494AB0"/>
    <w:rsid w:val="0F983313"/>
    <w:rsid w:val="0FB91724"/>
    <w:rsid w:val="100E7476"/>
    <w:rsid w:val="101A42BE"/>
    <w:rsid w:val="102821F5"/>
    <w:rsid w:val="10290649"/>
    <w:rsid w:val="105D2272"/>
    <w:rsid w:val="106317C1"/>
    <w:rsid w:val="106D2640"/>
    <w:rsid w:val="10A47F84"/>
    <w:rsid w:val="10F1261D"/>
    <w:rsid w:val="112E177F"/>
    <w:rsid w:val="1169030B"/>
    <w:rsid w:val="11C42722"/>
    <w:rsid w:val="11F052D6"/>
    <w:rsid w:val="121F796A"/>
    <w:rsid w:val="122D0F2F"/>
    <w:rsid w:val="122D70FD"/>
    <w:rsid w:val="123C0E02"/>
    <w:rsid w:val="124617F8"/>
    <w:rsid w:val="124F5DD4"/>
    <w:rsid w:val="126B250C"/>
    <w:rsid w:val="12B606FD"/>
    <w:rsid w:val="12CA13B6"/>
    <w:rsid w:val="12D13C56"/>
    <w:rsid w:val="12E84200"/>
    <w:rsid w:val="13624BF9"/>
    <w:rsid w:val="137633DC"/>
    <w:rsid w:val="13D53012"/>
    <w:rsid w:val="141F388A"/>
    <w:rsid w:val="14210D4B"/>
    <w:rsid w:val="14DC5F32"/>
    <w:rsid w:val="14F74FD7"/>
    <w:rsid w:val="15144195"/>
    <w:rsid w:val="154A41E4"/>
    <w:rsid w:val="154E4FB6"/>
    <w:rsid w:val="156705E2"/>
    <w:rsid w:val="15782278"/>
    <w:rsid w:val="15951CB5"/>
    <w:rsid w:val="159A4C54"/>
    <w:rsid w:val="15A20FDE"/>
    <w:rsid w:val="15C54CCC"/>
    <w:rsid w:val="15CE1DD3"/>
    <w:rsid w:val="15D72866"/>
    <w:rsid w:val="15FB756A"/>
    <w:rsid w:val="15FE01CC"/>
    <w:rsid w:val="16041350"/>
    <w:rsid w:val="16350634"/>
    <w:rsid w:val="167B4492"/>
    <w:rsid w:val="169D388D"/>
    <w:rsid w:val="17031CD1"/>
    <w:rsid w:val="171F1650"/>
    <w:rsid w:val="171F21BA"/>
    <w:rsid w:val="177B0ACA"/>
    <w:rsid w:val="178A6A1C"/>
    <w:rsid w:val="17CC40F0"/>
    <w:rsid w:val="17DE3B24"/>
    <w:rsid w:val="17F36A71"/>
    <w:rsid w:val="180C78C4"/>
    <w:rsid w:val="18251A74"/>
    <w:rsid w:val="182D1EB3"/>
    <w:rsid w:val="19116FA1"/>
    <w:rsid w:val="197D77DB"/>
    <w:rsid w:val="19985C9C"/>
    <w:rsid w:val="199926F8"/>
    <w:rsid w:val="19B11A90"/>
    <w:rsid w:val="1A002777"/>
    <w:rsid w:val="1A175DE2"/>
    <w:rsid w:val="1A1942B9"/>
    <w:rsid w:val="1A386C13"/>
    <w:rsid w:val="1ABB46C6"/>
    <w:rsid w:val="1ACD6A40"/>
    <w:rsid w:val="1AD553C9"/>
    <w:rsid w:val="1B0C2ACA"/>
    <w:rsid w:val="1B4377AE"/>
    <w:rsid w:val="1B6F4CD3"/>
    <w:rsid w:val="1B820934"/>
    <w:rsid w:val="1B8542C4"/>
    <w:rsid w:val="1B8F3DB2"/>
    <w:rsid w:val="1BA36EAA"/>
    <w:rsid w:val="1BC31A97"/>
    <w:rsid w:val="1BD34144"/>
    <w:rsid w:val="1BE0287A"/>
    <w:rsid w:val="1C064005"/>
    <w:rsid w:val="1C082ECE"/>
    <w:rsid w:val="1C1579B0"/>
    <w:rsid w:val="1C47643B"/>
    <w:rsid w:val="1C922D83"/>
    <w:rsid w:val="1CB80D81"/>
    <w:rsid w:val="1D2952D0"/>
    <w:rsid w:val="1D4173A2"/>
    <w:rsid w:val="1D517342"/>
    <w:rsid w:val="1D854CF4"/>
    <w:rsid w:val="1DBA3223"/>
    <w:rsid w:val="1DD64B1F"/>
    <w:rsid w:val="1DDF4755"/>
    <w:rsid w:val="1DFE3759"/>
    <w:rsid w:val="1E1C3180"/>
    <w:rsid w:val="1E3D0E98"/>
    <w:rsid w:val="1E432670"/>
    <w:rsid w:val="1E6B1266"/>
    <w:rsid w:val="1E7A6524"/>
    <w:rsid w:val="1E9136F8"/>
    <w:rsid w:val="1E9A1A93"/>
    <w:rsid w:val="1ED02243"/>
    <w:rsid w:val="1EE42FA2"/>
    <w:rsid w:val="1F1963BA"/>
    <w:rsid w:val="1F7D1BB1"/>
    <w:rsid w:val="1FC4572B"/>
    <w:rsid w:val="207D1EB6"/>
    <w:rsid w:val="20CF6B56"/>
    <w:rsid w:val="210B4229"/>
    <w:rsid w:val="212550F3"/>
    <w:rsid w:val="214D0379"/>
    <w:rsid w:val="21526338"/>
    <w:rsid w:val="21531782"/>
    <w:rsid w:val="2154593F"/>
    <w:rsid w:val="21627A7F"/>
    <w:rsid w:val="21A63948"/>
    <w:rsid w:val="21AC54F6"/>
    <w:rsid w:val="21E55866"/>
    <w:rsid w:val="21FD5491"/>
    <w:rsid w:val="221128F1"/>
    <w:rsid w:val="22123047"/>
    <w:rsid w:val="22430DFD"/>
    <w:rsid w:val="22653EED"/>
    <w:rsid w:val="227F301E"/>
    <w:rsid w:val="22CA56D0"/>
    <w:rsid w:val="22EF23A3"/>
    <w:rsid w:val="230B54CD"/>
    <w:rsid w:val="233A5155"/>
    <w:rsid w:val="237E2DED"/>
    <w:rsid w:val="23E37966"/>
    <w:rsid w:val="23F21242"/>
    <w:rsid w:val="24056C0C"/>
    <w:rsid w:val="24174945"/>
    <w:rsid w:val="244C6FA1"/>
    <w:rsid w:val="2453076C"/>
    <w:rsid w:val="24540A05"/>
    <w:rsid w:val="249E7C1F"/>
    <w:rsid w:val="24AF3183"/>
    <w:rsid w:val="24E756F7"/>
    <w:rsid w:val="24FA6B00"/>
    <w:rsid w:val="25104070"/>
    <w:rsid w:val="256528B6"/>
    <w:rsid w:val="25746D8F"/>
    <w:rsid w:val="25AF7C37"/>
    <w:rsid w:val="25BA2131"/>
    <w:rsid w:val="25CC148F"/>
    <w:rsid w:val="25FB4E78"/>
    <w:rsid w:val="263B7E57"/>
    <w:rsid w:val="266B7360"/>
    <w:rsid w:val="26976211"/>
    <w:rsid w:val="26C44ACD"/>
    <w:rsid w:val="26F5521B"/>
    <w:rsid w:val="26F91529"/>
    <w:rsid w:val="2759134E"/>
    <w:rsid w:val="27880CCE"/>
    <w:rsid w:val="27B77907"/>
    <w:rsid w:val="27D65E07"/>
    <w:rsid w:val="27F154AD"/>
    <w:rsid w:val="27F754CA"/>
    <w:rsid w:val="27F80E53"/>
    <w:rsid w:val="28065AFB"/>
    <w:rsid w:val="281318C7"/>
    <w:rsid w:val="2814612D"/>
    <w:rsid w:val="284A263A"/>
    <w:rsid w:val="28591E4C"/>
    <w:rsid w:val="286427D1"/>
    <w:rsid w:val="288A1B89"/>
    <w:rsid w:val="28A04005"/>
    <w:rsid w:val="28AF74A9"/>
    <w:rsid w:val="28D252DE"/>
    <w:rsid w:val="28F72937"/>
    <w:rsid w:val="28F96D0F"/>
    <w:rsid w:val="28FC7CA8"/>
    <w:rsid w:val="290A53C7"/>
    <w:rsid w:val="29581C87"/>
    <w:rsid w:val="295A6264"/>
    <w:rsid w:val="298E7AED"/>
    <w:rsid w:val="29A76DE1"/>
    <w:rsid w:val="29D93688"/>
    <w:rsid w:val="2A194347"/>
    <w:rsid w:val="2A1D7359"/>
    <w:rsid w:val="2A9038C1"/>
    <w:rsid w:val="2A950198"/>
    <w:rsid w:val="2AC14B65"/>
    <w:rsid w:val="2AC3613C"/>
    <w:rsid w:val="2AD22DC8"/>
    <w:rsid w:val="2B094877"/>
    <w:rsid w:val="2B1F5FA8"/>
    <w:rsid w:val="2B2709D1"/>
    <w:rsid w:val="2B295921"/>
    <w:rsid w:val="2B386066"/>
    <w:rsid w:val="2B533853"/>
    <w:rsid w:val="2B5770EC"/>
    <w:rsid w:val="2B763B4B"/>
    <w:rsid w:val="2BE0361F"/>
    <w:rsid w:val="2C052212"/>
    <w:rsid w:val="2C0E435F"/>
    <w:rsid w:val="2C360D90"/>
    <w:rsid w:val="2C8258CA"/>
    <w:rsid w:val="2C8F7203"/>
    <w:rsid w:val="2C9034E6"/>
    <w:rsid w:val="2CBE4665"/>
    <w:rsid w:val="2CEF46B1"/>
    <w:rsid w:val="2D684CDE"/>
    <w:rsid w:val="2D9B0933"/>
    <w:rsid w:val="2DA2292A"/>
    <w:rsid w:val="2DF633BB"/>
    <w:rsid w:val="2DF65BB0"/>
    <w:rsid w:val="2E2C6BA8"/>
    <w:rsid w:val="2E3F51C4"/>
    <w:rsid w:val="2E553988"/>
    <w:rsid w:val="2E603777"/>
    <w:rsid w:val="2E641A7D"/>
    <w:rsid w:val="2EA15273"/>
    <w:rsid w:val="2F1A550D"/>
    <w:rsid w:val="2F373F2F"/>
    <w:rsid w:val="2F403519"/>
    <w:rsid w:val="2F4E2CF9"/>
    <w:rsid w:val="2F5A149A"/>
    <w:rsid w:val="2F911A4F"/>
    <w:rsid w:val="2F981ADA"/>
    <w:rsid w:val="2FC60F8C"/>
    <w:rsid w:val="2FD408F8"/>
    <w:rsid w:val="2FF975F4"/>
    <w:rsid w:val="301A6E36"/>
    <w:rsid w:val="305F138B"/>
    <w:rsid w:val="30BA2526"/>
    <w:rsid w:val="30BC047F"/>
    <w:rsid w:val="31071897"/>
    <w:rsid w:val="3129667A"/>
    <w:rsid w:val="316F26C1"/>
    <w:rsid w:val="31961AB9"/>
    <w:rsid w:val="31AB5148"/>
    <w:rsid w:val="31DB38CC"/>
    <w:rsid w:val="32266A2C"/>
    <w:rsid w:val="32412F68"/>
    <w:rsid w:val="324616E0"/>
    <w:rsid w:val="32656BA1"/>
    <w:rsid w:val="32750728"/>
    <w:rsid w:val="32951856"/>
    <w:rsid w:val="32A85C69"/>
    <w:rsid w:val="32C401B9"/>
    <w:rsid w:val="32C94540"/>
    <w:rsid w:val="33124664"/>
    <w:rsid w:val="33365F14"/>
    <w:rsid w:val="337C3E29"/>
    <w:rsid w:val="337C599D"/>
    <w:rsid w:val="33997628"/>
    <w:rsid w:val="33BA6B1A"/>
    <w:rsid w:val="33DA2D02"/>
    <w:rsid w:val="34272842"/>
    <w:rsid w:val="346E362F"/>
    <w:rsid w:val="3489694E"/>
    <w:rsid w:val="34BA7736"/>
    <w:rsid w:val="34ED30CB"/>
    <w:rsid w:val="3509393A"/>
    <w:rsid w:val="350F26F1"/>
    <w:rsid w:val="355570C0"/>
    <w:rsid w:val="35867B7C"/>
    <w:rsid w:val="35C4227A"/>
    <w:rsid w:val="35EE03C3"/>
    <w:rsid w:val="35FE5964"/>
    <w:rsid w:val="360F17EB"/>
    <w:rsid w:val="36245292"/>
    <w:rsid w:val="362C50C6"/>
    <w:rsid w:val="36405F1E"/>
    <w:rsid w:val="3643781B"/>
    <w:rsid w:val="36502DF4"/>
    <w:rsid w:val="366C6C5C"/>
    <w:rsid w:val="36A84F7B"/>
    <w:rsid w:val="36F325FE"/>
    <w:rsid w:val="36F472A4"/>
    <w:rsid w:val="372F6D27"/>
    <w:rsid w:val="374D6E8A"/>
    <w:rsid w:val="3777527A"/>
    <w:rsid w:val="379D785B"/>
    <w:rsid w:val="37A35F51"/>
    <w:rsid w:val="37A71B1A"/>
    <w:rsid w:val="37B2260A"/>
    <w:rsid w:val="37C62713"/>
    <w:rsid w:val="37E1553E"/>
    <w:rsid w:val="37F16A23"/>
    <w:rsid w:val="380F20AB"/>
    <w:rsid w:val="38530FF4"/>
    <w:rsid w:val="387E4B3B"/>
    <w:rsid w:val="38932778"/>
    <w:rsid w:val="38BB46CE"/>
    <w:rsid w:val="38DF4E8F"/>
    <w:rsid w:val="38FD3784"/>
    <w:rsid w:val="39111E53"/>
    <w:rsid w:val="39353A54"/>
    <w:rsid w:val="395E2772"/>
    <w:rsid w:val="39813303"/>
    <w:rsid w:val="39BC1DBE"/>
    <w:rsid w:val="39FE1237"/>
    <w:rsid w:val="3A06128C"/>
    <w:rsid w:val="3A4248BC"/>
    <w:rsid w:val="3A91085B"/>
    <w:rsid w:val="3AA44FE1"/>
    <w:rsid w:val="3AB331C1"/>
    <w:rsid w:val="3AB74334"/>
    <w:rsid w:val="3ABE0D08"/>
    <w:rsid w:val="3AEA6A92"/>
    <w:rsid w:val="3B281408"/>
    <w:rsid w:val="3B52630A"/>
    <w:rsid w:val="3B8C763D"/>
    <w:rsid w:val="3BC53255"/>
    <w:rsid w:val="3BD93B72"/>
    <w:rsid w:val="3BF501FD"/>
    <w:rsid w:val="3C18508C"/>
    <w:rsid w:val="3CD054FB"/>
    <w:rsid w:val="3D053C17"/>
    <w:rsid w:val="3D44766B"/>
    <w:rsid w:val="3D6D7CBA"/>
    <w:rsid w:val="3DA34479"/>
    <w:rsid w:val="3DD11BB1"/>
    <w:rsid w:val="3DE93A81"/>
    <w:rsid w:val="3DFC6C4A"/>
    <w:rsid w:val="3E15394A"/>
    <w:rsid w:val="3E2D1D1E"/>
    <w:rsid w:val="3E681972"/>
    <w:rsid w:val="3E824356"/>
    <w:rsid w:val="3EBD5752"/>
    <w:rsid w:val="3EC80EC6"/>
    <w:rsid w:val="3EEC1F9B"/>
    <w:rsid w:val="3F185662"/>
    <w:rsid w:val="3F32593D"/>
    <w:rsid w:val="3F5C12A3"/>
    <w:rsid w:val="3F9A4950"/>
    <w:rsid w:val="3FA37A82"/>
    <w:rsid w:val="3FA63B5D"/>
    <w:rsid w:val="3FAC01DF"/>
    <w:rsid w:val="3FF96810"/>
    <w:rsid w:val="40041DC9"/>
    <w:rsid w:val="40247A79"/>
    <w:rsid w:val="40381A73"/>
    <w:rsid w:val="404C3770"/>
    <w:rsid w:val="408113ED"/>
    <w:rsid w:val="408769E3"/>
    <w:rsid w:val="40913CE1"/>
    <w:rsid w:val="40B54496"/>
    <w:rsid w:val="40B70C98"/>
    <w:rsid w:val="41993FCC"/>
    <w:rsid w:val="41EC69D4"/>
    <w:rsid w:val="420B5DF7"/>
    <w:rsid w:val="424C047B"/>
    <w:rsid w:val="424E6AAA"/>
    <w:rsid w:val="426D634C"/>
    <w:rsid w:val="42DA459A"/>
    <w:rsid w:val="43010842"/>
    <w:rsid w:val="430D64AD"/>
    <w:rsid w:val="431251DE"/>
    <w:rsid w:val="43166FCC"/>
    <w:rsid w:val="432C1F92"/>
    <w:rsid w:val="432C227C"/>
    <w:rsid w:val="43462A0F"/>
    <w:rsid w:val="43ED0DC6"/>
    <w:rsid w:val="440C4258"/>
    <w:rsid w:val="443B6BCD"/>
    <w:rsid w:val="443B7D84"/>
    <w:rsid w:val="446C2B0B"/>
    <w:rsid w:val="449D0319"/>
    <w:rsid w:val="44AE0556"/>
    <w:rsid w:val="44B8512D"/>
    <w:rsid w:val="44F528E4"/>
    <w:rsid w:val="4513485D"/>
    <w:rsid w:val="45761763"/>
    <w:rsid w:val="45842042"/>
    <w:rsid w:val="45A71B75"/>
    <w:rsid w:val="45B63B66"/>
    <w:rsid w:val="45C96EBD"/>
    <w:rsid w:val="45D061D9"/>
    <w:rsid w:val="46064B1F"/>
    <w:rsid w:val="46454EEA"/>
    <w:rsid w:val="4676409F"/>
    <w:rsid w:val="468974CC"/>
    <w:rsid w:val="469C5200"/>
    <w:rsid w:val="46C71EE0"/>
    <w:rsid w:val="47157C82"/>
    <w:rsid w:val="47752D74"/>
    <w:rsid w:val="477912EF"/>
    <w:rsid w:val="478A341D"/>
    <w:rsid w:val="48027536"/>
    <w:rsid w:val="481D686D"/>
    <w:rsid w:val="481F62FD"/>
    <w:rsid w:val="48300895"/>
    <w:rsid w:val="483355F2"/>
    <w:rsid w:val="48506438"/>
    <w:rsid w:val="486155B9"/>
    <w:rsid w:val="486D0453"/>
    <w:rsid w:val="48887A00"/>
    <w:rsid w:val="488B5598"/>
    <w:rsid w:val="488E3339"/>
    <w:rsid w:val="48923933"/>
    <w:rsid w:val="48A71E8C"/>
    <w:rsid w:val="48CB0FB3"/>
    <w:rsid w:val="49035396"/>
    <w:rsid w:val="495D433B"/>
    <w:rsid w:val="49A53D20"/>
    <w:rsid w:val="49B50A29"/>
    <w:rsid w:val="49C84177"/>
    <w:rsid w:val="49CE647D"/>
    <w:rsid w:val="49EE207F"/>
    <w:rsid w:val="49F569A9"/>
    <w:rsid w:val="4A02381D"/>
    <w:rsid w:val="4A224FCC"/>
    <w:rsid w:val="4A2D0A73"/>
    <w:rsid w:val="4A37263C"/>
    <w:rsid w:val="4A4A53BB"/>
    <w:rsid w:val="4A640C72"/>
    <w:rsid w:val="4A9C6DCD"/>
    <w:rsid w:val="4AB621AF"/>
    <w:rsid w:val="4ABE44F6"/>
    <w:rsid w:val="4AD6218B"/>
    <w:rsid w:val="4AD81B8C"/>
    <w:rsid w:val="4AE52770"/>
    <w:rsid w:val="4AED125B"/>
    <w:rsid w:val="4B6418E3"/>
    <w:rsid w:val="4B75264A"/>
    <w:rsid w:val="4B771102"/>
    <w:rsid w:val="4BD03DBE"/>
    <w:rsid w:val="4BFA205D"/>
    <w:rsid w:val="4C0C5BFB"/>
    <w:rsid w:val="4C184B28"/>
    <w:rsid w:val="4C243D45"/>
    <w:rsid w:val="4C3C319E"/>
    <w:rsid w:val="4C42415C"/>
    <w:rsid w:val="4C4E1FD2"/>
    <w:rsid w:val="4CC01E3B"/>
    <w:rsid w:val="4D0746F9"/>
    <w:rsid w:val="4D3D7E96"/>
    <w:rsid w:val="4D3F1F98"/>
    <w:rsid w:val="4D673998"/>
    <w:rsid w:val="4D7459BA"/>
    <w:rsid w:val="4D984504"/>
    <w:rsid w:val="4DB30ECD"/>
    <w:rsid w:val="4DF844BD"/>
    <w:rsid w:val="4E0B19C0"/>
    <w:rsid w:val="4E267A75"/>
    <w:rsid w:val="4E2E080A"/>
    <w:rsid w:val="4E4F113A"/>
    <w:rsid w:val="4E74636C"/>
    <w:rsid w:val="4E7A59B2"/>
    <w:rsid w:val="4EA3344E"/>
    <w:rsid w:val="4EAA45B7"/>
    <w:rsid w:val="4ED676B8"/>
    <w:rsid w:val="4F4420B0"/>
    <w:rsid w:val="4F734C70"/>
    <w:rsid w:val="4F8F1792"/>
    <w:rsid w:val="4F955947"/>
    <w:rsid w:val="4FE155E6"/>
    <w:rsid w:val="4FFB0720"/>
    <w:rsid w:val="50011E81"/>
    <w:rsid w:val="5001696E"/>
    <w:rsid w:val="50274E49"/>
    <w:rsid w:val="502F25B7"/>
    <w:rsid w:val="507E7976"/>
    <w:rsid w:val="508F1B83"/>
    <w:rsid w:val="509E234E"/>
    <w:rsid w:val="50B94437"/>
    <w:rsid w:val="50BD33C3"/>
    <w:rsid w:val="515D70BA"/>
    <w:rsid w:val="51CD0D7A"/>
    <w:rsid w:val="51D51818"/>
    <w:rsid w:val="51FF4AE6"/>
    <w:rsid w:val="521A1886"/>
    <w:rsid w:val="522330A5"/>
    <w:rsid w:val="522530D5"/>
    <w:rsid w:val="52263263"/>
    <w:rsid w:val="525C5A95"/>
    <w:rsid w:val="526D6584"/>
    <w:rsid w:val="528046CF"/>
    <w:rsid w:val="52CB547B"/>
    <w:rsid w:val="52E861A2"/>
    <w:rsid w:val="534A0626"/>
    <w:rsid w:val="539B01A9"/>
    <w:rsid w:val="53AA6E6F"/>
    <w:rsid w:val="53E82F40"/>
    <w:rsid w:val="54130969"/>
    <w:rsid w:val="54207134"/>
    <w:rsid w:val="54314672"/>
    <w:rsid w:val="545B7419"/>
    <w:rsid w:val="546E44B5"/>
    <w:rsid w:val="547662E2"/>
    <w:rsid w:val="5489020C"/>
    <w:rsid w:val="54B3647E"/>
    <w:rsid w:val="554D7917"/>
    <w:rsid w:val="555B0C27"/>
    <w:rsid w:val="55A40876"/>
    <w:rsid w:val="55B1721A"/>
    <w:rsid w:val="560C7174"/>
    <w:rsid w:val="56332FB1"/>
    <w:rsid w:val="568E6E04"/>
    <w:rsid w:val="56925F47"/>
    <w:rsid w:val="56B861EB"/>
    <w:rsid w:val="56BE7DCD"/>
    <w:rsid w:val="56D40761"/>
    <w:rsid w:val="570D302A"/>
    <w:rsid w:val="57481454"/>
    <w:rsid w:val="57561608"/>
    <w:rsid w:val="575C7D57"/>
    <w:rsid w:val="577C7EF7"/>
    <w:rsid w:val="57A53A3A"/>
    <w:rsid w:val="57AD2A5B"/>
    <w:rsid w:val="57C72904"/>
    <w:rsid w:val="57EE718F"/>
    <w:rsid w:val="580175A7"/>
    <w:rsid w:val="580641A9"/>
    <w:rsid w:val="581E51DD"/>
    <w:rsid w:val="58336587"/>
    <w:rsid w:val="5883419B"/>
    <w:rsid w:val="58BE1257"/>
    <w:rsid w:val="58DB32EA"/>
    <w:rsid w:val="593212FE"/>
    <w:rsid w:val="59471EF0"/>
    <w:rsid w:val="594F0F45"/>
    <w:rsid w:val="595217BA"/>
    <w:rsid w:val="59526C22"/>
    <w:rsid w:val="598C7282"/>
    <w:rsid w:val="59A84A25"/>
    <w:rsid w:val="59AC11B8"/>
    <w:rsid w:val="59BC506B"/>
    <w:rsid w:val="59D4110B"/>
    <w:rsid w:val="59FD5420"/>
    <w:rsid w:val="5A08387B"/>
    <w:rsid w:val="5A445409"/>
    <w:rsid w:val="5A64097A"/>
    <w:rsid w:val="5A683452"/>
    <w:rsid w:val="5ABE2F3D"/>
    <w:rsid w:val="5B205979"/>
    <w:rsid w:val="5B4C7C35"/>
    <w:rsid w:val="5B6776E7"/>
    <w:rsid w:val="5BA74539"/>
    <w:rsid w:val="5BAE3E02"/>
    <w:rsid w:val="5BE82357"/>
    <w:rsid w:val="5C1F78BB"/>
    <w:rsid w:val="5C2C7801"/>
    <w:rsid w:val="5C580288"/>
    <w:rsid w:val="5CAC69BE"/>
    <w:rsid w:val="5CD56B70"/>
    <w:rsid w:val="5D232D31"/>
    <w:rsid w:val="5D395C6E"/>
    <w:rsid w:val="5D6634FE"/>
    <w:rsid w:val="5D6E3E5A"/>
    <w:rsid w:val="5DC03AEF"/>
    <w:rsid w:val="5DF447F2"/>
    <w:rsid w:val="5DF66FD5"/>
    <w:rsid w:val="5DF83A5E"/>
    <w:rsid w:val="5E081F3F"/>
    <w:rsid w:val="5E3738AD"/>
    <w:rsid w:val="5E670223"/>
    <w:rsid w:val="5E7B72A3"/>
    <w:rsid w:val="5E8121AE"/>
    <w:rsid w:val="5E9E4B66"/>
    <w:rsid w:val="5EC300B3"/>
    <w:rsid w:val="5ECF4902"/>
    <w:rsid w:val="5F02328B"/>
    <w:rsid w:val="5F10410C"/>
    <w:rsid w:val="5F13572D"/>
    <w:rsid w:val="5F156B2D"/>
    <w:rsid w:val="5F7701D5"/>
    <w:rsid w:val="5FB36999"/>
    <w:rsid w:val="601E76C8"/>
    <w:rsid w:val="60352092"/>
    <w:rsid w:val="60687CFB"/>
    <w:rsid w:val="606D3738"/>
    <w:rsid w:val="60714E01"/>
    <w:rsid w:val="6077304D"/>
    <w:rsid w:val="60811272"/>
    <w:rsid w:val="60DE7A23"/>
    <w:rsid w:val="60E60C13"/>
    <w:rsid w:val="613D270C"/>
    <w:rsid w:val="61C96A54"/>
    <w:rsid w:val="61CF43CF"/>
    <w:rsid w:val="620A4FA5"/>
    <w:rsid w:val="623B5EE8"/>
    <w:rsid w:val="62487DE4"/>
    <w:rsid w:val="62502EEB"/>
    <w:rsid w:val="62806D1B"/>
    <w:rsid w:val="62CA31D3"/>
    <w:rsid w:val="62D0033C"/>
    <w:rsid w:val="62E435AD"/>
    <w:rsid w:val="63077F44"/>
    <w:rsid w:val="630A278A"/>
    <w:rsid w:val="639C4FBF"/>
    <w:rsid w:val="63AE011A"/>
    <w:rsid w:val="63C01445"/>
    <w:rsid w:val="63C94198"/>
    <w:rsid w:val="63E91153"/>
    <w:rsid w:val="64017788"/>
    <w:rsid w:val="641D732B"/>
    <w:rsid w:val="64524C71"/>
    <w:rsid w:val="646D0914"/>
    <w:rsid w:val="647B7E73"/>
    <w:rsid w:val="648B3BA9"/>
    <w:rsid w:val="64B13D6E"/>
    <w:rsid w:val="64C01CA5"/>
    <w:rsid w:val="64F600C7"/>
    <w:rsid w:val="64F71AFF"/>
    <w:rsid w:val="64F802EA"/>
    <w:rsid w:val="65230A03"/>
    <w:rsid w:val="65537FE3"/>
    <w:rsid w:val="656E421D"/>
    <w:rsid w:val="658735BB"/>
    <w:rsid w:val="65A315AE"/>
    <w:rsid w:val="65AD28FE"/>
    <w:rsid w:val="65AE4FD3"/>
    <w:rsid w:val="65C366C8"/>
    <w:rsid w:val="65C82CB3"/>
    <w:rsid w:val="65D24ECB"/>
    <w:rsid w:val="66287BC3"/>
    <w:rsid w:val="663B5CF3"/>
    <w:rsid w:val="66652D12"/>
    <w:rsid w:val="667A5BF0"/>
    <w:rsid w:val="66BB13B7"/>
    <w:rsid w:val="66F760B7"/>
    <w:rsid w:val="670460F0"/>
    <w:rsid w:val="671B618D"/>
    <w:rsid w:val="672079CE"/>
    <w:rsid w:val="67627252"/>
    <w:rsid w:val="67727B56"/>
    <w:rsid w:val="67A67CB7"/>
    <w:rsid w:val="67AF2004"/>
    <w:rsid w:val="67C24944"/>
    <w:rsid w:val="67D02DE3"/>
    <w:rsid w:val="67D52BF4"/>
    <w:rsid w:val="67FB3ECF"/>
    <w:rsid w:val="68014955"/>
    <w:rsid w:val="68396D3E"/>
    <w:rsid w:val="68750541"/>
    <w:rsid w:val="68AA0EB0"/>
    <w:rsid w:val="68E55C3C"/>
    <w:rsid w:val="68F0705B"/>
    <w:rsid w:val="69104A4C"/>
    <w:rsid w:val="6917406C"/>
    <w:rsid w:val="69763C4C"/>
    <w:rsid w:val="6A0E5176"/>
    <w:rsid w:val="6A4A2906"/>
    <w:rsid w:val="6A670A44"/>
    <w:rsid w:val="6A6E23B2"/>
    <w:rsid w:val="6AE0593C"/>
    <w:rsid w:val="6B275BCB"/>
    <w:rsid w:val="6B2E65E9"/>
    <w:rsid w:val="6B9A47AC"/>
    <w:rsid w:val="6BE71121"/>
    <w:rsid w:val="6BF23B1A"/>
    <w:rsid w:val="6C0B0BB1"/>
    <w:rsid w:val="6C1C1295"/>
    <w:rsid w:val="6C4038DA"/>
    <w:rsid w:val="6CAA361C"/>
    <w:rsid w:val="6CC34D2E"/>
    <w:rsid w:val="6D070432"/>
    <w:rsid w:val="6D22586C"/>
    <w:rsid w:val="6D290A41"/>
    <w:rsid w:val="6D2F0B61"/>
    <w:rsid w:val="6D39305B"/>
    <w:rsid w:val="6D9F2EF3"/>
    <w:rsid w:val="6DB90768"/>
    <w:rsid w:val="6DBE4B05"/>
    <w:rsid w:val="6DED2465"/>
    <w:rsid w:val="6E070ABA"/>
    <w:rsid w:val="6E1D2124"/>
    <w:rsid w:val="6E90449D"/>
    <w:rsid w:val="6ED71E7D"/>
    <w:rsid w:val="6EDF387E"/>
    <w:rsid w:val="6F2861E7"/>
    <w:rsid w:val="6F335943"/>
    <w:rsid w:val="6F354B8E"/>
    <w:rsid w:val="6F380B8E"/>
    <w:rsid w:val="6F487CDD"/>
    <w:rsid w:val="6F712728"/>
    <w:rsid w:val="6F8133B6"/>
    <w:rsid w:val="70441BEA"/>
    <w:rsid w:val="70482301"/>
    <w:rsid w:val="705C49E8"/>
    <w:rsid w:val="706043F6"/>
    <w:rsid w:val="708F38BB"/>
    <w:rsid w:val="70900E43"/>
    <w:rsid w:val="712D7C5D"/>
    <w:rsid w:val="71895FDC"/>
    <w:rsid w:val="71AF3CF0"/>
    <w:rsid w:val="71B42E25"/>
    <w:rsid w:val="71D06C46"/>
    <w:rsid w:val="71D15F71"/>
    <w:rsid w:val="720A7EC3"/>
    <w:rsid w:val="724524A3"/>
    <w:rsid w:val="7249322F"/>
    <w:rsid w:val="726B0A7C"/>
    <w:rsid w:val="726E69C7"/>
    <w:rsid w:val="727A1735"/>
    <w:rsid w:val="72857336"/>
    <w:rsid w:val="72A94CAD"/>
    <w:rsid w:val="72C834C6"/>
    <w:rsid w:val="73667ADF"/>
    <w:rsid w:val="7392390B"/>
    <w:rsid w:val="73BB5FFC"/>
    <w:rsid w:val="73DC27D7"/>
    <w:rsid w:val="73F863E7"/>
    <w:rsid w:val="73FE2876"/>
    <w:rsid w:val="745E0873"/>
    <w:rsid w:val="74AE12B5"/>
    <w:rsid w:val="74EF0830"/>
    <w:rsid w:val="75092201"/>
    <w:rsid w:val="75102B6D"/>
    <w:rsid w:val="751C1DAC"/>
    <w:rsid w:val="752E4419"/>
    <w:rsid w:val="75355FA6"/>
    <w:rsid w:val="755F632A"/>
    <w:rsid w:val="75650DBE"/>
    <w:rsid w:val="75926F9B"/>
    <w:rsid w:val="75D307FB"/>
    <w:rsid w:val="75E838A5"/>
    <w:rsid w:val="764C63FC"/>
    <w:rsid w:val="76870A83"/>
    <w:rsid w:val="76DA14E7"/>
    <w:rsid w:val="76F82A61"/>
    <w:rsid w:val="770E5868"/>
    <w:rsid w:val="773F40BA"/>
    <w:rsid w:val="77B16E00"/>
    <w:rsid w:val="77E93077"/>
    <w:rsid w:val="783A263E"/>
    <w:rsid w:val="78427596"/>
    <w:rsid w:val="784A7738"/>
    <w:rsid w:val="787677ED"/>
    <w:rsid w:val="78D3651B"/>
    <w:rsid w:val="791042D0"/>
    <w:rsid w:val="795035B5"/>
    <w:rsid w:val="798F6CC9"/>
    <w:rsid w:val="79A00049"/>
    <w:rsid w:val="79AD0E19"/>
    <w:rsid w:val="79E32A68"/>
    <w:rsid w:val="79E74DBD"/>
    <w:rsid w:val="79F75F20"/>
    <w:rsid w:val="7A155DB4"/>
    <w:rsid w:val="7A175E4A"/>
    <w:rsid w:val="7A19518C"/>
    <w:rsid w:val="7A1F5FB2"/>
    <w:rsid w:val="7A685CAA"/>
    <w:rsid w:val="7A6F2DB8"/>
    <w:rsid w:val="7A760339"/>
    <w:rsid w:val="7A7968A5"/>
    <w:rsid w:val="7A8A57A4"/>
    <w:rsid w:val="7AA63EA1"/>
    <w:rsid w:val="7AB53996"/>
    <w:rsid w:val="7ABC2356"/>
    <w:rsid w:val="7ABE4C8F"/>
    <w:rsid w:val="7AD8620E"/>
    <w:rsid w:val="7ADD3D26"/>
    <w:rsid w:val="7ADF203F"/>
    <w:rsid w:val="7AF904A7"/>
    <w:rsid w:val="7B023997"/>
    <w:rsid w:val="7B05467C"/>
    <w:rsid w:val="7B30793B"/>
    <w:rsid w:val="7B324E29"/>
    <w:rsid w:val="7B3C63B0"/>
    <w:rsid w:val="7B5E5723"/>
    <w:rsid w:val="7B635E88"/>
    <w:rsid w:val="7B6969A9"/>
    <w:rsid w:val="7B6F2546"/>
    <w:rsid w:val="7BB8142E"/>
    <w:rsid w:val="7BC959E8"/>
    <w:rsid w:val="7C647170"/>
    <w:rsid w:val="7CCF602B"/>
    <w:rsid w:val="7CE7095F"/>
    <w:rsid w:val="7D8B7F83"/>
    <w:rsid w:val="7D96397E"/>
    <w:rsid w:val="7DCF18E9"/>
    <w:rsid w:val="7DE9169E"/>
    <w:rsid w:val="7DF1015F"/>
    <w:rsid w:val="7DF975A7"/>
    <w:rsid w:val="7DFD4E25"/>
    <w:rsid w:val="7E7270C8"/>
    <w:rsid w:val="7E796AAF"/>
    <w:rsid w:val="7E872BE1"/>
    <w:rsid w:val="7E9D7B39"/>
    <w:rsid w:val="7ECE417E"/>
    <w:rsid w:val="7EFF158C"/>
    <w:rsid w:val="7F2257ED"/>
    <w:rsid w:val="7F315380"/>
    <w:rsid w:val="7FB50B97"/>
    <w:rsid w:val="7FE33EC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qFormat="1" w:unhideWhenUsed="0"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paragraph" w:styleId="3">
    <w:name w:val="heading 1"/>
    <w:basedOn w:val="1"/>
    <w:next w:val="1"/>
    <w:qFormat/>
    <w:locked/>
    <w:uiPriority w:val="0"/>
    <w:pPr>
      <w:spacing w:beforeAutospacing="1" w:afterAutospacing="1"/>
      <w:outlineLvl w:val="0"/>
    </w:pPr>
    <w:rPr>
      <w:rFonts w:hint="eastAsia" w:cs="Times New Roman"/>
      <w:b/>
      <w:kern w:val="44"/>
      <w:sz w:val="48"/>
      <w:szCs w:val="48"/>
    </w:rPr>
  </w:style>
  <w:style w:type="paragraph" w:styleId="4">
    <w:name w:val="heading 2"/>
    <w:basedOn w:val="1"/>
    <w:next w:val="1"/>
    <w:qFormat/>
    <w:locked/>
    <w:uiPriority w:val="0"/>
    <w:pPr>
      <w:keepNext/>
      <w:keepLines/>
      <w:spacing w:before="100" w:beforeLines="100" w:after="100" w:afterLines="100" w:line="500" w:lineRule="exact"/>
      <w:jc w:val="center"/>
      <w:outlineLvl w:val="1"/>
    </w:pPr>
    <w:rPr>
      <w:rFonts w:ascii="Arial" w:hAnsi="Arial" w:eastAsia="宋体"/>
      <w:b/>
      <w:sz w:val="28"/>
      <w:szCs w:val="20"/>
    </w:rPr>
  </w:style>
  <w:style w:type="paragraph" w:styleId="5">
    <w:name w:val="heading 4"/>
    <w:basedOn w:val="1"/>
    <w:next w:val="1"/>
    <w:qFormat/>
    <w:locked/>
    <w:uiPriority w:val="0"/>
    <w:pPr>
      <w:keepNext/>
      <w:keepLines/>
      <w:spacing w:line="360" w:lineRule="auto"/>
      <w:outlineLvl w:val="3"/>
    </w:pPr>
    <w:rPr>
      <w:rFonts w:ascii="Arial" w:hAnsi="Arial"/>
      <w:b/>
      <w:bCs/>
      <w:kern w:val="2"/>
      <w:sz w:val="21"/>
      <w:szCs w:val="28"/>
    </w:rPr>
  </w:style>
  <w:style w:type="paragraph" w:styleId="6">
    <w:name w:val="heading 6"/>
    <w:basedOn w:val="1"/>
    <w:next w:val="1"/>
    <w:unhideWhenUsed/>
    <w:qFormat/>
    <w:locked/>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paragraph" w:styleId="7">
    <w:name w:val="heading 9"/>
    <w:basedOn w:val="1"/>
    <w:next w:val="1"/>
    <w:semiHidden/>
    <w:unhideWhenUsed/>
    <w:qFormat/>
    <w:locked/>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20" w:firstLineChars="200"/>
    </w:pPr>
    <w:rPr>
      <w:sz w:val="21"/>
    </w:rPr>
  </w:style>
  <w:style w:type="paragraph" w:styleId="8">
    <w:name w:val="Normal Indent"/>
    <w:basedOn w:val="1"/>
    <w:qFormat/>
    <w:uiPriority w:val="0"/>
    <w:pPr>
      <w:ind w:firstLine="420" w:firstLineChars="200"/>
    </w:pPr>
    <w:rPr>
      <w:rFonts w:ascii="Times New Roman" w:hAnsi="Times New Roman"/>
    </w:rPr>
  </w:style>
  <w:style w:type="paragraph" w:styleId="9">
    <w:name w:val="toa heading"/>
    <w:basedOn w:val="1"/>
    <w:next w:val="1"/>
    <w:qFormat/>
    <w:uiPriority w:val="0"/>
    <w:pPr>
      <w:spacing w:before="120"/>
    </w:pPr>
    <w:rPr>
      <w:rFonts w:ascii="Arial" w:hAnsi="Arial"/>
    </w:rPr>
  </w:style>
  <w:style w:type="paragraph" w:styleId="10">
    <w:name w:val="Body Text"/>
    <w:basedOn w:val="1"/>
    <w:next w:val="1"/>
    <w:link w:val="43"/>
    <w:qFormat/>
    <w:uiPriority w:val="99"/>
    <w:pPr>
      <w:widowControl w:val="0"/>
      <w:spacing w:after="120"/>
      <w:jc w:val="both"/>
    </w:pPr>
    <w:rPr>
      <w:rFonts w:ascii="Calibri" w:hAnsi="Calibri" w:cs="Times New Roman"/>
      <w:kern w:val="2"/>
      <w:sz w:val="21"/>
      <w:szCs w:val="22"/>
    </w:rPr>
  </w:style>
  <w:style w:type="paragraph" w:styleId="11">
    <w:name w:val="Body Text Indent"/>
    <w:basedOn w:val="1"/>
    <w:next w:val="1"/>
    <w:qFormat/>
    <w:uiPriority w:val="0"/>
    <w:pPr>
      <w:spacing w:after="120"/>
      <w:ind w:left="420" w:leftChars="200"/>
    </w:pPr>
  </w:style>
  <w:style w:type="paragraph" w:styleId="12">
    <w:name w:val="Plain Text"/>
    <w:basedOn w:val="1"/>
    <w:link w:val="64"/>
    <w:qFormat/>
    <w:uiPriority w:val="0"/>
    <w:pPr>
      <w:widowControl w:val="0"/>
      <w:adjustRightInd w:val="0"/>
      <w:snapToGrid w:val="0"/>
      <w:spacing w:line="360" w:lineRule="auto"/>
      <w:jc w:val="both"/>
    </w:pPr>
    <w:rPr>
      <w:rFonts w:hAnsi="Courier New" w:cs="Times New Roman"/>
      <w:kern w:val="2"/>
      <w:sz w:val="21"/>
      <w:szCs w:val="20"/>
    </w:rPr>
  </w:style>
  <w:style w:type="paragraph" w:styleId="13">
    <w:name w:val="Date"/>
    <w:basedOn w:val="1"/>
    <w:next w:val="1"/>
    <w:link w:val="44"/>
    <w:qFormat/>
    <w:uiPriority w:val="99"/>
    <w:pPr>
      <w:widowControl w:val="0"/>
      <w:jc w:val="both"/>
    </w:pPr>
    <w:rPr>
      <w:rFonts w:ascii="Copperplate Gothic Bold" w:hAnsi="Copperplate Gothic Bold" w:cs="Times New Roman"/>
      <w:sz w:val="32"/>
      <w:szCs w:val="20"/>
    </w:rPr>
  </w:style>
  <w:style w:type="paragraph" w:styleId="14">
    <w:name w:val="footer"/>
    <w:basedOn w:val="1"/>
    <w:link w:val="45"/>
    <w:qFormat/>
    <w:uiPriority w:val="99"/>
    <w:pPr>
      <w:widowControl w:val="0"/>
      <w:tabs>
        <w:tab w:val="center" w:pos="4153"/>
        <w:tab w:val="right" w:pos="8306"/>
      </w:tabs>
      <w:snapToGrid w:val="0"/>
    </w:pPr>
    <w:rPr>
      <w:rFonts w:ascii="Calibri" w:hAnsi="Calibri" w:cs="Times New Roman"/>
      <w:kern w:val="2"/>
      <w:sz w:val="18"/>
      <w:szCs w:val="18"/>
    </w:rPr>
  </w:style>
  <w:style w:type="paragraph" w:styleId="15">
    <w:name w:val="header"/>
    <w:basedOn w:val="1"/>
    <w:link w:val="46"/>
    <w:qFormat/>
    <w:uiPriority w:val="99"/>
    <w:pPr>
      <w:widowControl w:val="0"/>
      <w:pBdr>
        <w:bottom w:val="single" w:color="auto" w:sz="6" w:space="1"/>
      </w:pBdr>
      <w:tabs>
        <w:tab w:val="center" w:pos="4153"/>
        <w:tab w:val="right" w:pos="8306"/>
      </w:tabs>
      <w:snapToGrid w:val="0"/>
      <w:jc w:val="center"/>
    </w:pPr>
    <w:rPr>
      <w:rFonts w:ascii="Calibri" w:hAnsi="Calibri" w:cs="Times New Roman"/>
      <w:kern w:val="2"/>
      <w:sz w:val="18"/>
      <w:szCs w:val="18"/>
    </w:rPr>
  </w:style>
  <w:style w:type="paragraph" w:styleId="16">
    <w:name w:val="toc 1"/>
    <w:basedOn w:val="1"/>
    <w:next w:val="1"/>
    <w:qFormat/>
    <w:locked/>
    <w:uiPriority w:val="0"/>
    <w:pPr>
      <w:widowControl w:val="0"/>
      <w:adjustRightInd w:val="0"/>
      <w:snapToGrid w:val="0"/>
      <w:spacing w:line="560" w:lineRule="exact"/>
      <w:ind w:firstLine="640" w:firstLineChars="200"/>
      <w:jc w:val="both"/>
    </w:pPr>
    <w:rPr>
      <w:rFonts w:ascii="黑体" w:hAnsi="黑体" w:eastAsia="黑体" w:cs="Times New Roman"/>
      <w:kern w:val="2"/>
      <w:sz w:val="32"/>
      <w:szCs w:val="32"/>
    </w:rPr>
  </w:style>
  <w:style w:type="paragraph" w:styleId="17">
    <w:name w:val="Subtitle"/>
    <w:basedOn w:val="1"/>
    <w:next w:val="1"/>
    <w:qFormat/>
    <w:locked/>
    <w:uiPriority w:val="0"/>
    <w:pPr>
      <w:spacing w:before="240" w:after="60" w:line="312" w:lineRule="auto"/>
      <w:jc w:val="center"/>
      <w:outlineLvl w:val="1"/>
    </w:pPr>
    <w:rPr>
      <w:rFonts w:ascii="Arial" w:hAnsi="Arial" w:eastAsia="宋体" w:cs="Arial"/>
      <w:b/>
      <w:bCs/>
      <w:kern w:val="28"/>
      <w:sz w:val="32"/>
      <w:szCs w:val="32"/>
    </w:rPr>
  </w:style>
  <w:style w:type="paragraph" w:styleId="18">
    <w:name w:val="footnote text"/>
    <w:basedOn w:val="1"/>
    <w:link w:val="55"/>
    <w:qFormat/>
    <w:uiPriority w:val="99"/>
    <w:pPr>
      <w:widowControl w:val="0"/>
      <w:snapToGrid w:val="0"/>
    </w:pPr>
    <w:rPr>
      <w:rFonts w:ascii="Calibri" w:hAnsi="Calibri" w:cs="Times New Roman"/>
      <w:kern w:val="2"/>
      <w:sz w:val="18"/>
      <w:szCs w:val="22"/>
    </w:rPr>
  </w:style>
  <w:style w:type="paragraph" w:styleId="19">
    <w:name w:val="Body Text Indent 3"/>
    <w:basedOn w:val="1"/>
    <w:link w:val="48"/>
    <w:qFormat/>
    <w:uiPriority w:val="99"/>
    <w:pPr>
      <w:widowControl w:val="0"/>
      <w:spacing w:after="120"/>
      <w:ind w:left="420" w:leftChars="200"/>
      <w:jc w:val="both"/>
    </w:pPr>
    <w:rPr>
      <w:rFonts w:ascii="Calibri" w:hAnsi="Calibri" w:cs="Times New Roman"/>
      <w:kern w:val="2"/>
      <w:sz w:val="16"/>
      <w:szCs w:val="16"/>
    </w:rPr>
  </w:style>
  <w:style w:type="paragraph" w:styleId="20">
    <w:name w:val="Body Text 2"/>
    <w:basedOn w:val="1"/>
    <w:link w:val="49"/>
    <w:qFormat/>
    <w:uiPriority w:val="99"/>
    <w:pPr>
      <w:widowControl w:val="0"/>
      <w:jc w:val="center"/>
    </w:pPr>
    <w:rPr>
      <w:rFonts w:ascii="Times New Roman" w:hAnsi="Times New Roman" w:cs="Times New Roman"/>
      <w:b/>
      <w:spacing w:val="-20"/>
      <w:w w:val="130"/>
      <w:sz w:val="48"/>
      <w:szCs w:val="20"/>
    </w:rPr>
  </w:style>
  <w:style w:type="paragraph" w:styleId="2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2">
    <w:name w:val="Normal (Web)"/>
    <w:basedOn w:val="1"/>
    <w:qFormat/>
    <w:uiPriority w:val="0"/>
    <w:pPr>
      <w:spacing w:before="100" w:beforeAutospacing="1" w:after="100" w:afterAutospacing="1" w:line="360" w:lineRule="auto"/>
    </w:pPr>
    <w:rPr>
      <w:rFonts w:ascii="Arial Unicode MS" w:hAnsi="Arial Unicode MS" w:eastAsia="Arial Unicode MS" w:cs="Arial Unicode MS"/>
    </w:rPr>
  </w:style>
  <w:style w:type="paragraph" w:styleId="23">
    <w:name w:val="Title"/>
    <w:basedOn w:val="1"/>
    <w:next w:val="1"/>
    <w:qFormat/>
    <w:locked/>
    <w:uiPriority w:val="0"/>
    <w:pPr>
      <w:jc w:val="center"/>
      <w:outlineLvl w:val="0"/>
    </w:pPr>
    <w:rPr>
      <w:rFonts w:ascii="Cambria" w:hAnsi="Cambria"/>
      <w:b/>
      <w:bCs/>
      <w:sz w:val="32"/>
      <w:szCs w:val="32"/>
    </w:rPr>
  </w:style>
  <w:style w:type="paragraph" w:styleId="24">
    <w:name w:val="Body Text First Indent"/>
    <w:basedOn w:val="10"/>
    <w:semiHidden/>
    <w:qFormat/>
    <w:uiPriority w:val="99"/>
    <w:pPr>
      <w:ind w:firstLine="420" w:firstLineChars="100"/>
    </w:pPr>
  </w:style>
  <w:style w:type="paragraph" w:styleId="25">
    <w:name w:val="Body Text First Indent 2"/>
    <w:basedOn w:val="11"/>
    <w:next w:val="1"/>
    <w:qFormat/>
    <w:uiPriority w:val="0"/>
    <w:pPr>
      <w:ind w:firstLine="420" w:firstLineChars="200"/>
    </w:pPr>
  </w:style>
  <w:style w:type="table" w:styleId="27">
    <w:name w:val="Table Grid"/>
    <w:basedOn w:val="2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locked/>
    <w:uiPriority w:val="0"/>
    <w:rPr>
      <w:b/>
      <w:bCs/>
    </w:rPr>
  </w:style>
  <w:style w:type="character" w:styleId="30">
    <w:name w:val="page number"/>
    <w:basedOn w:val="28"/>
    <w:qFormat/>
    <w:uiPriority w:val="99"/>
    <w:rPr>
      <w:rFonts w:cs="Times New Roman"/>
    </w:rPr>
  </w:style>
  <w:style w:type="character" w:styleId="31">
    <w:name w:val="FollowedHyperlink"/>
    <w:basedOn w:val="28"/>
    <w:qFormat/>
    <w:uiPriority w:val="99"/>
    <w:rPr>
      <w:rFonts w:cs="Times New Roman"/>
      <w:color w:val="800080"/>
      <w:u w:val="single"/>
    </w:rPr>
  </w:style>
  <w:style w:type="character" w:styleId="32">
    <w:name w:val="Emphasis"/>
    <w:basedOn w:val="28"/>
    <w:qFormat/>
    <w:locked/>
    <w:uiPriority w:val="0"/>
    <w:rPr>
      <w:b/>
      <w:bCs/>
    </w:rPr>
  </w:style>
  <w:style w:type="character" w:styleId="33">
    <w:name w:val="HTML Definition"/>
    <w:basedOn w:val="28"/>
    <w:semiHidden/>
    <w:unhideWhenUsed/>
    <w:qFormat/>
    <w:uiPriority w:val="99"/>
  </w:style>
  <w:style w:type="character" w:styleId="34">
    <w:name w:val="HTML Typewriter"/>
    <w:basedOn w:val="28"/>
    <w:semiHidden/>
    <w:unhideWhenUsed/>
    <w:qFormat/>
    <w:uiPriority w:val="99"/>
    <w:rPr>
      <w:rFonts w:hint="default" w:ascii="monospace" w:hAnsi="monospace" w:eastAsia="monospace" w:cs="monospace"/>
      <w:color w:val="3D4B64"/>
      <w:sz w:val="19"/>
      <w:szCs w:val="19"/>
    </w:rPr>
  </w:style>
  <w:style w:type="character" w:styleId="35">
    <w:name w:val="HTML Acronym"/>
    <w:basedOn w:val="28"/>
    <w:semiHidden/>
    <w:unhideWhenUsed/>
    <w:qFormat/>
    <w:uiPriority w:val="99"/>
  </w:style>
  <w:style w:type="character" w:styleId="36">
    <w:name w:val="HTML Variable"/>
    <w:basedOn w:val="28"/>
    <w:semiHidden/>
    <w:unhideWhenUsed/>
    <w:qFormat/>
    <w:uiPriority w:val="99"/>
  </w:style>
  <w:style w:type="character" w:styleId="37">
    <w:name w:val="Hyperlink"/>
    <w:basedOn w:val="28"/>
    <w:qFormat/>
    <w:uiPriority w:val="99"/>
    <w:rPr>
      <w:rFonts w:cs="Times New Roman"/>
      <w:color w:val="0000FF"/>
      <w:u w:val="single"/>
    </w:rPr>
  </w:style>
  <w:style w:type="character" w:styleId="38">
    <w:name w:val="HTML Code"/>
    <w:basedOn w:val="28"/>
    <w:semiHidden/>
    <w:unhideWhenUsed/>
    <w:qFormat/>
    <w:uiPriority w:val="99"/>
    <w:rPr>
      <w:rFonts w:hint="default" w:ascii="monospace" w:hAnsi="monospace" w:eastAsia="monospace" w:cs="monospace"/>
      <w:sz w:val="20"/>
    </w:rPr>
  </w:style>
  <w:style w:type="character" w:styleId="39">
    <w:name w:val="HTML Cite"/>
    <w:basedOn w:val="28"/>
    <w:semiHidden/>
    <w:unhideWhenUsed/>
    <w:qFormat/>
    <w:uiPriority w:val="99"/>
  </w:style>
  <w:style w:type="character" w:styleId="40">
    <w:name w:val="footnote reference"/>
    <w:basedOn w:val="28"/>
    <w:qFormat/>
    <w:uiPriority w:val="99"/>
    <w:rPr>
      <w:rFonts w:cs="Times New Roman"/>
      <w:vertAlign w:val="superscript"/>
    </w:rPr>
  </w:style>
  <w:style w:type="character" w:styleId="41">
    <w:name w:val="HTML Keyboard"/>
    <w:basedOn w:val="28"/>
    <w:semiHidden/>
    <w:unhideWhenUsed/>
    <w:qFormat/>
    <w:uiPriority w:val="99"/>
    <w:rPr>
      <w:rFonts w:ascii="monospace" w:hAnsi="monospace" w:eastAsia="monospace" w:cs="monospace"/>
      <w:sz w:val="20"/>
    </w:rPr>
  </w:style>
  <w:style w:type="character" w:styleId="42">
    <w:name w:val="HTML Sample"/>
    <w:basedOn w:val="28"/>
    <w:semiHidden/>
    <w:unhideWhenUsed/>
    <w:qFormat/>
    <w:uiPriority w:val="99"/>
    <w:rPr>
      <w:rFonts w:hint="default" w:ascii="monospace" w:hAnsi="monospace" w:eastAsia="monospace" w:cs="monospace"/>
      <w:vanish/>
    </w:rPr>
  </w:style>
  <w:style w:type="character" w:customStyle="1" w:styleId="43">
    <w:name w:val="正文文本 Char"/>
    <w:basedOn w:val="28"/>
    <w:link w:val="10"/>
    <w:qFormat/>
    <w:locked/>
    <w:uiPriority w:val="99"/>
    <w:rPr>
      <w:rFonts w:ascii="Calibri" w:hAnsi="Calibri" w:eastAsia="宋体" w:cs="Times New Roman"/>
    </w:rPr>
  </w:style>
  <w:style w:type="character" w:customStyle="1" w:styleId="44">
    <w:name w:val="日期 Char1"/>
    <w:basedOn w:val="28"/>
    <w:link w:val="13"/>
    <w:semiHidden/>
    <w:qFormat/>
    <w:locked/>
    <w:uiPriority w:val="99"/>
    <w:rPr>
      <w:rFonts w:cs="Times New Roman"/>
      <w:sz w:val="24"/>
      <w:szCs w:val="24"/>
    </w:rPr>
  </w:style>
  <w:style w:type="character" w:customStyle="1" w:styleId="45">
    <w:name w:val="页脚 Char"/>
    <w:basedOn w:val="28"/>
    <w:link w:val="14"/>
    <w:qFormat/>
    <w:locked/>
    <w:uiPriority w:val="99"/>
    <w:rPr>
      <w:rFonts w:cs="Times New Roman"/>
      <w:sz w:val="18"/>
      <w:szCs w:val="18"/>
    </w:rPr>
  </w:style>
  <w:style w:type="character" w:customStyle="1" w:styleId="46">
    <w:name w:val="页眉 Char"/>
    <w:basedOn w:val="28"/>
    <w:link w:val="15"/>
    <w:semiHidden/>
    <w:qFormat/>
    <w:locked/>
    <w:uiPriority w:val="99"/>
    <w:rPr>
      <w:rFonts w:cs="Times New Roman"/>
      <w:sz w:val="18"/>
      <w:szCs w:val="18"/>
    </w:rPr>
  </w:style>
  <w:style w:type="character" w:customStyle="1" w:styleId="47">
    <w:name w:val="Footnote Text Char"/>
    <w:basedOn w:val="28"/>
    <w:link w:val="18"/>
    <w:semiHidden/>
    <w:qFormat/>
    <w:locked/>
    <w:uiPriority w:val="99"/>
    <w:rPr>
      <w:rFonts w:cs="Times New Roman"/>
      <w:sz w:val="18"/>
      <w:szCs w:val="18"/>
    </w:rPr>
  </w:style>
  <w:style w:type="character" w:customStyle="1" w:styleId="48">
    <w:name w:val="正文文本缩进 3 Char"/>
    <w:basedOn w:val="28"/>
    <w:link w:val="19"/>
    <w:semiHidden/>
    <w:qFormat/>
    <w:locked/>
    <w:uiPriority w:val="99"/>
    <w:rPr>
      <w:rFonts w:cs="Times New Roman"/>
      <w:sz w:val="16"/>
      <w:szCs w:val="16"/>
    </w:rPr>
  </w:style>
  <w:style w:type="character" w:customStyle="1" w:styleId="49">
    <w:name w:val="正文文本 2 Char1"/>
    <w:basedOn w:val="28"/>
    <w:link w:val="20"/>
    <w:semiHidden/>
    <w:qFormat/>
    <w:locked/>
    <w:uiPriority w:val="99"/>
    <w:rPr>
      <w:rFonts w:cs="Times New Roman"/>
      <w:sz w:val="24"/>
      <w:szCs w:val="24"/>
    </w:rPr>
  </w:style>
  <w:style w:type="character" w:customStyle="1" w:styleId="50">
    <w:name w:val="正文文本 2 Char"/>
    <w:qFormat/>
    <w:uiPriority w:val="99"/>
    <w:rPr>
      <w:rFonts w:eastAsia="宋体"/>
      <w:b/>
      <w:spacing w:val="-20"/>
      <w:w w:val="130"/>
      <w:sz w:val="48"/>
    </w:rPr>
  </w:style>
  <w:style w:type="paragraph" w:customStyle="1" w:styleId="51">
    <w:name w:val="正文1"/>
    <w:qFormat/>
    <w:uiPriority w:val="99"/>
    <w:pPr>
      <w:jc w:val="both"/>
    </w:pPr>
    <w:rPr>
      <w:rFonts w:ascii="Calibri" w:hAnsi="Calibri" w:eastAsia="宋体" w:cs="宋体"/>
      <w:kern w:val="2"/>
      <w:sz w:val="21"/>
      <w:szCs w:val="21"/>
      <w:lang w:val="en-US" w:eastAsia="zh-CN" w:bidi="ar-SA"/>
    </w:rPr>
  </w:style>
  <w:style w:type="character" w:customStyle="1" w:styleId="52">
    <w:name w:val="日期 Char"/>
    <w:qFormat/>
    <w:uiPriority w:val="99"/>
    <w:rPr>
      <w:rFonts w:ascii="Copperplate Gothic Bold" w:hAnsi="Copperplate Gothic Bold" w:eastAsia="宋体"/>
      <w:sz w:val="32"/>
    </w:rPr>
  </w:style>
  <w:style w:type="paragraph" w:customStyle="1" w:styleId="53">
    <w:name w:val="列出段落1"/>
    <w:basedOn w:val="1"/>
    <w:qFormat/>
    <w:uiPriority w:val="99"/>
    <w:pPr>
      <w:widowControl w:val="0"/>
      <w:ind w:firstLine="420" w:firstLineChars="200"/>
      <w:jc w:val="both"/>
    </w:pPr>
    <w:rPr>
      <w:rFonts w:ascii="Calibri" w:hAnsi="Calibri" w:cs="Times New Roman"/>
      <w:kern w:val="2"/>
      <w:sz w:val="21"/>
    </w:rPr>
  </w:style>
  <w:style w:type="paragraph" w:customStyle="1" w:styleId="54">
    <w:name w:val="WPS Plain"/>
    <w:qFormat/>
    <w:uiPriority w:val="99"/>
    <w:rPr>
      <w:rFonts w:ascii="Calibri" w:hAnsi="Calibri" w:eastAsia="宋体" w:cs="Times New Roman"/>
      <w:sz w:val="21"/>
      <w:szCs w:val="22"/>
      <w:lang w:val="en-US" w:eastAsia="zh-CN" w:bidi="ar-SA"/>
    </w:rPr>
  </w:style>
  <w:style w:type="character" w:customStyle="1" w:styleId="55">
    <w:name w:val="脚注文本 Char"/>
    <w:basedOn w:val="28"/>
    <w:link w:val="18"/>
    <w:qFormat/>
    <w:locked/>
    <w:uiPriority w:val="99"/>
    <w:rPr>
      <w:rFonts w:cs="Times New Roman"/>
      <w:sz w:val="18"/>
    </w:rPr>
  </w:style>
  <w:style w:type="paragraph" w:customStyle="1" w:styleId="56">
    <w:name w:val="msonormalcxspmiddle"/>
    <w:basedOn w:val="1"/>
    <w:qFormat/>
    <w:uiPriority w:val="99"/>
    <w:pPr>
      <w:spacing w:before="100" w:beforeAutospacing="1" w:after="100" w:afterAutospacing="1"/>
    </w:pPr>
  </w:style>
  <w:style w:type="paragraph" w:customStyle="1" w:styleId="57">
    <w:name w:val="xl63"/>
    <w:basedOn w:val="1"/>
    <w:qFormat/>
    <w:uiPriority w:val="99"/>
    <w:pPr>
      <w:spacing w:before="100" w:beforeAutospacing="1" w:after="100" w:afterAutospacing="1"/>
    </w:pPr>
  </w:style>
  <w:style w:type="paragraph" w:customStyle="1" w:styleId="58">
    <w:name w:val="xl64"/>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style>
  <w:style w:type="paragraph" w:customStyle="1" w:styleId="59">
    <w:name w:val="xl65"/>
    <w:basedOn w:val="1"/>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60">
    <w:name w:val="xl66"/>
    <w:basedOn w:val="1"/>
    <w:qFormat/>
    <w:uiPriority w:val="99"/>
    <w:pPr>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styleId="61">
    <w:name w:val="List Paragraph"/>
    <w:basedOn w:val="1"/>
    <w:unhideWhenUsed/>
    <w:qFormat/>
    <w:uiPriority w:val="99"/>
    <w:pPr>
      <w:widowControl w:val="0"/>
      <w:ind w:firstLine="420" w:firstLineChars="200"/>
      <w:jc w:val="both"/>
    </w:pPr>
    <w:rPr>
      <w:rFonts w:ascii="Calibri" w:hAnsi="Calibri" w:cs="Times New Roman"/>
      <w:kern w:val="2"/>
      <w:sz w:val="21"/>
    </w:rPr>
  </w:style>
  <w:style w:type="character" w:customStyle="1" w:styleId="62">
    <w:name w:val="不明显强调1"/>
    <w:basedOn w:val="28"/>
    <w:qFormat/>
    <w:uiPriority w:val="19"/>
    <w:rPr>
      <w:i/>
      <w:iCs/>
      <w:color w:val="7E7E7E" w:themeColor="text1" w:themeTint="80"/>
    </w:rPr>
  </w:style>
  <w:style w:type="character" w:customStyle="1" w:styleId="63">
    <w:name w:val="纯文本 Char"/>
    <w:basedOn w:val="28"/>
    <w:link w:val="12"/>
    <w:qFormat/>
    <w:uiPriority w:val="0"/>
    <w:rPr>
      <w:rFonts w:ascii="宋体" w:hAnsi="Courier New"/>
      <w:kern w:val="2"/>
      <w:sz w:val="21"/>
    </w:rPr>
  </w:style>
  <w:style w:type="character" w:customStyle="1" w:styleId="64">
    <w:name w:val="纯文本 Char1"/>
    <w:basedOn w:val="28"/>
    <w:link w:val="12"/>
    <w:semiHidden/>
    <w:qFormat/>
    <w:uiPriority w:val="99"/>
    <w:rPr>
      <w:rFonts w:ascii="宋体" w:hAnsi="Courier New" w:cs="Courier New"/>
      <w:kern w:val="2"/>
      <w:sz w:val="21"/>
      <w:szCs w:val="21"/>
    </w:rPr>
  </w:style>
  <w:style w:type="character" w:customStyle="1" w:styleId="65">
    <w:name w:val="font11"/>
    <w:basedOn w:val="28"/>
    <w:qFormat/>
    <w:uiPriority w:val="0"/>
    <w:rPr>
      <w:rFonts w:hint="default" w:ascii="Calibri" w:hAnsi="Calibri" w:cs="Calibri"/>
      <w:color w:val="000000"/>
      <w:sz w:val="22"/>
      <w:szCs w:val="22"/>
      <w:u w:val="none"/>
    </w:rPr>
  </w:style>
  <w:style w:type="character" w:customStyle="1" w:styleId="66">
    <w:name w:val="font21"/>
    <w:basedOn w:val="28"/>
    <w:qFormat/>
    <w:uiPriority w:val="0"/>
    <w:rPr>
      <w:rFonts w:hint="eastAsia" w:ascii="宋体" w:hAnsi="宋体" w:eastAsia="宋体" w:cs="宋体"/>
      <w:color w:val="000000"/>
      <w:sz w:val="22"/>
      <w:szCs w:val="22"/>
      <w:u w:val="none"/>
    </w:rPr>
  </w:style>
  <w:style w:type="character" w:customStyle="1" w:styleId="67">
    <w:name w:val="font01"/>
    <w:basedOn w:val="28"/>
    <w:qFormat/>
    <w:uiPriority w:val="0"/>
    <w:rPr>
      <w:rFonts w:hint="default" w:ascii="Calibri" w:hAnsi="Calibri" w:cs="Calibri"/>
      <w:color w:val="000000"/>
      <w:sz w:val="22"/>
      <w:szCs w:val="22"/>
      <w:u w:val="none"/>
    </w:rPr>
  </w:style>
  <w:style w:type="paragraph" w:customStyle="1" w:styleId="68">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70">
    <w:name w:val="font51"/>
    <w:basedOn w:val="28"/>
    <w:qFormat/>
    <w:uiPriority w:val="0"/>
    <w:rPr>
      <w:rFonts w:hint="eastAsia" w:ascii="宋体" w:hAnsi="宋体" w:eastAsia="宋体" w:cs="宋体"/>
      <w:color w:val="000000"/>
      <w:sz w:val="20"/>
      <w:szCs w:val="20"/>
      <w:u w:val="single"/>
    </w:rPr>
  </w:style>
  <w:style w:type="character" w:customStyle="1" w:styleId="71">
    <w:name w:val="font41"/>
    <w:basedOn w:val="28"/>
    <w:qFormat/>
    <w:uiPriority w:val="0"/>
    <w:rPr>
      <w:rFonts w:hint="eastAsia" w:ascii="宋体" w:hAnsi="宋体" w:eastAsia="宋体" w:cs="宋体"/>
      <w:color w:val="000000"/>
      <w:sz w:val="20"/>
      <w:szCs w:val="20"/>
      <w:u w:val="single"/>
    </w:rPr>
  </w:style>
  <w:style w:type="paragraph" w:customStyle="1" w:styleId="72">
    <w:name w:val="Table Text"/>
    <w:basedOn w:val="1"/>
    <w:semiHidden/>
    <w:qFormat/>
    <w:uiPriority w:val="0"/>
    <w:rPr>
      <w:rFonts w:ascii="宋体" w:hAnsi="宋体" w:eastAsia="宋体" w:cs="宋体"/>
      <w:sz w:val="24"/>
      <w:szCs w:val="24"/>
      <w:lang w:val="en-US" w:eastAsia="en-US" w:bidi="ar-SA"/>
    </w:rPr>
  </w:style>
  <w:style w:type="table" w:customStyle="1" w:styleId="73">
    <w:name w:val="Table Normal"/>
    <w:semiHidden/>
    <w:unhideWhenUsed/>
    <w:qFormat/>
    <w:uiPriority w:val="0"/>
    <w:tblPr>
      <w:tblCellMar>
        <w:top w:w="0" w:type="dxa"/>
        <w:left w:w="0" w:type="dxa"/>
        <w:bottom w:w="0" w:type="dxa"/>
        <w:right w:w="0" w:type="dxa"/>
      </w:tblCellMar>
    </w:tblPr>
  </w:style>
  <w:style w:type="character" w:customStyle="1" w:styleId="74">
    <w:name w:val="font71"/>
    <w:basedOn w:val="28"/>
    <w:qFormat/>
    <w:uiPriority w:val="0"/>
    <w:rPr>
      <w:rFonts w:hint="eastAsia" w:ascii="微软雅黑" w:hAnsi="微软雅黑" w:eastAsia="微软雅黑" w:cs="微软雅黑"/>
      <w:b/>
      <w:bCs/>
      <w:color w:val="000000"/>
      <w:sz w:val="42"/>
      <w:szCs w:val="42"/>
      <w:u w:val="none"/>
    </w:rPr>
  </w:style>
  <w:style w:type="character" w:customStyle="1" w:styleId="75">
    <w:name w:val="font31"/>
    <w:basedOn w:val="28"/>
    <w:qFormat/>
    <w:uiPriority w:val="0"/>
    <w:rPr>
      <w:rFonts w:hint="eastAsia" w:ascii="微软雅黑" w:hAnsi="微软雅黑" w:eastAsia="微软雅黑" w:cs="微软雅黑"/>
      <w:color w:val="000000"/>
      <w:sz w:val="18"/>
      <w:szCs w:val="18"/>
      <w:u w:val="none"/>
    </w:rPr>
  </w:style>
  <w:style w:type="character" w:customStyle="1" w:styleId="76">
    <w:name w:val="font61"/>
    <w:basedOn w:val="28"/>
    <w:qFormat/>
    <w:uiPriority w:val="0"/>
    <w:rPr>
      <w:rFonts w:hint="eastAsia" w:ascii="微软雅黑" w:hAnsi="微软雅黑" w:eastAsia="微软雅黑" w:cs="微软雅黑"/>
      <w:b/>
      <w:bCs/>
      <w:color w:val="000000"/>
      <w:sz w:val="42"/>
      <w:szCs w:val="4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8" textRotate="1"/>
    <customShpInfo spid="_x0000_s3079"/>
    <customShpInfo spid="_x0000_s3077" textRotate="1"/>
    <customShpInfo spid="_x0000_s307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52DCCA-77FE-4A52-8DA9-9A80264CD20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84</Pages>
  <Words>37805</Words>
  <Characters>45378</Characters>
  <Lines>200</Lines>
  <Paragraphs>56</Paragraphs>
  <TotalTime>88</TotalTime>
  <ScaleCrop>false</ScaleCrop>
  <LinksUpToDate>false</LinksUpToDate>
  <CharactersWithSpaces>48670</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2019-06-12T08:23:00Z</dcterms:created>
  <dc:creator>user</dc:creator>
  <cp:lastModifiedBy>十二。</cp:lastModifiedBy>
  <cp:lastPrinted>2026-10-27T01:13:21Z</cp:lastPrinted>
  <dcterms:modified xsi:type="dcterms:W3CDTF">2026-10-27T01:35:43Z</dcterms:modified>
  <cp:revision>422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BC9E8422C2ED4D9F9D6F3E91DCD6E905</vt:lpwstr>
  </property>
  <property fmtid="{D5CDD505-2E9C-101B-9397-08002B2CF9AE}" pid="4" name="KSOTemplateDocerSaveRecord">
    <vt:lpwstr>eyJoZGlkIjoiNDA4ODJmNzlkZWRhY2NlM2IyOGU4NmM3YTBhZmRhODMiLCJ1c2VySWQiOiIzMTc4NjUxODcifQ==</vt:lpwstr>
  </property>
</Properties>
</file>