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5587B6"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 购 需 求</w:t>
      </w:r>
    </w:p>
    <w:p w14:paraId="5402B3C6">
      <w:pPr>
        <w:pStyle w:val="4"/>
        <w:ind w:firstLine="440" w:firstLineChars="200"/>
        <w:outlineLvl w:val="2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一、项目概况：本项目位于洋县境内，对洋县范围内因松材线虫病致死、濒死，以及其他病虫害、火灾、自然灾害等致死损毁松树开展伐除清理作业。</w:t>
      </w:r>
    </w:p>
    <w:p w14:paraId="1DE9FF21">
      <w:pPr>
        <w:pStyle w:val="4"/>
        <w:ind w:firstLine="440" w:firstLineChars="200"/>
        <w:outlineLvl w:val="2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二、标段划分：本项目划分为8个施工标段。</w:t>
      </w:r>
    </w:p>
    <w:p w14:paraId="5BD7168A">
      <w:pPr>
        <w:pStyle w:val="4"/>
        <w:ind w:firstLine="440" w:firstLineChars="200"/>
        <w:outlineLvl w:val="2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二、技术标准与服务要求</w:t>
      </w:r>
    </w:p>
    <w:p w14:paraId="67996A9F">
      <w:pPr>
        <w:pStyle w:val="4"/>
        <w:ind w:firstLine="440" w:firstLineChars="200"/>
        <w:outlineLvl w:val="2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1. 项目施工须严格执行疫木除治技术标准：伐桩高度控制在5cm以内，伐桩投放磷化铝1-2粒，采用0.1mm厚塑料薄膜进行全覆盖密封，使用细铁丝绑扎紧实，四周覆土并压实。伐除的疫木及直径大于 1cm 以上枝丫须全部集中焚烧，确保完全碳化；施工全过程须严守安全生产和森林防火规定，不得发生森林火灾及各类安全责任事故。</w:t>
      </w:r>
    </w:p>
    <w:p w14:paraId="73B3AFAC">
      <w:pPr>
        <w:pStyle w:val="4"/>
        <w:ind w:firstLine="440" w:firstLineChars="200"/>
        <w:outlineLvl w:val="2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2. 枯死木清理全过程须接受采购单位及委托监理单位的全程监督、检查、考核与管理，严格按照监管要求完成施工、整改及验收工作。</w:t>
      </w:r>
    </w:p>
    <w:p w14:paraId="3D5896CF">
      <w:pPr>
        <w:pStyle w:val="4"/>
        <w:ind w:firstLine="440" w:firstLineChars="200"/>
        <w:outlineLvl w:val="2"/>
        <w:rPr>
          <w:rFonts w:hint="eastAsia"/>
          <w:sz w:val="22"/>
          <w:szCs w:val="22"/>
          <w:lang w:val="en-US" w:eastAsia="zh-CN"/>
        </w:rPr>
      </w:pPr>
      <w:r>
        <w:rPr>
          <w:rFonts w:hint="eastAsia"/>
          <w:sz w:val="22"/>
          <w:szCs w:val="22"/>
          <w:lang w:val="en-US" w:eastAsia="zh-CN"/>
        </w:rPr>
        <w:t>3. 项目实施须全面落实安全生产管控措施，编制完善、合规、可落地的松材线虫病除治专项实施方案，保障现场作业人员人身安全。施工期间严禁损坏群众财物、健康松树及其他林木。现场焚烧作业须安排专人全程值守管控，严格遵守森林防火管理规定，彻底消除火灾隐患，杜绝火情、火灾事故发生。凡因项目施工原因造成安全事故、群众纠纷、第三方财产或权益损失的，全部责任及由此产生的一切经济赔偿由实施主体自行全额承担。</w:t>
      </w:r>
    </w:p>
    <w:p w14:paraId="48F6EA04">
      <w:pPr>
        <w:numPr>
          <w:numId w:val="0"/>
        </w:numPr>
        <w:jc w:val="both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40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DocSecurity>0</DocSecurity>
  <Lines>0</Lines>
  <Paragraphs>0</Paragraphs>
  <ScaleCrop>false</ScaleCrop>
  <LinksUpToDate>false</LinksUpToDate>
  <CharactersWithSpaces>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2026-09-17T09:22:40Z</dcterms:created>
  <dcterms:modified xsi:type="dcterms:W3CDTF">2026-09-17T09:24:38Z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eyJoZGlkIjoiMWFjNWQ3NmRkMzQ0MTBhM2FmMTM1NWQwNTU3MWFhOWQiLCJ1c2VySWQiOiIxNjg2MjM3MjQ3In0=</vt:lpwstr>
  </property>
  <property fmtid="{D5CDD505-2E9C-101B-9397-08002B2CF9AE}" pid="4" name="ICV">
    <vt:lpwstr>BEB22D639D2E469D96CE994EF430438B_12</vt:lpwstr>
  </property>
</Properties>
</file>