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版本号：LZBA2026-40820260730002</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西安市长安区乡镇级集中式饮用水水源保护区规范化建设项目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LZBA2026-408</w:t>
      </w:r>
      <w:r>
        <w:br/>
      </w:r>
      <w:r>
        <w:br/>
      </w:r>
      <w:r>
        <w:br/>
      </w:r>
    </w:p>
    <w:p>
      <w:pPr>
        <w:pStyle w:val="null3"/>
        <w:jc w:val="center"/>
        <w:outlineLvl w:val="2"/>
      </w:pPr>
      <w:r>
        <w:rPr>
          <w:rFonts w:ascii="仿宋_GB2312" w:hAnsi="仿宋_GB2312" w:cs="仿宋_GB2312" w:eastAsia="仿宋_GB2312"/>
          <w:sz w:val="28"/>
          <w:b/>
        </w:rPr>
        <w:t>西安市生态环境局长安分局</w:t>
      </w:r>
    </w:p>
    <w:p>
      <w:pPr>
        <w:pStyle w:val="null3"/>
        <w:jc w:val="center"/>
        <w:outlineLvl w:val="2"/>
      </w:pPr>
      <w:r>
        <w:rPr>
          <w:rFonts w:ascii="仿宋_GB2312" w:hAnsi="仿宋_GB2312" w:cs="仿宋_GB2312" w:eastAsia="仿宋_GB2312"/>
          <w:sz w:val="28"/>
          <w:b/>
        </w:rPr>
        <w:t>龙寰项目管理咨询有限公司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2026年07月30日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龙寰项目管理咨询有限公司</w:t>
      </w:r>
      <w:r>
        <w:rPr>
          <w:rFonts w:ascii="仿宋_GB2312" w:hAnsi="仿宋_GB2312" w:cs="仿宋_GB2312" w:eastAsia="仿宋_GB2312"/>
        </w:rPr>
        <w:t>（以下简称“代理机构”）受</w:t>
      </w:r>
      <w:r>
        <w:rPr>
          <w:rFonts w:ascii="仿宋_GB2312" w:hAnsi="仿宋_GB2312" w:cs="仿宋_GB2312" w:eastAsia="仿宋_GB2312"/>
        </w:rPr>
        <w:t>西安市生态环境局长安分局</w:t>
      </w:r>
      <w:r>
        <w:rPr>
          <w:rFonts w:ascii="仿宋_GB2312" w:hAnsi="仿宋_GB2312" w:cs="仿宋_GB2312" w:eastAsia="仿宋_GB2312"/>
        </w:rPr>
        <w:t>委托，拟对</w:t>
      </w:r>
      <w:r>
        <w:rPr>
          <w:rFonts w:ascii="仿宋_GB2312" w:hAnsi="仿宋_GB2312" w:cs="仿宋_GB2312" w:eastAsia="仿宋_GB2312"/>
        </w:rPr>
        <w:t>西安市长安区乡镇级集中式饮用水水源保护区规范化建设项目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LZBA2026-408</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西安市长安区乡镇级集中式饮用水水源保护区规范化建设项目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西安市长安区共有14处乡镇级集中式饮用水水源地，共计水源井25眼，按照取水许可划定为12个农村集中式饮用水水源保护区。12处水源保护区主要位于大兆街道、杜曲街道、黄良街道、滦镇街道、鸣犊街道、砲里街道、王莽街道、王曲街道、魏寨街道、杨庄街道、子午街道、引镇街道，分别为大兆街道大兆村地下水水源地 、杜曲街道杜曲村地下水水源地、黄良街道黄良新村地下水水源地、滦镇街道新二村地下水水源地、鸣犊街道鸣犊新村地下水水源地、砲里街道鹿塬村地下水水源地、王莽街道王莽村地下水水源地、王曲街道王曲村地下水水源地、魏寨街道魏寨村地下水水源地、杨庄街道杨庄村地下水水源地、子午街道子午镇村地下水水源地、引镇街道东庄村地下水水源地，主要为长安区的部分城镇居民提供生活用水。</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采购包1（西安市长安区乡镇级集中式饮用水水源保护区规范化建设项目）：属于专门面向中小企业采购。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供应商信用状况：供应商不得为“信用中国”网站（www.creditchina.gov.cn）中列入失信被执行人和重大税收违法失信主体的供应商，不得为中国政府采购网（www.ccgp.gov.cn）政府采购严重违法失信行为记录名单中被财政部门禁止参加政府采购活动的供应商。以投标文件提交截止时间后当日网站查询结果为准</w:t>
      </w:r>
    </w:p>
    <w:p>
      <w:pPr>
        <w:pStyle w:val="null3"/>
      </w:pPr>
      <w:r>
        <w:rPr>
          <w:rFonts w:ascii="仿宋_GB2312" w:hAnsi="仿宋_GB2312" w:cs="仿宋_GB2312" w:eastAsia="仿宋_GB2312"/>
        </w:rPr>
        <w:t>2、供应商参加本项目的合法授权人授权委托书：供应商应授权合法的人员参加投标全过程，其中法定代表人直接参加投标的，须出具法人身份证明，并与营业执照上信息一致。法定代表人授权代表参加投标的，须出具法定代表人授权书及授权代表身份证、授权代表本单位证明（提供授权代表在本单位社保缴纳证明（2026年1月1日至今任意一个月））；</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西安市生态环境局长安分局</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西安市长安区新华街399号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张英良、张超</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029-85294699</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龙寰项目管理咨询有限公司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西安市太白南路181号西部电子社区A座A区501室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郝嘉钰、孙艳、刘婧、张波</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029-88228899-613</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西安市财政局政府采购管理处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杜新星</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029-89821846</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采购包1：3,800,000.00元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缴交方式：否</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采购代理服务费参照《国家计委关于印发&lt;招标代理服务收费管理暂行办法&gt;的通知》（计价格[2002]1980号）和国家发展和改革委员会办公厅颁发的《关于招标代理服务收费有关问题的通知》（发改办价格[2003]857号）规定标准收取。此采购代理服务费应计入响应报价中，但不需要单独开列。采购代理服务费以转账或现金形式交纳，服务费缴纳帐号如下： 收款单位：龙寰项目管理咨询有限公司 开 户 行：平安银行西安高新路支行 账 号： 30201278018454</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政府采购合同签订之日起2个工作日内，采购人将政府采购合同在陕西省政府采购网予以公告；政府采购合同签订之日起7个工作日内，采购人将政府采购合同报本级财政部门备案。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是否组织潜在投标人现场考察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西安市生态环境局长安分局</w:t>
      </w:r>
      <w:r>
        <w:rPr>
          <w:rFonts w:ascii="仿宋_GB2312" w:hAnsi="仿宋_GB2312" w:cs="仿宋_GB2312" w:eastAsia="仿宋_GB2312"/>
        </w:rPr>
        <w:t>和</w:t>
      </w:r>
      <w:r>
        <w:rPr>
          <w:rFonts w:ascii="仿宋_GB2312" w:hAnsi="仿宋_GB2312" w:cs="仿宋_GB2312" w:eastAsia="仿宋_GB2312"/>
        </w:rPr>
        <w:t>龙寰项目管理咨询有限公司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西安市生态环境局长安分局</w:t>
      </w:r>
      <w:r>
        <w:rPr>
          <w:rFonts w:ascii="仿宋_GB2312" w:hAnsi="仿宋_GB2312" w:cs="仿宋_GB2312" w:eastAsia="仿宋_GB2312"/>
        </w:rPr>
        <w:t>负责解释。除上述招标文件内容，其他内容由</w:t>
      </w:r>
      <w:r>
        <w:rPr>
          <w:rFonts w:ascii="仿宋_GB2312" w:hAnsi="仿宋_GB2312" w:cs="仿宋_GB2312" w:eastAsia="仿宋_GB2312"/>
        </w:rPr>
        <w:t>龙寰项目管理咨询有限公司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西安市生态环境局长安分局</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龙寰项目管理咨询有限公司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二、投标人应认真阅读和充分理解招标文件中所有的事项、格式条款和规范要求。投标人没有对招标文件全面作出实质性响应所产生的风险由投标人承担。</w:t>
      </w:r>
    </w:p>
    <w:p>
      <w:pPr>
        <w:pStyle w:val="null3"/>
        <w:outlineLvl w:val="3"/>
      </w:pPr>
      <w:r>
        <w:rPr>
          <w:rFonts w:ascii="仿宋_GB2312" w:hAnsi="仿宋_GB2312" w:cs="仿宋_GB2312" w:eastAsia="仿宋_GB2312"/>
          <w:sz w:val="24"/>
          <w:b/>
        </w:rPr>
        <w:t>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详见合同</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印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分钟；投标人应在规定的解密时间内，使用互认的证书及签章通过项目电子化交易系统进行投标文件解密。投标人未在规定的解密时间内完成解密的，按无效投标处理。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一、严禁中标供应商将本项目转包。本项目所称转包，是指将本项目转给他人或者将本项目全部肢解以后以分包的名义分别转给他人的行为。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二、中标供应商转包的，视同拒绝履行政府采购合同，将依法追究法律责任。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详见合同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w:t>
      </w:r>
    </w:p>
    <w:p>
      <w:pPr>
        <w:pStyle w:val="null3"/>
        <w:ind w:firstLine="480"/>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2.7.2投标人不得具有的情形（实质性要求）</w:t>
      </w:r>
    </w:p>
    <w:p>
      <w:pPr>
        <w:pStyle w:val="null3"/>
        <w:ind w:firstLine="480"/>
      </w:pPr>
      <w:r>
        <w:rPr>
          <w:rFonts w:ascii="仿宋_GB2312" w:hAnsi="仿宋_GB2312" w:cs="仿宋_GB2312" w:eastAsia="仿宋_GB2312"/>
        </w:rPr>
        <w:t>投标人参加投标不得有下列情形：</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八、未按照招标文件确定的事项签订政府采购合同；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投标人有上述情形的，按照规定追究法律责任，具有前述一至十三条情形之一的，其投标文件无效，或取消被确认为中标供应商的资格或认定中标无效。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龙寰项目管理咨询有限公司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龙寰项目管理咨询有限公司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龙寰项目管理咨询有限公司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联系人：郝嘉钰、孙艳</w:t>
      </w:r>
    </w:p>
    <w:p>
      <w:pPr>
        <w:pStyle w:val="null3"/>
      </w:pPr>
      <w:r>
        <w:rPr>
          <w:rFonts w:ascii="仿宋_GB2312" w:hAnsi="仿宋_GB2312" w:cs="仿宋_GB2312" w:eastAsia="仿宋_GB2312"/>
        </w:rPr>
        <w:t>联系电话：029-88228899-613</w:t>
      </w:r>
    </w:p>
    <w:p>
      <w:pPr>
        <w:pStyle w:val="null3"/>
      </w:pPr>
      <w:r>
        <w:rPr>
          <w:rFonts w:ascii="仿宋_GB2312" w:hAnsi="仿宋_GB2312" w:cs="仿宋_GB2312" w:eastAsia="仿宋_GB2312"/>
        </w:rPr>
        <w:t>地址：西安市太白南路181号西部电子社区A座A区501室</w:t>
      </w:r>
    </w:p>
    <w:p>
      <w:pPr>
        <w:pStyle w:val="null3"/>
      </w:pPr>
      <w:r>
        <w:rPr>
          <w:rFonts w:ascii="仿宋_GB2312" w:hAnsi="仿宋_GB2312" w:cs="仿宋_GB2312" w:eastAsia="仿宋_GB2312"/>
        </w:rPr>
        <w:t>邮编：710065</w:t>
      </w:r>
    </w:p>
    <w:p>
      <w:pPr>
        <w:pStyle w:val="null3"/>
        <w:ind w:firstLine="480"/>
      </w:pPr>
      <w:r>
        <w:rPr>
          <w:rFonts w:ascii="仿宋_GB2312" w:hAnsi="仿宋_GB2312" w:cs="仿宋_GB2312" w:eastAsia="仿宋_GB2312"/>
        </w:rPr>
        <w:t>注：根据《中华人民共和国政府采购法》的规定，供应商质疑不得超出招标文件、采购过程、采购结果的范围。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西安市长安区共有14处乡镇级集中式饮用水水源地，共计水源井25眼，按照取水许可划定为12个农村集中式饮用水水源保护区。12处水源保护区主要位于大兆街道、杜曲街道、黄良街道、滦镇街道、鸣犊街道、砲里街道、王莽街道、王曲街道、魏寨街道、杨庄街道、子午街道、引镇街道，分别为大兆街道大兆村地下水水源地 、杜曲街道杜曲村地下水水源地、黄良街道黄良新村地下水水源地、滦镇街道新二村地下水水源地、鸣犊街道鸣犊新村地下水水源地、砲里街道鹿塬村地下水水源地、王莽街道王莽村地下水水源地、王曲街道王曲村地下水水源地、魏寨街道魏寨村地下水水源地、杨庄街道杨庄村地下水水源地、子午街道子午镇村地下水水源地、引镇街道东庄村地下水水源地，主要为长安区的部分城镇居民提供生活用水。</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3,800,000.00</w:t>
      </w:r>
    </w:p>
    <w:p>
      <w:pPr>
        <w:pStyle w:val="null3"/>
      </w:pPr>
      <w:r>
        <w:rPr>
          <w:rFonts w:ascii="仿宋_GB2312" w:hAnsi="仿宋_GB2312" w:cs="仿宋_GB2312" w:eastAsia="仿宋_GB2312"/>
        </w:rPr>
        <w:t>采购包最高限价（元）: 3,800,000.00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西安市长安区乡镇级集中式饮用水水源保护区规范化建设项目</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3,800,000.00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3"/>
      </w:pPr>
      <w:r>
        <w:rPr>
          <w:rFonts w:ascii="仿宋_GB2312" w:hAnsi="仿宋_GB2312" w:cs="仿宋_GB2312" w:eastAsia="仿宋_GB2312"/>
          <w:sz w:val="24"/>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标的名称：西安市长安区乡镇级集中式饮用水水源保护区规范化建设项目</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2292594"/>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292594"/>
                          </a:xfrm>
                          <a:prstGeom prst="rect">
                            <a:avLst/>
                          </a:prstGeom>
                        </pic:spPr>
                      </pic:pic>
                    </a:graphicData>
                  </a:graphic>
                </wp:inline>
              </w:drawing>
            </w:r>
            <w:r>
              <w:drawing>
                <wp:inline distT="0" distR="0" distB="0" distL="0">
                  <wp:extent cx="1621155" cy="229259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2292594"/>
                          </a:xfrm>
                          <a:prstGeom prst="rect">
                            <a:avLst/>
                          </a:prstGeom>
                        </pic:spPr>
                      </pic:pic>
                    </a:graphicData>
                  </a:graphic>
                </wp:inline>
              </w:drawing>
            </w:r>
            <w:r>
              <w:drawing>
                <wp:inline distT="0" distR="0" distB="0" distL="0">
                  <wp:extent cx="1621155" cy="2292594"/>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2292594"/>
                          </a:xfrm>
                          <a:prstGeom prst="rect">
                            <a:avLst/>
                          </a:prstGeom>
                        </pic:spPr>
                      </pic:pic>
                    </a:graphicData>
                  </a:graphic>
                </wp:inline>
              </w:drawing>
            </w:r>
            <w:r>
              <w:drawing>
                <wp:inline distT="0" distR="0" distB="0" distL="0">
                  <wp:extent cx="1621155" cy="2292594"/>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2292594"/>
                          </a:xfrm>
                          <a:prstGeom prst="rect">
                            <a:avLst/>
                          </a:prstGeom>
                        </pic:spPr>
                      </pic:pic>
                    </a:graphicData>
                  </a:graphic>
                </wp:inline>
              </w:drawing>
            </w:r>
            <w:r>
              <w:drawing>
                <wp:inline distT="0" distR="0" distB="0" distL="0">
                  <wp:extent cx="1621155" cy="2292594"/>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2292594"/>
                          </a:xfrm>
                          <a:prstGeom prst="rect">
                            <a:avLst/>
                          </a:prstGeom>
                        </pic:spPr>
                      </pic:pic>
                    </a:graphicData>
                  </a:graphic>
                </wp:inline>
              </w:drawing>
            </w:r>
            <w:r>
              <w:drawing>
                <wp:inline distT="0" distR="0" distB="0" distL="0">
                  <wp:extent cx="1621155" cy="2292594"/>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2292594"/>
                          </a:xfrm>
                          <a:prstGeom prst="rect">
                            <a:avLst/>
                          </a:prstGeom>
                        </pic:spPr>
                      </pic:pic>
                    </a:graphicData>
                  </a:graphic>
                </wp:inline>
              </w:drawing>
            </w:r>
            <w:r>
              <w:drawing>
                <wp:inline distT="0" distR="0" distB="0" distL="0">
                  <wp:extent cx="1621155" cy="2292594"/>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2292594"/>
                          </a:xfrm>
                          <a:prstGeom prst="rect">
                            <a:avLst/>
                          </a:prstGeom>
                        </pic:spPr>
                      </pic:pic>
                    </a:graphicData>
                  </a:graphic>
                </wp:inline>
              </w:drawing>
            </w:r>
            <w:r>
              <w:drawing>
                <wp:inline distT="0" distR="0" distB="0" distL="0">
                  <wp:extent cx="1621155" cy="2292594"/>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2292594"/>
                          </a:xfrm>
                          <a:prstGeom prst="rect">
                            <a:avLst/>
                          </a:prstGeom>
                        </pic:spPr>
                      </pic:pic>
                    </a:graphicData>
                  </a:graphic>
                </wp:inline>
              </w:drawing>
            </w:r>
            <w:r>
              <w:drawing>
                <wp:inline distT="0" distR="0" distB="0" distL="0">
                  <wp:extent cx="1621155" cy="2292594"/>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1621155" cy="2292594"/>
                          </a:xfrm>
                          <a:prstGeom prst="rect">
                            <a:avLst/>
                          </a:prstGeom>
                        </pic:spPr>
                      </pic:pic>
                    </a:graphicData>
                  </a:graphic>
                </wp:inline>
              </w:drawing>
            </w:r>
            <w:r>
              <w:drawing>
                <wp:inline distT="0" distR="0" distB="0" distL="0">
                  <wp:extent cx="1621155" cy="2292594"/>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1621155" cy="2292594"/>
                          </a:xfrm>
                          <a:prstGeom prst="rect">
                            <a:avLst/>
                          </a:prstGeom>
                        </pic:spPr>
                      </pic:pic>
                    </a:graphicData>
                  </a:graphic>
                </wp:inline>
              </w:drawing>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drawing>
                <wp:inline distT="0" distR="0" distB="0" distL="0">
                  <wp:extent cx="1621155" cy="2292594"/>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1621155" cy="2292594"/>
                          </a:xfrm>
                          <a:prstGeom prst="rect">
                            <a:avLst/>
                          </a:prstGeom>
                        </pic:spPr>
                      </pic:pic>
                    </a:graphicData>
                  </a:graphic>
                </wp:inline>
              </w:drawing>
            </w:r>
            <w:r>
              <w:drawing>
                <wp:inline distT="0" distR="0" distB="0" distL="0">
                  <wp:extent cx="1621155" cy="2292594"/>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1621155" cy="2292594"/>
                          </a:xfrm>
                          <a:prstGeom prst="rect">
                            <a:avLst/>
                          </a:prstGeom>
                        </pic:spPr>
                      </pic:pic>
                    </a:graphicData>
                  </a:graphic>
                </wp:inline>
              </w:drawing>
            </w:r>
          </w:p>
        </w:tc>
      </w:tr>
      <w:tr>
        <w:tc>
          <w:tcPr>
            <w:tcW w:type="dxa" w:w="2769"/>
          </w:tcPr>
          <w:p>
            <w:pPr>
              <w:pStyle w:val="null3"/>
            </w:pPr>
            <w:r>
              <w:rPr>
                <w:rFonts w:ascii="仿宋_GB2312" w:hAnsi="仿宋_GB2312" w:cs="仿宋_GB2312" w:eastAsia="仿宋_GB2312"/>
              </w:rPr>
              <w:t>3</w:t>
            </w:r>
          </w:p>
        </w:tc>
        <w:tc>
          <w:tcPr>
            <w:tcW w:type="dxa" w:w="2769"/>
          </w:tcPr>
          <w:p>
            <w:pPr>
              <w:pStyle w:val="null3"/>
            </w:pPr>
            <w:r>
              <w:rPr>
                <w:rFonts w:ascii="仿宋_GB2312" w:hAnsi="仿宋_GB2312" w:cs="仿宋_GB2312" w:eastAsia="仿宋_GB2312"/>
              </w:rPr>
              <w:t>★</w:t>
            </w:r>
          </w:p>
        </w:tc>
        <w:tc>
          <w:tcPr>
            <w:tcW w:type="dxa" w:w="2769"/>
          </w:tcPr>
          <w:p>
            <w:pPr>
              <w:pStyle w:val="null3"/>
              <w:spacing w:before="105"/>
              <w:ind w:left="30"/>
              <w:jc w:val="both"/>
            </w:pPr>
            <w:r>
              <w:rPr>
                <w:rFonts w:ascii="仿宋_GB2312" w:hAnsi="仿宋_GB2312" w:cs="仿宋_GB2312" w:eastAsia="仿宋_GB2312"/>
                <w:sz w:val="21"/>
                <w:b/>
              </w:rPr>
              <w:t>服务内容</w:t>
            </w:r>
          </w:p>
          <w:p>
            <w:pPr>
              <w:pStyle w:val="null3"/>
            </w:pPr>
            <w:r>
              <w:rPr>
                <w:rFonts w:ascii="仿宋_GB2312" w:hAnsi="仿宋_GB2312" w:cs="仿宋_GB2312" w:eastAsia="仿宋_GB2312"/>
                <w:sz w:val="21"/>
              </w:rPr>
              <w:t>本次长安区乡镇级集中式饮用水水源保护区规范化建设项目包括大兆水源地、杜曲水源地、黄良水源地、滦镇水源地、鸣犊水源地、砲里水源地、王莽水源地、王曲水源地、魏寨水源地、杨庄水源地、子午水源地、引镇水源地</w:t>
            </w:r>
            <w:r>
              <w:rPr>
                <w:rFonts w:ascii="仿宋_GB2312" w:hAnsi="仿宋_GB2312" w:cs="仿宋_GB2312" w:eastAsia="仿宋_GB2312"/>
                <w:sz w:val="21"/>
              </w:rPr>
              <w:t>12</w:t>
            </w:r>
            <w:r>
              <w:rPr>
                <w:rFonts w:ascii="仿宋_GB2312" w:hAnsi="仿宋_GB2312" w:cs="仿宋_GB2312" w:eastAsia="仿宋_GB2312"/>
                <w:sz w:val="21"/>
              </w:rPr>
              <w:t>个集中式饮用水水源地，本项目共设置界桩</w:t>
            </w:r>
            <w:r>
              <w:rPr>
                <w:rFonts w:ascii="仿宋_GB2312" w:hAnsi="仿宋_GB2312" w:cs="仿宋_GB2312" w:eastAsia="仿宋_GB2312"/>
                <w:sz w:val="21"/>
              </w:rPr>
              <w:t>103</w:t>
            </w:r>
            <w:r>
              <w:rPr>
                <w:rFonts w:ascii="仿宋_GB2312" w:hAnsi="仿宋_GB2312" w:cs="仿宋_GB2312" w:eastAsia="仿宋_GB2312"/>
                <w:sz w:val="21"/>
              </w:rPr>
              <w:t>个、界标</w:t>
            </w:r>
            <w:r>
              <w:rPr>
                <w:rFonts w:ascii="仿宋_GB2312" w:hAnsi="仿宋_GB2312" w:cs="仿宋_GB2312" w:eastAsia="仿宋_GB2312"/>
                <w:sz w:val="21"/>
              </w:rPr>
              <w:t>26</w:t>
            </w:r>
            <w:r>
              <w:rPr>
                <w:rFonts w:ascii="仿宋_GB2312" w:hAnsi="仿宋_GB2312" w:cs="仿宋_GB2312" w:eastAsia="仿宋_GB2312"/>
                <w:sz w:val="21"/>
              </w:rPr>
              <w:t>块、交通警示牌</w:t>
            </w:r>
            <w:r>
              <w:rPr>
                <w:rFonts w:ascii="仿宋_GB2312" w:hAnsi="仿宋_GB2312" w:cs="仿宋_GB2312" w:eastAsia="仿宋_GB2312"/>
                <w:sz w:val="21"/>
              </w:rPr>
              <w:t>61</w:t>
            </w:r>
            <w:r>
              <w:rPr>
                <w:rFonts w:ascii="仿宋_GB2312" w:hAnsi="仿宋_GB2312" w:cs="仿宋_GB2312" w:eastAsia="仿宋_GB2312"/>
                <w:sz w:val="21"/>
              </w:rPr>
              <w:t>块、宣传牌</w:t>
            </w:r>
            <w:r>
              <w:rPr>
                <w:rFonts w:ascii="仿宋_GB2312" w:hAnsi="仿宋_GB2312" w:cs="仿宋_GB2312" w:eastAsia="仿宋_GB2312"/>
                <w:sz w:val="21"/>
              </w:rPr>
              <w:t>61</w:t>
            </w:r>
            <w:r>
              <w:rPr>
                <w:rFonts w:ascii="仿宋_GB2312" w:hAnsi="仿宋_GB2312" w:cs="仿宋_GB2312" w:eastAsia="仿宋_GB2312"/>
                <w:sz w:val="21"/>
              </w:rPr>
              <w:t>块 ；新建钢护栏围墙</w:t>
            </w:r>
            <w:r>
              <w:rPr>
                <w:rFonts w:ascii="仿宋_GB2312" w:hAnsi="仿宋_GB2312" w:cs="仿宋_GB2312" w:eastAsia="仿宋_GB2312"/>
                <w:sz w:val="21"/>
              </w:rPr>
              <w:t>834m</w:t>
            </w:r>
            <w:r>
              <w:rPr>
                <w:rFonts w:ascii="仿宋_GB2312" w:hAnsi="仿宋_GB2312" w:cs="仿宋_GB2312" w:eastAsia="仿宋_GB2312"/>
                <w:sz w:val="21"/>
              </w:rPr>
              <w:t>；修缮破旧建筑</w:t>
            </w:r>
            <w:r>
              <w:rPr>
                <w:rFonts w:ascii="仿宋_GB2312" w:hAnsi="仿宋_GB2312" w:cs="仿宋_GB2312" w:eastAsia="仿宋_GB2312"/>
                <w:sz w:val="21"/>
              </w:rPr>
              <w:t>21</w:t>
            </w:r>
            <w:r>
              <w:rPr>
                <w:rFonts w:ascii="仿宋_GB2312" w:hAnsi="仿宋_GB2312" w:cs="仿宋_GB2312" w:eastAsia="仿宋_GB2312"/>
                <w:sz w:val="21"/>
              </w:rPr>
              <w:t>项，新建建筑（物理隔离设施</w:t>
            </w:r>
            <w:r>
              <w:rPr>
                <w:rFonts w:ascii="仿宋_GB2312" w:hAnsi="仿宋_GB2312" w:cs="仿宋_GB2312" w:eastAsia="仿宋_GB2312"/>
                <w:sz w:val="21"/>
              </w:rPr>
              <w:t>2</w:t>
            </w:r>
            <w:r>
              <w:rPr>
                <w:rFonts w:ascii="仿宋_GB2312" w:hAnsi="仿宋_GB2312" w:cs="仿宋_GB2312" w:eastAsia="仿宋_GB2312"/>
                <w:sz w:val="21"/>
              </w:rPr>
              <w:t>处）；拆除污染源（垃圾池</w:t>
            </w:r>
            <w:r>
              <w:rPr>
                <w:rFonts w:ascii="仿宋_GB2312" w:hAnsi="仿宋_GB2312" w:cs="仿宋_GB2312" w:eastAsia="仿宋_GB2312"/>
                <w:sz w:val="21"/>
              </w:rPr>
              <w:t>2</w:t>
            </w:r>
            <w:r>
              <w:rPr>
                <w:rFonts w:ascii="仿宋_GB2312" w:hAnsi="仿宋_GB2312" w:cs="仿宋_GB2312" w:eastAsia="仿宋_GB2312"/>
                <w:sz w:val="21"/>
              </w:rPr>
              <w:t>处）</w:t>
            </w:r>
            <w:r>
              <w:rPr>
                <w:rFonts w:ascii="仿宋_GB2312" w:hAnsi="仿宋_GB2312" w:cs="仿宋_GB2312" w:eastAsia="仿宋_GB2312"/>
                <w:sz w:val="21"/>
              </w:rPr>
              <w:t>视频系统</w:t>
            </w:r>
            <w:r>
              <w:rPr>
                <w:rFonts w:ascii="仿宋_GB2312" w:hAnsi="仿宋_GB2312" w:cs="仿宋_GB2312" w:eastAsia="仿宋_GB2312"/>
                <w:sz w:val="21"/>
              </w:rPr>
              <w:t>12</w:t>
            </w:r>
            <w:r>
              <w:rPr>
                <w:rFonts w:ascii="仿宋_GB2312" w:hAnsi="仿宋_GB2312" w:cs="仿宋_GB2312" w:eastAsia="仿宋_GB2312"/>
                <w:sz w:val="21"/>
              </w:rPr>
              <w:t>套；安装云监控摄像机</w:t>
            </w:r>
            <w:r>
              <w:rPr>
                <w:rFonts w:ascii="仿宋_GB2312" w:hAnsi="仿宋_GB2312" w:cs="仿宋_GB2312" w:eastAsia="仿宋_GB2312"/>
                <w:sz w:val="21"/>
              </w:rPr>
              <w:t>65</w:t>
            </w:r>
            <w:r>
              <w:rPr>
                <w:rFonts w:ascii="仿宋_GB2312" w:hAnsi="仿宋_GB2312" w:cs="仿宋_GB2312" w:eastAsia="仿宋_GB2312"/>
                <w:sz w:val="21"/>
              </w:rPr>
              <w:t>台 。</w:t>
            </w:r>
          </w:p>
        </w:tc>
      </w:tr>
    </w:tbl>
    <w:p>
      <w:pPr>
        <w:pStyle w:val="null3"/>
        <w:outlineLvl w:val="3"/>
      </w:pPr>
      <w:r>
        <w:rPr>
          <w:rFonts w:ascii="仿宋_GB2312" w:hAnsi="仿宋_GB2312" w:cs="仿宋_GB2312" w:eastAsia="仿宋_GB2312"/>
          <w:sz w:val="24"/>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满足服务要求</w:t>
      </w:r>
    </w:p>
    <w:p>
      <w:pPr>
        <w:pStyle w:val="null3"/>
        <w:outlineLvl w:val="3"/>
      </w:pPr>
      <w:r>
        <w:rPr>
          <w:rFonts w:ascii="仿宋_GB2312" w:hAnsi="仿宋_GB2312" w:cs="仿宋_GB2312" w:eastAsia="仿宋_GB2312"/>
          <w:sz w:val="24"/>
          <w:b/>
        </w:rPr>
        <w:t>3.2.4设施设备配置要求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满足服务要求</w:t>
      </w:r>
    </w:p>
    <w:p>
      <w:pPr>
        <w:pStyle w:val="null3"/>
        <w:outlineLvl w:val="3"/>
      </w:pPr>
      <w:r>
        <w:rPr>
          <w:rFonts w:ascii="仿宋_GB2312" w:hAnsi="仿宋_GB2312" w:cs="仿宋_GB2312" w:eastAsia="仿宋_GB2312"/>
          <w:sz w:val="24"/>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满足服务要求</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合同签订之日起10个月</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采购人指定地点</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详见合同</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预付款，合同签订之日起7个工作日，达到付款条件起7个工作日内，支付合同总金额的40.0%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进度款，完成项目进度的50%后7个工作日，达到付款条件起7个工作日内，支付合同总金额的20.0%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进度款，项目达到验收条件后7个工作日，达到付款条件起7个工作日内，支付合同总金额的30.0%</w:t>
      </w:r>
    </w:p>
    <w:p>
      <w:pPr>
        <w:pStyle w:val="null3"/>
        <w:ind w:firstLine="1200"/>
      </w:pPr>
      <w:r>
        <w:rPr>
          <w:rFonts w:ascii="仿宋_GB2312" w:hAnsi="仿宋_GB2312" w:cs="仿宋_GB2312" w:eastAsia="仿宋_GB2312"/>
        </w:rPr>
        <w:t>4、</w:t>
      </w:r>
      <w:r>
        <w:rPr>
          <w:rFonts w:ascii="仿宋_GB2312" w:hAnsi="仿宋_GB2312" w:cs="仿宋_GB2312" w:eastAsia="仿宋_GB2312"/>
        </w:rPr>
        <w:t>进度款，项目验收后7个工作日，达到付款条件起7个工作日内，支付合同总金额的10.0%</w:t>
      </w:r>
    </w:p>
    <w:p>
      <w:pPr>
        <w:pStyle w:val="null3"/>
        <w:outlineLvl w:val="3"/>
      </w:pPr>
      <w:r>
        <w:rPr>
          <w:rFonts w:ascii="仿宋_GB2312" w:hAnsi="仿宋_GB2312" w:cs="仿宋_GB2312" w:eastAsia="仿宋_GB2312"/>
          <w:sz w:val="24"/>
          <w:b/>
        </w:rPr>
        <w:t>3.3.6违约责任与解决争议的方法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详见合同</w:t>
      </w:r>
    </w:p>
    <w:p>
      <w:pPr>
        <w:pStyle w:val="null3"/>
        <w:jc w:val="left"/>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1、本项目专门面向中小企业采购（残疾人福利性单位、监狱企业视同小型、微型企业）。采购标的对应的中小企业划分标准所属行业为其他未列明行业。从业人员 从业人员300人以下的为中小微型企业。其中，从业人员100人及以上的为中型企业；从业人员10人及以上的为小型企业；从业人员10人以下的为微型企业。 2、需要落实的政府采购政策：（1）《国务院办公厅关于建立政府强制采购节能产品制度的通知》（国办发〔2007〕51号）；（2）《财政部 司法部关于政府采购支持监狱企业发展有关问题的通知》（财库〔2014〕68号）；（3）《三部门联合发布关于促进残疾人就业政府采购政策的通知》（财库〔2017〕141号）；（4）《财政部 发展改革委 生态环境部 市场监管总局关于调整优化节能产品、环境标志产品政府采购执行机制的通知》（财库〔2019〕9号）；（5）《关于运用政府采购政策支持乡村产业振兴的通知》（财库〔2021〕19号）；（6）《政府采购促进中小企业发展管理办法》（财库〔2020〕46号）；（7）陕西省财政厅关于印发《陕西省中小企业政府采购信用融资办法》（陕财办采〔2018〕23号）；（8）《关于进一步加大政府采购支持中小企业力度的通知》（财库〔2022〕19号）；（9）《关于扩大政府采购支持绿色建材促进建筑品质提升政策实施范围的通知》（财库〔2022〕35号）；（10）《国务院办公厅关于在政府采购中实施本国产品标准及相关政策的通知》（国办发〔2025〕34号） 3.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政府采购活动中既有本国产品又有非本国产品参与竞争的，依法对本国产品给予价格评审优惠，对本国产品的报价给予20%的价格扣除，用扣除后的价格参与评审。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供应商对其提供的产品出具《关于符合本国产品标准的声明函》（以下简称《声明函》）或财政部会同有关部门规定的有关证明文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1）供应商具有独立承担民事责任能力的法人、其他组织或自然人，提供供应商的营业执照等证明文件，自然人的身份证明等扫描件。 （2）供应商提供2024或2025年度经审计的财务报告或投标文件提交截止时间前六个月内基本存款账户开户银行出具的资信证明及基本存款账户开户许可证（或基本存款账户信息相关证明文件）或信用担保机构出具的投标担保函。（3）2025年7月以来任意一个月纳税证明或完税证明，纳税证明或完税证明上应有代收机构或税务机关的公章或业务专用章；依法免税或无须缴纳税收的供应商应提供相应文件证明。（4）2025年7月以来任意一个月的社会保障资金缴存单据或社保机构开具的社会保险参保缴费情况证明，单据或证明上应有社保机构或代收机构的公章或业务专用章；依法不需要缴纳社会保障资金的供应商应提供相应证明文件。（5）供应商提供具备履行合同所必需的设备和专业技术能力的承诺。（6）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供应商信用状况</w:t>
            </w:r>
          </w:p>
        </w:tc>
        <w:tc>
          <w:tcPr>
            <w:tcW w:type="dxa" w:w="3322"/>
          </w:tcPr>
          <w:p>
            <w:pPr>
              <w:pStyle w:val="null3"/>
            </w:pPr>
            <w:r>
              <w:rPr>
                <w:rFonts w:ascii="仿宋_GB2312" w:hAnsi="仿宋_GB2312" w:cs="仿宋_GB2312" w:eastAsia="仿宋_GB2312"/>
              </w:rPr>
              <w:t>供应商不得为“信用中国”网站（www.creditchina.gov.cn）中列入失信被执行人和重大税收违法失信主体的供应商，不得为中国政府采购网（www.ccgp.gov.cn）政府采购严重违法失信行为记录名单中被财政部门禁止参加政府采购活动的供应商。以投标文件提交截止时间后当日网站查询结果为准</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供应商参加本项目的合法授权人授权委托书</w:t>
            </w:r>
          </w:p>
        </w:tc>
        <w:tc>
          <w:tcPr>
            <w:tcW w:type="dxa" w:w="3322"/>
          </w:tcPr>
          <w:p>
            <w:pPr>
              <w:pStyle w:val="null3"/>
            </w:pPr>
            <w:r>
              <w:rPr>
                <w:rFonts w:ascii="仿宋_GB2312" w:hAnsi="仿宋_GB2312" w:cs="仿宋_GB2312" w:eastAsia="仿宋_GB2312"/>
              </w:rPr>
              <w:t>供应商应授权合法的人员参加投标全过程，其中法定代表人直接参加投标的，须出具法人身份证明，并与营业执照上信息一致。法定代表人授权代表参加投标的，须出具法定代表人授权书及授权代表身份证、授权代表本单位证明（提供授权代表在本单位社保缴纳证明（2026年1月1日至今任意一个月））；</w:t>
            </w:r>
          </w:p>
        </w:tc>
        <w:tc>
          <w:tcPr>
            <w:tcW w:type="dxa" w:w="1661"/>
          </w:tcPr>
          <w:p>
            <w:pPr>
              <w:pStyle w:val="null3"/>
            </w:pPr>
            <w:r>
              <w:rPr>
                <w:rFonts w:ascii="仿宋_GB2312" w:hAnsi="仿宋_GB2312" w:cs="仿宋_GB2312" w:eastAsia="仿宋_GB2312"/>
              </w:rPr>
              <w:t>投标函 法定代表人身份证明书及法定代表人授权书.docx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参与的供应商（联合体）服务全部由符合政策要求的中小企业承接。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 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四、本项目采取电子评审，通过项目电子化交易系统完成评审工作。评标委员会成员、采购人、代理机构和投标人应当按照本招标文件规定和项目电子化交易系统操作要求开展或者参加评标活动。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（三）根据需要要求采购组织单位对招标文件作出解释；根据需要要求供应商对投标文件有关事项作出 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投标文件有效期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按招标文件要求签字、盖章</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投标报价填写符合要求且未超出采购预算或招标文件规定的最高限价。</w:t>
            </w:r>
          </w:p>
        </w:tc>
        <w:tc>
          <w:tcPr>
            <w:tcW w:type="dxa" w:w="1661"/>
          </w:tcPr>
          <w:p>
            <w:pPr>
              <w:pStyle w:val="null3"/>
            </w:pPr>
            <w:r>
              <w:rPr>
                <w:rFonts w:ascii="仿宋_GB2312" w:hAnsi="仿宋_GB2312" w:cs="仿宋_GB2312" w:eastAsia="仿宋_GB2312"/>
              </w:rPr>
              <w:t>标的清单 关于符合本国产品标准的声明函 投标文件封面</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商务响应</w:t>
            </w:r>
          </w:p>
        </w:tc>
        <w:tc>
          <w:tcPr>
            <w:tcW w:type="dxa" w:w="3322"/>
          </w:tcPr>
          <w:p>
            <w:pPr>
              <w:pStyle w:val="null3"/>
            </w:pPr>
            <w:r>
              <w:rPr>
                <w:rFonts w:ascii="仿宋_GB2312" w:hAnsi="仿宋_GB2312" w:cs="仿宋_GB2312" w:eastAsia="仿宋_GB2312"/>
              </w:rPr>
              <w:t>满足招标文件商务要求</w:t>
            </w:r>
          </w:p>
        </w:tc>
        <w:tc>
          <w:tcPr>
            <w:tcW w:type="dxa" w:w="1661"/>
          </w:tcPr>
          <w:p>
            <w:pPr>
              <w:pStyle w:val="null3"/>
            </w:pPr>
            <w:r>
              <w:rPr>
                <w:rFonts w:ascii="仿宋_GB2312" w:hAnsi="仿宋_GB2312" w:cs="仿宋_GB2312" w:eastAsia="仿宋_GB2312"/>
              </w:rPr>
              <w:t>商务条款偏离表.docx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实质性要求</w:t>
            </w:r>
          </w:p>
        </w:tc>
        <w:tc>
          <w:tcPr>
            <w:tcW w:type="dxa" w:w="3322"/>
          </w:tcPr>
          <w:p>
            <w:pPr>
              <w:pStyle w:val="null3"/>
            </w:pPr>
            <w:r>
              <w:rPr>
                <w:rFonts w:ascii="仿宋_GB2312" w:hAnsi="仿宋_GB2312" w:cs="仿宋_GB2312" w:eastAsia="仿宋_GB2312"/>
              </w:rPr>
              <w:t>满足招标文件实质性要求</w:t>
            </w:r>
          </w:p>
        </w:tc>
        <w:tc>
          <w:tcPr>
            <w:tcW w:type="dxa" w:w="1661"/>
          </w:tcPr>
          <w:p>
            <w:pPr>
              <w:pStyle w:val="null3"/>
            </w:pPr>
            <w:r>
              <w:rPr>
                <w:rFonts w:ascii="仿宋_GB2312" w:hAnsi="仿宋_GB2312" w:cs="仿宋_GB2312" w:eastAsia="仿宋_GB2312"/>
              </w:rPr>
              <w:t>技术条款偏离表.docx</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5.4.5复核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三、评标方法和标准；</w:t>
      </w:r>
    </w:p>
    <w:p>
      <w:pPr>
        <w:pStyle w:val="null3"/>
        <w:ind w:firstLine="480"/>
      </w:pPr>
      <w:r>
        <w:rPr>
          <w:rFonts w:ascii="仿宋_GB2312" w:hAnsi="仿宋_GB2312" w:cs="仿宋_GB2312" w:eastAsia="仿宋_GB2312"/>
        </w:rPr>
        <w:t>四、开标记录和评标情况及说明，包括投标无效投标人名单及原因；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六、其他需要说明的情况，包括评标过程中投标人根据评标委员会要求进行的澄清、说明或者更正，评标委员会成员的更换等；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 xml:space="preserve"> （综合评分法适用）采用综合评分法的，由评标委员会各成员对通过资格检查和符合性审查的投标人的投标文件进行独立评审。</w:t>
      </w:r>
    </w:p>
    <w:p>
      <w:pPr>
        <w:pStyle w:val="null3"/>
        <w:ind w:firstLine="480"/>
      </w:pPr>
      <w:r>
        <w:rPr>
          <w:rFonts w:ascii="仿宋_GB2312" w:hAnsi="仿宋_GB2312" w:cs="仿宋_GB2312" w:eastAsia="仿宋_GB2312"/>
        </w:rPr>
        <w:t>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详细评审90.00分</w:t>
            </w:r>
          </w:p>
          <w:p>
            <w:pPr>
              <w:pStyle w:val="null3"/>
            </w:pPr>
            <w:r>
              <w:rPr>
                <w:rFonts w:ascii="仿宋_GB2312" w:hAnsi="仿宋_GB2312" w:cs="仿宋_GB2312" w:eastAsia="仿宋_GB2312"/>
              </w:rPr>
              <w:t>报价得分10.00分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一、评审内容 供应商针对本项目提供服务方案，内容包括：①服务内容及标准；②总体服务方案。 二、评审标准 1、完整性：方案须全面合理，架构完整对评审内容中的各项要求有详细描述； 2、可实施性：切合本项目实际情况，实施步骤清晰、合理； 3、针对性：方案能够紧扣本项目实际情况，内容科学合理。 三、赋分依据（满分5分） 以上内容均应专门针对本项目实际需求编制，方案内容完整、可实施性强的，每一项得2.5分。若每项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一、评审内容 供应商针对本项目提供服务实施方案，内容包括：①标志设置方案；②隔离防护设置方案；③视频监控设置服务方案；④美化工程服务方案； 二、评审标准 1、完整性：方案须全面合理，架构完整对评审内容中的各项要求有详细描述； 2、可实施性：切合本项目实际情况，实施步骤清晰、合理； 3、针对性：方案能够紧扣本项目实际情况，内容科学合理。 三、赋分依据（满分16分） 以上内容均应专门针对本项目实际需求编制，方案内容完整、可实施性强的，每一项得4分。若每项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w:t>
            </w:r>
          </w:p>
        </w:tc>
        <w:tc>
          <w:tcPr>
            <w:tcW w:type="dxa" w:w="831"/>
          </w:tcPr>
          <w:p>
            <w:pPr>
              <w:pStyle w:val="null3"/>
              <w:jc w:val="right"/>
            </w:pPr>
            <w:r>
              <w:rPr>
                <w:rFonts w:ascii="仿宋_GB2312" w:hAnsi="仿宋_GB2312" w:cs="仿宋_GB2312" w:eastAsia="仿宋_GB2312"/>
              </w:rPr>
              <w:t>16.0000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服务保障措施</w:t>
            </w:r>
          </w:p>
        </w:tc>
        <w:tc>
          <w:tcPr>
            <w:tcW w:type="dxa" w:w="2492"/>
          </w:tcPr>
          <w:p>
            <w:pPr>
              <w:pStyle w:val="null3"/>
            </w:pPr>
            <w:r>
              <w:rPr>
                <w:rFonts w:ascii="仿宋_GB2312" w:hAnsi="仿宋_GB2312" w:cs="仿宋_GB2312" w:eastAsia="仿宋_GB2312"/>
              </w:rPr>
              <w:t>一、评审内容 供应商针对本项目提供服务保障措施，内容包括：①组织保障措施；②质量管理保障措施。 二、评审标准 1、完整性：方案须全面合理，架构完整对评审内容中的各项要求有详细描述； 2、可实施性：切合本项目实际情况，实施步骤清晰、合理； 3、针对性：方案能够紧扣本项目实际情况，内容科学合理。 三、赋分依据（满分6分） 以上内容均应专门针对本项目实际需求编制，方案内容完整、可实施性强的，每一项得3分。若每项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服务团队人员配置</w:t>
            </w:r>
          </w:p>
        </w:tc>
        <w:tc>
          <w:tcPr>
            <w:tcW w:type="dxa" w:w="2492"/>
          </w:tcPr>
          <w:p>
            <w:pPr>
              <w:pStyle w:val="null3"/>
            </w:pPr>
            <w:r>
              <w:rPr>
                <w:rFonts w:ascii="仿宋_GB2312" w:hAnsi="仿宋_GB2312" w:cs="仿宋_GB2312" w:eastAsia="仿宋_GB2312"/>
              </w:rPr>
              <w:t>一、评审内容 供应商针对本项目特点提供服务团队人员配置，内容包含:①人员配置清单；②岗位分工、职责；提供相关证明资料（包括但不限于人员姓名、工作职务及职能、身份证、工作经验等）。 二、评审标准 1、完整性: 方案须全面合理，架构完整对评审内容中的各项要求有详细描述； 2、可实施性：切合本项目实际情况，实施步骤清晰、合理； 3、针对性：方案能够紧扣项目实际情况，内容科学合理。 三、赋分标准(满分6分) 以上内容均应专门针对本项目实际需求编制，方案内容完整、可实施性强的，每一项得3分。若每项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 注：以上人员需提供在职证明，如工资流水、劳动合同等相关证明资料。</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应急预案</w:t>
            </w:r>
          </w:p>
        </w:tc>
        <w:tc>
          <w:tcPr>
            <w:tcW w:type="dxa" w:w="2492"/>
          </w:tcPr>
          <w:p>
            <w:pPr>
              <w:pStyle w:val="null3"/>
            </w:pPr>
            <w:r>
              <w:rPr>
                <w:rFonts w:ascii="仿宋_GB2312" w:hAnsi="仿宋_GB2312" w:cs="仿宋_GB2312" w:eastAsia="仿宋_GB2312"/>
              </w:rPr>
              <w:t>一、评审内容 结合本项目的实际，供应商提供应急处置方案等。 二、评审标准 1、完整性：内容必须全面，对评审内容中的各项要求有详细描述； 2、可实施性：切合项目具体情况，提出责任明确、要求具体的方案； 3、针对性：方案能够紧扣项目实际情况，内容科学合理。 三、赋分标准（满分2分） 以上内容均应专门针对本项目实际需求编制，方案内容完整、可实施性强的得2分。若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进度计划与安排</w:t>
            </w:r>
          </w:p>
        </w:tc>
        <w:tc>
          <w:tcPr>
            <w:tcW w:type="dxa" w:w="2492"/>
          </w:tcPr>
          <w:p>
            <w:pPr>
              <w:pStyle w:val="null3"/>
            </w:pPr>
            <w:r>
              <w:rPr>
                <w:rFonts w:ascii="仿宋_GB2312" w:hAnsi="仿宋_GB2312" w:cs="仿宋_GB2312" w:eastAsia="仿宋_GB2312"/>
              </w:rPr>
              <w:t>一、评审内容 结合本项目的实际，供应商提供服务进度计划与安排，内容包含：①工作进度计划；②确保工作时效性的安排。 二、评审标准 1、完整性：内容必须全面，对评审内容中的各项要求有详细描述； 2、可实施性：切合项目具体情况，提出责任明确、要求具体的方案； 3、针对性：方案能够紧扣项目实际情况，内容科学合理。 三、赋分标准（满分5分） 以上内容均应专门针对本项目实际需求编制，方案内容完整、可实施性强的，每一项得2.5分。若每项内容中存在瑕疵，每出现一处瑕疵扣0.5分，扣完为止。“瑕疵”指内容错误，或内容表述前后矛盾或内容不完整或表达简单笼统或缺少关键点，或不适用本项目特性、套用其他项目内容或内容不能满足本项目实际需求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项目负责人</w:t>
            </w:r>
          </w:p>
        </w:tc>
        <w:tc>
          <w:tcPr>
            <w:tcW w:type="dxa" w:w="2492"/>
          </w:tcPr>
          <w:p>
            <w:pPr>
              <w:pStyle w:val="null3"/>
            </w:pPr>
            <w:r>
              <w:rPr>
                <w:rFonts w:ascii="仿宋_GB2312" w:hAnsi="仿宋_GB2312" w:cs="仿宋_GB2312" w:eastAsia="仿宋_GB2312"/>
              </w:rPr>
              <w:t>项目负责人具有中级职称得3分，高级及以上职称得5分。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技术负责人</w:t>
            </w:r>
          </w:p>
        </w:tc>
        <w:tc>
          <w:tcPr>
            <w:tcW w:type="dxa" w:w="2492"/>
          </w:tcPr>
          <w:p>
            <w:pPr>
              <w:pStyle w:val="null3"/>
            </w:pPr>
            <w:r>
              <w:rPr>
                <w:rFonts w:ascii="仿宋_GB2312" w:hAnsi="仿宋_GB2312" w:cs="仿宋_GB2312" w:eastAsia="仿宋_GB2312"/>
              </w:rPr>
              <w:t>技术负责人具有中级职称得3分，高级及以上职称得5分。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服务承诺</w:t>
            </w:r>
          </w:p>
        </w:tc>
        <w:tc>
          <w:tcPr>
            <w:tcW w:type="dxa" w:w="2492"/>
          </w:tcPr>
          <w:p>
            <w:pPr>
              <w:pStyle w:val="null3"/>
            </w:pPr>
            <w:r>
              <w:rPr>
                <w:rFonts w:ascii="仿宋_GB2312" w:hAnsi="仿宋_GB2312" w:cs="仿宋_GB2312" w:eastAsia="仿宋_GB2312"/>
              </w:rPr>
              <w:t>供应商提供本项目的服务承诺，承诺保证完成本项目采购服务要求，得5分，未提供或内容与本项目无关的不得分。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巡检承诺</w:t>
            </w:r>
          </w:p>
        </w:tc>
        <w:tc>
          <w:tcPr>
            <w:tcW w:type="dxa" w:w="2492"/>
          </w:tcPr>
          <w:p>
            <w:pPr>
              <w:pStyle w:val="null3"/>
            </w:pPr>
            <w:r>
              <w:rPr>
                <w:rFonts w:ascii="仿宋_GB2312" w:hAnsi="仿宋_GB2312" w:cs="仿宋_GB2312" w:eastAsia="仿宋_GB2312"/>
              </w:rPr>
              <w:t>供应商提供巡检承诺，承诺在本项目完成后每季度免费在12个水源保护区巡检1次，巡检时间为期1年，得3分，巡检时间为期2年得5分，未提供或内容与本项目无关的不得分。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质量承诺</w:t>
            </w:r>
          </w:p>
        </w:tc>
        <w:tc>
          <w:tcPr>
            <w:tcW w:type="dxa" w:w="2492"/>
          </w:tcPr>
          <w:p>
            <w:pPr>
              <w:pStyle w:val="null3"/>
            </w:pPr>
            <w:r>
              <w:rPr>
                <w:rFonts w:ascii="仿宋_GB2312" w:hAnsi="仿宋_GB2312" w:cs="仿宋_GB2312" w:eastAsia="仿宋_GB2312"/>
              </w:rPr>
              <w:t>供应商提供本项目的质量承诺，承诺拟投入本项目使用的所有标志、隔离护栏、视频监控设备完全满足招标文件及国家规范标准，得5份，未提供或内容与本项目无关的不得分。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备品备件保障承诺</w:t>
            </w:r>
          </w:p>
        </w:tc>
        <w:tc>
          <w:tcPr>
            <w:tcW w:type="dxa" w:w="2492"/>
          </w:tcPr>
          <w:p>
            <w:pPr>
              <w:pStyle w:val="null3"/>
            </w:pPr>
            <w:r>
              <w:rPr>
                <w:rFonts w:ascii="仿宋_GB2312" w:hAnsi="仿宋_GB2312" w:cs="仿宋_GB2312" w:eastAsia="仿宋_GB2312"/>
              </w:rPr>
              <w:t>供应商提供本项目服务期间常备界桩、标牌、监控摄像头、存储设备等全套备品备件承诺，得5分，未提供或内容与本项目无关的不得分。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交付资料承诺</w:t>
            </w:r>
          </w:p>
        </w:tc>
        <w:tc>
          <w:tcPr>
            <w:tcW w:type="dxa" w:w="2492"/>
          </w:tcPr>
          <w:p>
            <w:pPr>
              <w:pStyle w:val="null3"/>
            </w:pPr>
            <w:r>
              <w:rPr>
                <w:rFonts w:ascii="仿宋_GB2312" w:hAnsi="仿宋_GB2312" w:cs="仿宋_GB2312" w:eastAsia="仿宋_GB2312"/>
              </w:rPr>
              <w:t>供应商承诺在本项目服务完成后一次性提交全套图纸、设备台账、设备合格证、运维手册完整资料，得5分。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产品渠道证明</w:t>
            </w:r>
          </w:p>
        </w:tc>
        <w:tc>
          <w:tcPr>
            <w:tcW w:type="dxa" w:w="2492"/>
          </w:tcPr>
          <w:p>
            <w:pPr>
              <w:pStyle w:val="null3"/>
            </w:pPr>
            <w:r>
              <w:rPr>
                <w:rFonts w:ascii="仿宋_GB2312" w:hAnsi="仿宋_GB2312" w:cs="仿宋_GB2312" w:eastAsia="仿宋_GB2312"/>
              </w:rPr>
              <w:t>供应商提供拟投入本项目的视频监控设备产品来源渠道证明：包括但不限于授权书（或代理证书）或销售协议等，提供产品来源渠道的得5分，供应商为制造商的直接得5分，供应商未提供或产品未提供全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提供2022年1月1日至今供应商承担的类似项目业绩（以响应文件中提供的完整合同复印件为准），每提供1份得2分，最多得10分。未提供或提供材料不全不得分。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投标函</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价格分统一采用低价优先法计算，即满足招标文件要求且报价最低的为评标基准价，其价格分为满分。其他供应商的价格分统一按照下列公式计算： 报价得分=（评审基准价/投标报价）×10 计算分数时四舍五入取小数点后两位。 注：其他通过资格审查、符合性审查供应商的报价，有可能影响服务质量或者不能诚信履约的，应当要求其在投标现场合理的时间内提供书面说明，必要时提交相关证明材料；供应商不能证明其报价合理性的，评标委员会应当将其作为无效投标处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2、评分标准中要求提供的证明材料须清晰可辨。</w:t>
      </w:r>
    </w:p>
    <w:p>
      <w:pPr>
        <w:pStyle w:val="null3"/>
        <w:ind w:firstLine="480"/>
      </w:pPr>
      <w:r>
        <w:rPr>
          <w:rFonts w:ascii="仿宋_GB2312" w:hAnsi="仿宋_GB2312" w:cs="仿宋_GB2312" w:eastAsia="仿宋_GB2312"/>
        </w:rPr>
        <w:t xml:space="preserve"> （最低评标价法适用）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废标后，代理机构将在陕西省政府采购网上公告。对于评标过程中废标的采购项目，评标委员会应当对招标文件是否存在倾向性和歧视性、是否存在不合理条款进行论证，并出具书面论证意见。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（二）评标前，应当将通讯工具或者相关电子设备交由采购组织单位统一保管。</w:t>
      </w:r>
    </w:p>
    <w:p>
      <w:pPr>
        <w:pStyle w:val="null3"/>
        <w:ind w:firstLine="480"/>
      </w:pPr>
      <w:r>
        <w:rPr>
          <w:rFonts w:ascii="仿宋_GB2312" w:hAnsi="仿宋_GB2312" w:cs="仿宋_GB2312" w:eastAsia="仿宋_GB2312"/>
        </w:rPr>
        <w:t>（三）评标过程中，不得与外界联系，因发生不可预见情况，确实需要与外界联系的，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（四）评标过程中，不得干预或者影响正常评标工作，不得发表倾向性、引导性意见， 不得修改或细化招标文件确定的评标程序、评标方法、评审因素和评审标准，不得接受供应商主动提出的澄清和解释，不得征询采购人代表的意见，不得协商评分，不得违反规定的评审格式评分和撰写评标意见，不得拒绝对自己的评标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详见附件：法定代表人身份证明书及法定代表人授权书.docx</w:t>
      </w:r>
    </w:p>
    <w:p>
      <w:pPr>
        <w:pStyle w:val="null3"/>
        <w:ind w:firstLine="960"/>
      </w:pPr>
      <w:r>
        <w:rPr>
          <w:rFonts w:ascii="仿宋_GB2312" w:hAnsi="仿宋_GB2312" w:cs="仿宋_GB2312" w:eastAsia="仿宋_GB2312"/>
        </w:rPr>
        <w:t>详见附件：技术条款偏离表.docx</w:t>
      </w:r>
    </w:p>
    <w:p>
      <w:pPr>
        <w:pStyle w:val="null3"/>
        <w:ind w:firstLine="960"/>
      </w:pPr>
      <w:r>
        <w:rPr>
          <w:rFonts w:ascii="仿宋_GB2312" w:hAnsi="仿宋_GB2312" w:cs="仿宋_GB2312" w:eastAsia="仿宋_GB2312"/>
        </w:rPr>
        <w:t>详见附件：商务条款偏离表.docx</w:t>
      </w:r>
    </w:p>
    <w:p>
      <w:pPr>
        <w:pStyle w:val="null3"/>
        <w:ind w:firstLine="960"/>
      </w:pPr>
      <w:r>
        <w:rPr>
          <w:rFonts w:ascii="仿宋_GB2312" w:hAnsi="仿宋_GB2312" w:cs="仿宋_GB2312" w:eastAsia="仿宋_GB2312"/>
        </w:rPr>
        <w:t>详见附件：资格证明文件.docx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详见附件：拟签订合同文本.docx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