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64C88">
      <w:pPr>
        <w:jc w:val="center"/>
        <w:outlineLvl w:val="1"/>
        <w:rPr>
          <w:rFonts w:hint="default" w:ascii="Calibri" w:hAnsi="Calibri" w:eastAsia="宋体" w:cs="Times New Roman"/>
          <w:lang w:val="en-US" w:eastAsia="zh-Hans" w:bidi="ar-SA"/>
        </w:rPr>
      </w:pPr>
      <w:r>
        <w:rPr>
          <w:rFonts w:hint="eastAsia" w:ascii="Calibri" w:hAnsi="Calibri" w:eastAsia="宋体" w:cs="Times New Roman"/>
          <w:b/>
          <w:sz w:val="36"/>
          <w:lang w:val="en-US" w:eastAsia="zh-Hans" w:bidi="ar-SA"/>
        </w:rPr>
        <w:t xml:space="preserve"> 拟签订采购合同文本</w:t>
      </w:r>
    </w:p>
    <w:p w14:paraId="4253CD19">
      <w:pPr>
        <w:spacing w:before="120"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bookmarkStart w:id="0" w:name="_Toc109542396"/>
      <w:bookmarkStart w:id="1" w:name="_Toc109543216"/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本合同供参考 具体以签订为准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</w:p>
    <w:p w14:paraId="63EDEF9D">
      <w:pPr>
        <w:spacing w:before="120"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03FD1583">
      <w:pPr>
        <w:spacing w:before="120"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合同编号：</w:t>
      </w:r>
      <w:bookmarkEnd w:id="0"/>
      <w:bookmarkEnd w:id="1"/>
    </w:p>
    <w:p w14:paraId="10505CEF">
      <w:pPr>
        <w:spacing w:before="120" w:line="360" w:lineRule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3C448DCD">
      <w:pPr>
        <w:keepNext/>
        <w:keepLines/>
        <w:numPr>
          <w:ilvl w:val="3"/>
          <w:numId w:val="0"/>
        </w:numPr>
        <w:adjustRightInd w:val="0"/>
        <w:snapToGrid w:val="0"/>
        <w:rPr>
          <w:rFonts w:ascii="Calibri" w:hAnsi="Calibri" w:eastAsia="宋体" w:cs="Times New Roman"/>
        </w:rPr>
      </w:pPr>
    </w:p>
    <w:p w14:paraId="379F3E1C">
      <w:pPr>
        <w:keepNext/>
        <w:keepLines/>
        <w:numPr>
          <w:ilvl w:val="3"/>
          <w:numId w:val="0"/>
        </w:numPr>
        <w:adjustRightInd w:val="0"/>
        <w:snapToGrid w:val="0"/>
        <w:rPr>
          <w:rFonts w:ascii="Calibri" w:hAnsi="Calibri" w:eastAsia="宋体" w:cs="Times New Roman"/>
        </w:rPr>
      </w:pPr>
    </w:p>
    <w:p w14:paraId="27162E44">
      <w:pPr>
        <w:keepNext/>
        <w:keepLines/>
        <w:numPr>
          <w:ilvl w:val="3"/>
          <w:numId w:val="0"/>
        </w:numPr>
        <w:adjustRightInd w:val="0"/>
        <w:snapToGrid w:val="0"/>
        <w:rPr>
          <w:rFonts w:ascii="Calibri" w:hAnsi="Calibri" w:eastAsia="宋体" w:cs="Times New Roman"/>
        </w:rPr>
      </w:pPr>
    </w:p>
    <w:p w14:paraId="34E7E81E">
      <w:pPr>
        <w:keepNext/>
        <w:keepLines/>
        <w:numPr>
          <w:ilvl w:val="3"/>
          <w:numId w:val="0"/>
        </w:numPr>
        <w:adjustRightInd w:val="0"/>
        <w:snapToGrid w:val="0"/>
        <w:rPr>
          <w:rFonts w:ascii="Calibri" w:hAnsi="Calibri" w:eastAsia="宋体" w:cs="Times New Roman"/>
        </w:rPr>
      </w:pPr>
    </w:p>
    <w:p w14:paraId="33C6BCF4">
      <w:pPr>
        <w:spacing w:line="500" w:lineRule="exact"/>
        <w:jc w:val="center"/>
        <w:rPr>
          <w:rFonts w:ascii="方正小标宋简体" w:hAnsi="宋体" w:eastAsia="方正小标宋简体" w:cs="宋体"/>
          <w:sz w:val="36"/>
          <w:szCs w:val="36"/>
        </w:rPr>
      </w:pPr>
      <w:r>
        <w:rPr>
          <w:rFonts w:hint="eastAsia" w:ascii="方正小标宋简体" w:hAnsi="宋体" w:eastAsia="方正小标宋简体" w:cs="宋体"/>
          <w:sz w:val="48"/>
          <w:szCs w:val="48"/>
        </w:rPr>
        <w:t>政府采购合同</w:t>
      </w:r>
    </w:p>
    <w:p w14:paraId="21D65203">
      <w:pPr>
        <w:spacing w:before="120" w:line="360" w:lineRule="auto"/>
        <w:jc w:val="center"/>
        <w:rPr>
          <w:rFonts w:ascii="宋体" w:hAnsi="Calibri" w:eastAsia="宋体" w:cs="宋体"/>
          <w:sz w:val="28"/>
          <w:szCs w:val="28"/>
        </w:rPr>
      </w:pPr>
    </w:p>
    <w:p w14:paraId="08B00025">
      <w:pPr>
        <w:spacing w:before="120" w:line="360" w:lineRule="auto"/>
        <w:rPr>
          <w:rFonts w:ascii="宋体" w:hAnsi="Calibri" w:eastAsia="宋体" w:cs="宋体"/>
          <w:b/>
          <w:bCs/>
          <w:sz w:val="28"/>
          <w:szCs w:val="28"/>
        </w:rPr>
      </w:pPr>
    </w:p>
    <w:p w14:paraId="023A673C">
      <w:pPr>
        <w:spacing w:before="120" w:line="480" w:lineRule="auto"/>
        <w:rPr>
          <w:rFonts w:ascii="宋体" w:hAnsi="宋体" w:eastAsia="宋体" w:cs="宋体"/>
          <w:b/>
          <w:bCs/>
          <w:sz w:val="32"/>
          <w:szCs w:val="32"/>
        </w:rPr>
      </w:pPr>
    </w:p>
    <w:p w14:paraId="3D7A006B">
      <w:pPr>
        <w:spacing w:before="120" w:line="480" w:lineRule="auto"/>
        <w:ind w:firstLine="643" w:firstLineChars="200"/>
        <w:rPr>
          <w:rFonts w:ascii="宋体" w:hAnsi="宋体" w:eastAsia="宋体" w:cs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采购项目名称：</w:t>
      </w:r>
    </w:p>
    <w:p w14:paraId="63015082">
      <w:pPr>
        <w:spacing w:before="120" w:line="480" w:lineRule="auto"/>
        <w:ind w:firstLine="643" w:firstLineChars="200"/>
        <w:rPr>
          <w:rFonts w:ascii="宋体" w:hAnsi="Calibri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采购人：</w:t>
      </w:r>
    </w:p>
    <w:p w14:paraId="38CF3661">
      <w:pPr>
        <w:spacing w:before="120" w:line="480" w:lineRule="auto"/>
        <w:ind w:firstLine="643" w:firstLineChars="200"/>
        <w:rPr>
          <w:rFonts w:ascii="宋体" w:hAnsi="Calibri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供应商：</w:t>
      </w:r>
    </w:p>
    <w:p w14:paraId="5BB981FB">
      <w:pPr>
        <w:spacing w:line="480" w:lineRule="auto"/>
        <w:ind w:firstLine="643" w:firstLineChars="200"/>
        <w:rPr>
          <w:rFonts w:ascii="宋体" w:hAnsi="Calibri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签署日期：</w:t>
      </w:r>
    </w:p>
    <w:p w14:paraId="4CCD9898">
      <w:pPr>
        <w:rPr>
          <w:rFonts w:ascii="Calibri" w:hAnsi="Calibri" w:eastAsia="宋体" w:cs="Times New Roman"/>
        </w:rPr>
      </w:pPr>
    </w:p>
    <w:p w14:paraId="7C746D9D">
      <w:pPr>
        <w:keepNext/>
        <w:keepLines/>
        <w:adjustRightInd w:val="0"/>
        <w:snapToGrid w:val="0"/>
        <w:rPr>
          <w:rFonts w:ascii="Calibri" w:hAnsi="Calibri" w:eastAsia="宋体" w:cs="Times New Roman"/>
        </w:rPr>
      </w:pPr>
    </w:p>
    <w:p w14:paraId="0C774DA7">
      <w:pPr>
        <w:widowControl w:val="0"/>
        <w:numPr>
          <w:ilvl w:val="3"/>
          <w:numId w:val="0"/>
        </w:numPr>
        <w:jc w:val="both"/>
        <w:outlineLvl w:val="3"/>
        <w:rPr>
          <w:rFonts w:ascii="Calibri" w:hAnsi="Calibri" w:eastAsia="宋体" w:cs="Times New Roman"/>
          <w:color w:val="FF0000"/>
          <w:kern w:val="2"/>
          <w:sz w:val="28"/>
          <w:szCs w:val="22"/>
          <w:u w:val="single"/>
          <w:lang w:val="en-US" w:eastAsia="zh-CN" w:bidi="ar-SA"/>
        </w:rPr>
      </w:pPr>
    </w:p>
    <w:p w14:paraId="083C5985">
      <w:pPr>
        <w:widowControl w:val="0"/>
        <w:numPr>
          <w:ilvl w:val="3"/>
          <w:numId w:val="0"/>
        </w:numPr>
        <w:jc w:val="both"/>
        <w:outlineLvl w:val="3"/>
        <w:rPr>
          <w:rFonts w:ascii="Calibri" w:hAnsi="Calibri" w:eastAsia="宋体" w:cs="Times New Roman"/>
          <w:color w:val="FF0000"/>
          <w:kern w:val="2"/>
          <w:sz w:val="28"/>
          <w:szCs w:val="22"/>
          <w:u w:val="single"/>
          <w:lang w:val="en-US" w:eastAsia="zh-CN" w:bidi="ar-SA"/>
        </w:rPr>
      </w:pPr>
    </w:p>
    <w:p w14:paraId="7A7AE838">
      <w:pPr>
        <w:rPr>
          <w:rFonts w:ascii="Calibri" w:hAnsi="Calibri" w:eastAsia="宋体" w:cs="Times New Roman"/>
        </w:rPr>
      </w:pPr>
    </w:p>
    <w:p w14:paraId="24FF1723">
      <w:pPr>
        <w:widowControl w:val="0"/>
        <w:jc w:val="both"/>
        <w:rPr>
          <w:rFonts w:ascii="宋体" w:hAnsi="宋体" w:eastAsia="宋体" w:cs="宋体"/>
          <w:kern w:val="2"/>
          <w:sz w:val="30"/>
          <w:szCs w:val="30"/>
          <w:lang w:val="en-US" w:eastAsia="zh-CN" w:bidi="ar-SA"/>
        </w:rPr>
      </w:pPr>
    </w:p>
    <w:p w14:paraId="27912203">
      <w:pPr>
        <w:widowControl/>
        <w:spacing w:before="280" w:after="280"/>
        <w:jc w:val="both"/>
        <w:rPr>
          <w:rFonts w:ascii="宋体" w:hAnsi="Calibri" w:eastAsia="宋体" w:cs="Times New Roman"/>
          <w:kern w:val="2"/>
          <w:sz w:val="24"/>
          <w:szCs w:val="22"/>
          <w:lang w:val="en-US" w:eastAsia="zh-CN" w:bidi="ar-SA"/>
        </w:rPr>
      </w:pPr>
    </w:p>
    <w:p w14:paraId="2A014068">
      <w:pPr>
        <w:adjustRightInd w:val="0"/>
        <w:snapToGrid w:val="0"/>
        <w:spacing w:line="480" w:lineRule="auto"/>
        <w:jc w:val="left"/>
        <w:rPr>
          <w:rFonts w:ascii="宋体" w:hAnsi="Calibri" w:eastAsia="宋体" w:cs="仿宋_GB2312"/>
          <w:bCs/>
          <w:sz w:val="24"/>
          <w:szCs w:val="24"/>
        </w:rPr>
      </w:pPr>
      <w:r>
        <w:rPr>
          <w:rFonts w:hint="eastAsia" w:ascii="宋体" w:hAnsi="宋体" w:eastAsia="宋体" w:cs="仿宋_GB2312"/>
          <w:bCs/>
          <w:sz w:val="24"/>
          <w:szCs w:val="24"/>
        </w:rPr>
        <w:t>甲方（采购人）：</w:t>
      </w:r>
    </w:p>
    <w:p w14:paraId="36954099">
      <w:pPr>
        <w:autoSpaceDE w:val="0"/>
        <w:autoSpaceDN w:val="0"/>
        <w:adjustRightInd w:val="0"/>
        <w:snapToGrid w:val="0"/>
        <w:spacing w:line="480" w:lineRule="auto"/>
        <w:rPr>
          <w:rFonts w:ascii="宋体" w:hAnsi="Calibri" w:eastAsia="宋体" w:cs="仿宋_GB2312"/>
          <w:bCs/>
          <w:sz w:val="24"/>
          <w:szCs w:val="24"/>
        </w:rPr>
      </w:pPr>
      <w:r>
        <w:rPr>
          <w:rFonts w:hint="eastAsia" w:ascii="宋体" w:hAnsi="宋体" w:eastAsia="宋体" w:cs="仿宋_GB2312"/>
          <w:bCs/>
          <w:sz w:val="24"/>
          <w:szCs w:val="24"/>
        </w:rPr>
        <w:t>乙方（供应商）：</w:t>
      </w:r>
    </w:p>
    <w:p w14:paraId="40CA8404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宋体" w:eastAsia="宋体" w:cs="仿宋_GB2312"/>
          <w:bCs/>
          <w:sz w:val="24"/>
          <w:szCs w:val="24"/>
          <w:u w:val="single"/>
        </w:rPr>
      </w:pPr>
    </w:p>
    <w:p w14:paraId="140EF7AE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hint="eastAsia" w:ascii="宋体" w:hAnsi="宋体" w:eastAsia="宋体" w:cs="仿宋_GB2312"/>
          <w:bCs/>
          <w:sz w:val="24"/>
          <w:szCs w:val="24"/>
          <w:u w:val="single"/>
        </w:rPr>
        <w:t>（项目名称）</w:t>
      </w:r>
      <w:r>
        <w:rPr>
          <w:rFonts w:ascii="宋体" w:hAnsi="宋体" w:eastAsia="宋体" w:cs="仿宋_GB2312"/>
          <w:bCs/>
          <w:sz w:val="24"/>
          <w:szCs w:val="24"/>
          <w:u w:val="single"/>
        </w:rPr>
        <w:t>(</w:t>
      </w:r>
      <w:r>
        <w:rPr>
          <w:rFonts w:hint="eastAsia" w:ascii="宋体" w:hAnsi="宋体" w:eastAsia="宋体" w:cs="仿宋_GB2312"/>
          <w:bCs/>
          <w:sz w:val="24"/>
          <w:szCs w:val="24"/>
          <w:u w:val="single"/>
        </w:rPr>
        <w:t>项目编号：</w:t>
      </w:r>
      <w:r>
        <w:rPr>
          <w:rFonts w:ascii="宋体" w:hAnsi="宋体" w:eastAsia="宋体" w:cs="仿宋_GB2312"/>
          <w:bCs/>
          <w:sz w:val="24"/>
          <w:szCs w:val="24"/>
          <w:u w:val="single"/>
        </w:rPr>
        <w:t>)</w:t>
      </w:r>
      <w:r>
        <w:rPr>
          <w:rFonts w:hint="eastAsia" w:ascii="宋体" w:hAnsi="宋体" w:eastAsia="宋体" w:cs="仿宋_GB2312"/>
          <w:bCs/>
          <w:sz w:val="24"/>
          <w:szCs w:val="24"/>
        </w:rPr>
        <w:t>在组织公开招标，</w:t>
      </w:r>
      <w:r>
        <w:rPr>
          <w:rFonts w:ascii="宋体" w:hAnsi="宋体" w:eastAsia="宋体" w:cs="仿宋_GB2312"/>
          <w:bCs/>
          <w:sz w:val="24"/>
          <w:szCs w:val="24"/>
        </w:rPr>
        <w:t>(</w:t>
      </w:r>
      <w:r>
        <w:rPr>
          <w:rFonts w:hint="eastAsia" w:ascii="宋体" w:hAnsi="宋体" w:eastAsia="宋体" w:cs="仿宋_GB2312"/>
          <w:bCs/>
          <w:sz w:val="24"/>
          <w:szCs w:val="24"/>
        </w:rPr>
        <w:t>以下简称“甲方”</w:t>
      </w:r>
      <w:r>
        <w:rPr>
          <w:rFonts w:ascii="宋体" w:hAnsi="宋体" w:eastAsia="宋体" w:cs="仿宋_GB2312"/>
          <w:bCs/>
          <w:sz w:val="24"/>
          <w:szCs w:val="24"/>
        </w:rPr>
        <w:t>)</w:t>
      </w:r>
      <w:r>
        <w:rPr>
          <w:rFonts w:hint="eastAsia" w:ascii="宋体" w:hAnsi="宋体" w:eastAsia="宋体" w:cs="仿宋_GB2312"/>
          <w:bCs/>
          <w:sz w:val="24"/>
          <w:szCs w:val="24"/>
        </w:rPr>
        <w:t>确定（以下简称“乙方”）为的成交供应商。</w:t>
      </w:r>
    </w:p>
    <w:p w14:paraId="0BD617CC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hint="eastAsia" w:ascii="宋体" w:hAnsi="宋体" w:eastAsia="宋体" w:cs="仿宋_GB2312"/>
          <w:bCs/>
          <w:sz w:val="24"/>
          <w:szCs w:val="24"/>
        </w:rPr>
        <w:t>依据《中华人民共和国民法典》和《中华人民共和国政府采购法》，经双方协商按下述条款和条件签署本合同。</w:t>
      </w:r>
    </w:p>
    <w:p w14:paraId="5F98844A">
      <w:pPr>
        <w:autoSpaceDE w:val="0"/>
        <w:autoSpaceDN w:val="0"/>
        <w:adjustRightInd w:val="0"/>
        <w:snapToGrid w:val="0"/>
        <w:spacing w:line="480" w:lineRule="auto"/>
        <w:ind w:firstLine="482" w:firstLineChars="200"/>
        <w:outlineLvl w:val="1"/>
        <w:rPr>
          <w:rFonts w:ascii="宋体" w:hAnsi="Calibri" w:eastAsia="宋体" w:cs="仿宋_GB2312"/>
          <w:b/>
          <w:bCs/>
          <w:sz w:val="24"/>
          <w:szCs w:val="24"/>
        </w:rPr>
      </w:pPr>
      <w:r>
        <w:rPr>
          <w:rFonts w:hint="eastAsia" w:ascii="宋体" w:hAnsi="宋体" w:eastAsia="宋体" w:cs="仿宋_GB2312"/>
          <w:b/>
          <w:bCs/>
          <w:sz w:val="24"/>
          <w:szCs w:val="24"/>
        </w:rPr>
        <w:t>一、合同价款</w:t>
      </w:r>
    </w:p>
    <w:p w14:paraId="01B370F7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hint="eastAsia" w:ascii="宋体" w:hAnsi="宋体" w:eastAsia="宋体" w:cs="仿宋_GB2312"/>
          <w:bCs/>
          <w:sz w:val="24"/>
          <w:szCs w:val="24"/>
        </w:rPr>
        <w:t>（一）合同总价款为人民币（大写：）（￥）。</w:t>
      </w:r>
    </w:p>
    <w:p w14:paraId="2195B7B7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hint="eastAsia" w:ascii="宋体" w:hAnsi="宋体" w:eastAsia="宋体" w:cs="仿宋_GB2312"/>
          <w:bCs/>
          <w:sz w:val="24"/>
          <w:szCs w:val="24"/>
        </w:rPr>
        <w:t>（二）合同总价是指为本次服务工作所需的全部费用。</w:t>
      </w:r>
    </w:p>
    <w:p w14:paraId="44072D00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宋体" w:eastAsia="宋体" w:cs="仿宋_GB2312"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（三）合同总价一次性包死，不受市场价格变化因素的影响。</w:t>
      </w:r>
    </w:p>
    <w:p w14:paraId="5FA77879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宋体" w:eastAsia="宋体" w:cs="仿宋_GB2312"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（四）分项报价表后附</w:t>
      </w:r>
    </w:p>
    <w:p w14:paraId="32578CF1">
      <w:pPr>
        <w:autoSpaceDE w:val="0"/>
        <w:autoSpaceDN w:val="0"/>
        <w:adjustRightInd w:val="0"/>
        <w:snapToGrid w:val="0"/>
        <w:spacing w:line="480" w:lineRule="auto"/>
        <w:ind w:firstLine="482" w:firstLineChars="200"/>
        <w:outlineLvl w:val="1"/>
        <w:rPr>
          <w:rFonts w:ascii="宋体" w:hAnsi="Calibri" w:eastAsia="宋体" w:cs="仿宋_GB2312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/>
          <w:bCs/>
          <w:sz w:val="24"/>
          <w:szCs w:val="24"/>
          <w:highlight w:val="none"/>
        </w:rPr>
        <w:t>二、款项结算</w:t>
      </w:r>
    </w:p>
    <w:p w14:paraId="69517928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（一）合同款的支付：</w:t>
      </w:r>
    </w:p>
    <w:p w14:paraId="2E028B38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hint="eastAsia" w:ascii="宋体" w:hAnsi="宋体" w:eastAsia="宋体" w:cs="仿宋_GB231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仿宋_GB2312"/>
          <w:sz w:val="24"/>
          <w:szCs w:val="24"/>
          <w:highlight w:val="none"/>
        </w:rPr>
        <w:t>合同签订之日起7个工作日内支付合同总额的40%</w:t>
      </w:r>
      <w:r>
        <w:rPr>
          <w:rFonts w:hint="eastAsia" w:ascii="宋体" w:hAnsi="宋体" w:eastAsia="宋体" w:cs="仿宋_GB2312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仿宋_GB2312"/>
          <w:sz w:val="24"/>
          <w:szCs w:val="24"/>
          <w:highlight w:val="none"/>
        </w:rPr>
        <w:t>完成项目进度的50%后7个工作日支付合同总额的20%</w:t>
      </w:r>
      <w:r>
        <w:rPr>
          <w:rFonts w:hint="eastAsia" w:ascii="宋体" w:hAnsi="宋体" w:eastAsia="宋体" w:cs="仿宋_GB2312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仿宋_GB2312"/>
          <w:sz w:val="24"/>
          <w:szCs w:val="24"/>
          <w:highlight w:val="none"/>
        </w:rPr>
        <w:t>项目达到验收条件后7个工作日支付合同总额的30%</w:t>
      </w:r>
      <w:r>
        <w:rPr>
          <w:rFonts w:hint="eastAsia" w:ascii="宋体" w:hAnsi="宋体" w:eastAsia="宋体" w:cs="仿宋_GB2312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仿宋_GB2312"/>
          <w:sz w:val="24"/>
          <w:szCs w:val="24"/>
          <w:highlight w:val="none"/>
        </w:rPr>
        <w:t>项目验收后7个工作日支付合同总额的10%</w:t>
      </w:r>
      <w:r>
        <w:rPr>
          <w:rFonts w:hint="eastAsia" w:ascii="宋体" w:hAnsi="宋体" w:eastAsia="宋体" w:cs="仿宋_GB2312"/>
          <w:sz w:val="24"/>
          <w:szCs w:val="24"/>
          <w:highlight w:val="none"/>
          <w:lang w:eastAsia="zh-CN"/>
        </w:rPr>
        <w:t>；</w:t>
      </w:r>
    </w:p>
    <w:p w14:paraId="0248C476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sz w:val="24"/>
          <w:szCs w:val="24"/>
          <w:highlight w:val="none"/>
        </w:rPr>
        <w:t>（二）支付方式：银行转账。</w:t>
      </w:r>
    </w:p>
    <w:p w14:paraId="68EF6A4C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（三）结算方式：由监督机构负责结算，乙方开具合同总价数的全额发票交甲方负责部门。</w:t>
      </w:r>
    </w:p>
    <w:p w14:paraId="626EE9C1">
      <w:pPr>
        <w:autoSpaceDE w:val="0"/>
        <w:autoSpaceDN w:val="0"/>
        <w:adjustRightInd w:val="0"/>
        <w:snapToGrid w:val="0"/>
        <w:spacing w:line="480" w:lineRule="auto"/>
        <w:ind w:firstLine="482" w:firstLineChars="200"/>
        <w:outlineLvl w:val="1"/>
        <w:rPr>
          <w:rFonts w:ascii="宋体" w:hAnsi="Calibri" w:eastAsia="宋体" w:cs="仿宋_GB2312"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/>
          <w:sz w:val="24"/>
          <w:szCs w:val="24"/>
          <w:highlight w:val="none"/>
        </w:rPr>
        <w:t>三、服务地点、服务期限及成果</w:t>
      </w:r>
    </w:p>
    <w:p w14:paraId="4F27AC8B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（一）服务地点：</w:t>
      </w:r>
    </w:p>
    <w:p w14:paraId="68C68630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宋体" w:eastAsia="宋体" w:cs="Times New Roman"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（二）服务期限：</w:t>
      </w:r>
    </w:p>
    <w:p w14:paraId="512EEB9C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宋体" w:eastAsia="宋体" w:cs="仿宋_GB2312"/>
          <w:b/>
          <w:bCs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（三）提交工作成果</w:t>
      </w:r>
      <w:r>
        <w:rPr>
          <w:rFonts w:hint="eastAsia" w:ascii="宋体" w:hAnsi="宋体" w:eastAsia="宋体" w:cs="仿宋_GB2312"/>
          <w:b/>
          <w:bCs w:val="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仿宋_GB2312"/>
          <w:b/>
          <w:bCs w:val="0"/>
          <w:sz w:val="24"/>
          <w:szCs w:val="24"/>
          <w:highlight w:val="none"/>
          <w:lang w:val="en-US" w:eastAsia="zh-CN"/>
        </w:rPr>
        <w:t>具体以实际为准</w:t>
      </w:r>
      <w:r>
        <w:rPr>
          <w:rFonts w:hint="eastAsia" w:ascii="宋体" w:hAnsi="宋体" w:eastAsia="宋体" w:cs="仿宋_GB2312"/>
          <w:b/>
          <w:bCs w:val="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仿宋_GB2312"/>
          <w:b/>
          <w:bCs w:val="0"/>
          <w:sz w:val="24"/>
          <w:szCs w:val="24"/>
          <w:highlight w:val="none"/>
        </w:rPr>
        <w:t>：</w:t>
      </w:r>
    </w:p>
    <w:p w14:paraId="74914075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outlineLvl w:val="1"/>
        <w:rPr>
          <w:rFonts w:hint="eastAsia" w:ascii="宋体" w:hAnsi="宋体" w:eastAsia="宋体" w:cs="仿宋_GB2312"/>
          <w:bCs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仿宋_GB2312"/>
          <w:bCs/>
          <w:sz w:val="24"/>
          <w:szCs w:val="24"/>
          <w:highlight w:val="none"/>
          <w:u w:val="none"/>
        </w:rPr>
        <w:t xml:space="preserve">（1）实体工程成果：界桩 103 个、界标 26 块、交通警示牌 61 块、宣传牌 61 块；新建钢护栏围墙 834m；修缮破旧建筑 21 项；物理隔离设施 2 处；拆除垃圾池污染源 2 处；12 套视频监控系统、65 台云监控摄像机全部安装调试到位。 （2）纸质资料：全套图纸、设备合格证、检测报告、材质证明、影像台账、保护区点位坐标台账、设备运维手册、结算资料一式 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  <w:u w:val="none"/>
        </w:rPr>
        <w:t>份。 （3）电子成果：全项目施工前后对比照片、监控点位录像存储测试文件、云平台登录权限、设备台账电子版。（4）监控平台成果：12 套监控系统接入甲方生态环境监管平台，实现实时画面调取、30 天本地存储、云端远程查看。</w:t>
      </w:r>
    </w:p>
    <w:p w14:paraId="4FFE320C">
      <w:pPr>
        <w:autoSpaceDE w:val="0"/>
        <w:autoSpaceDN w:val="0"/>
        <w:adjustRightInd w:val="0"/>
        <w:snapToGrid w:val="0"/>
        <w:spacing w:line="480" w:lineRule="auto"/>
        <w:ind w:firstLine="482" w:firstLineChars="200"/>
        <w:outlineLvl w:val="1"/>
        <w:rPr>
          <w:rFonts w:hint="eastAsia" w:ascii="宋体" w:hAnsi="宋体" w:eastAsia="宋体" w:cs="仿宋_GB2312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仿宋_GB2312"/>
          <w:b/>
          <w:sz w:val="24"/>
          <w:szCs w:val="24"/>
          <w:highlight w:val="none"/>
        </w:rPr>
        <w:t>四、</w:t>
      </w:r>
      <w:r>
        <w:rPr>
          <w:rFonts w:ascii="宋体" w:hAnsi="宋体" w:eastAsia="宋体" w:cs="仿宋_GB2312"/>
          <w:b/>
          <w:sz w:val="24"/>
          <w:szCs w:val="24"/>
          <w:highlight w:val="none"/>
        </w:rPr>
        <w:t>服务要求和</w:t>
      </w:r>
      <w:r>
        <w:rPr>
          <w:rFonts w:hint="eastAsia" w:ascii="宋体" w:hAnsi="宋体" w:eastAsia="宋体" w:cs="仿宋_GB2312"/>
          <w:b/>
          <w:sz w:val="24"/>
          <w:szCs w:val="24"/>
          <w:highlight w:val="none"/>
          <w:lang w:val="en-US" w:eastAsia="zh-CN"/>
        </w:rPr>
        <w:t>验收</w:t>
      </w:r>
    </w:p>
    <w:p w14:paraId="7F90C304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outlineLvl w:val="1"/>
        <w:rPr>
          <w:rFonts w:hint="eastAsia" w:ascii="宋体" w:hAnsi="宋体" w:eastAsia="宋体" w:cs="仿宋_GB2312"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规范完成 12 处水源地全部建设内容，所有标牌、护栏、监控设备材质、尺寸、参数满足招标实质性要求。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  <w:lang w:val="en-US" w:eastAsia="zh-CN"/>
        </w:rPr>
        <w:t>服务期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10个月，进场前完成现场踏勘并报甲方确认；全程服从甲方现场监管，报送进度。本项目不得转包、分包，全部服务由中小企业自行实施，施工不得污染水源保护区。</w:t>
      </w:r>
    </w:p>
    <w:p w14:paraId="30E2B078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outlineLvl w:val="1"/>
        <w:rPr>
          <w:rFonts w:hint="eastAsia" w:ascii="宋体" w:hAnsi="宋体" w:eastAsia="宋体" w:cs="仿宋_GB2312"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本项目验收依据招标文件、投标文件、本合同及饮用水水源地建设相关国家规范执行，隐蔽工程施工前乙方须通知甲方核验合格后方可继续施工，全部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完工后乙方先完成自检并提交完整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  <w:lang w:val="en-US" w:eastAsia="zh-CN"/>
        </w:rPr>
        <w:t>验收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资料申请预验收，整改完成后开展正式验收；验收时现场核对界桩、界标、警示牌、宣传牌、钢护栏、修缮、隔离、垃圾池拆除、监控设备全部工程量齐全，核查标牌材质反光、护栏结构尺寸、修缮场地整洁度等实体质量，测试监控清晰度、云台喊话、30 天录像存储、云平台及监管平台对接功能无盲区无故障，同步核验竣工图纸、设备合格证、施工影像、运维手册、各类政策声明等全套资料，全部要求达标方可签署验收报告，存在轻微瑕疵乙方限期整改，若出现工程量缺失、材质参数不达标、监控系统无法正常使用等情形则验收不合格，乙方需无偿返工并承担工期延误损失。</w:t>
      </w:r>
    </w:p>
    <w:p w14:paraId="13C4246E">
      <w:pPr>
        <w:autoSpaceDE w:val="0"/>
        <w:autoSpaceDN w:val="0"/>
        <w:adjustRightInd w:val="0"/>
        <w:snapToGrid w:val="0"/>
        <w:spacing w:line="480" w:lineRule="auto"/>
        <w:ind w:firstLine="482" w:firstLineChars="200"/>
        <w:outlineLvl w:val="1"/>
        <w:rPr>
          <w:rFonts w:ascii="宋体" w:hAnsi="Calibri" w:eastAsia="宋体" w:cs="仿宋_GB2312"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/>
          <w:bCs/>
          <w:sz w:val="24"/>
          <w:szCs w:val="24"/>
          <w:highlight w:val="none"/>
        </w:rPr>
        <w:t>五、责任与义务</w:t>
      </w:r>
    </w:p>
    <w:p w14:paraId="4189C47E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（一）乙方满足甲方人数和服务质量要求，经甲方与乙方双方负责人确认，对达不到本项目采购要求所述条件要求的人员进行更换。</w:t>
      </w:r>
    </w:p>
    <w:p w14:paraId="048FE5F3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（二）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  <w:lang w:eastAsia="zh-CN"/>
        </w:rPr>
        <w:t>投标报价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应是乙方正确、全面完成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所述全部工作内容的全部报酬，不受市场价格变化等因素的影响，乙方不得以任何理由变更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  <w:lang w:eastAsia="zh-CN"/>
        </w:rPr>
        <w:t>投标报价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。所有根据合同或其它原因由乙方</w:t>
      </w:r>
      <w:bookmarkStart w:id="2" w:name="_GoBack"/>
      <w:bookmarkEnd w:id="2"/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支付的税金和其它应缴纳的费用，以及利润等都应包括在乙方提交的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  <w:lang w:eastAsia="zh-CN"/>
        </w:rPr>
        <w:t>投标报价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中，乙方不得要求甲方在报价之外支付其它任何费用。由于报价填报不完整、不清楚或存在其它任何失误，所导致的任何不利后果均应当由乙方自行承担。</w:t>
      </w:r>
    </w:p>
    <w:p w14:paraId="13036BE7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  <w:highlight w:val="none"/>
        </w:rPr>
      </w:pP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（三）合同有效期内，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  <w:lang w:eastAsia="zh-CN"/>
        </w:rPr>
        <w:t>投标报价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不因市场因素、政府政策调整、费率调整和税收变化等而作任何调整，乙方应在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仿宋_GB2312"/>
          <w:bCs/>
          <w:sz w:val="24"/>
          <w:szCs w:val="24"/>
          <w:highlight w:val="none"/>
        </w:rPr>
        <w:t>时充分考虑到各种风险因素。</w:t>
      </w:r>
      <w:r>
        <w:rPr>
          <w:rFonts w:ascii="宋体" w:hAnsi="Calibri" w:eastAsia="宋体" w:cs="仿宋_GB2312"/>
          <w:bCs/>
          <w:sz w:val="24"/>
          <w:szCs w:val="24"/>
          <w:highlight w:val="none"/>
        </w:rPr>
        <w:br w:type="textWrapping"/>
      </w:r>
      <w:r>
        <w:rPr>
          <w:rFonts w:hint="eastAsia" w:ascii="宋体" w:hAnsi="宋体" w:eastAsia="宋体" w:cs="仿宋_GB2312"/>
          <w:b/>
          <w:bCs/>
          <w:sz w:val="24"/>
          <w:szCs w:val="24"/>
          <w:highlight w:val="none"/>
        </w:rPr>
        <w:t>六</w:t>
      </w:r>
      <w:r>
        <w:rPr>
          <w:rFonts w:hint="eastAsia" w:ascii="宋体" w:hAnsi="宋体" w:eastAsia="宋体" w:cs="仿宋_GB2312"/>
          <w:b/>
          <w:sz w:val="24"/>
          <w:szCs w:val="24"/>
          <w:highlight w:val="none"/>
        </w:rPr>
        <w:t>、违约责任</w:t>
      </w:r>
    </w:p>
    <w:p w14:paraId="4B61599B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hint="eastAsia" w:ascii="宋体" w:hAnsi="宋体" w:eastAsia="宋体" w:cs="仿宋_GB2312"/>
          <w:bCs/>
          <w:sz w:val="24"/>
          <w:szCs w:val="24"/>
        </w:rPr>
        <w:t>（一）按照《中华人民共和国民法典》中的相关条款执行。</w:t>
      </w:r>
    </w:p>
    <w:p w14:paraId="6B5A1033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hint="eastAsia" w:ascii="宋体" w:hAnsi="宋体" w:eastAsia="宋体" w:cs="仿宋_GB2312"/>
          <w:bCs/>
          <w:sz w:val="24"/>
          <w:szCs w:val="24"/>
        </w:rPr>
        <w:t>（二）未按合同要求提供服务或服务质量不能满足本次采购要求，甲方会同监督机构、采购代理机构有权终止合同和对乙方违约行为进行追究，同时按政府采购法的有关规定进行相应的处罚。</w:t>
      </w:r>
    </w:p>
    <w:p w14:paraId="21E4DA61">
      <w:pPr>
        <w:autoSpaceDE w:val="0"/>
        <w:autoSpaceDN w:val="0"/>
        <w:adjustRightInd w:val="0"/>
        <w:snapToGrid w:val="0"/>
        <w:spacing w:line="480" w:lineRule="auto"/>
        <w:ind w:firstLine="482" w:firstLineChars="200"/>
        <w:outlineLvl w:val="1"/>
        <w:rPr>
          <w:rFonts w:ascii="宋体" w:hAnsi="Calibri" w:eastAsia="宋体" w:cs="仿宋_GB2312"/>
          <w:b/>
          <w:bCs/>
          <w:sz w:val="24"/>
          <w:szCs w:val="24"/>
        </w:rPr>
      </w:pPr>
      <w:r>
        <w:rPr>
          <w:rFonts w:hint="eastAsia" w:ascii="宋体" w:hAnsi="宋体" w:eastAsia="宋体" w:cs="仿宋_GB2312"/>
          <w:b/>
          <w:bCs/>
          <w:sz w:val="24"/>
          <w:szCs w:val="24"/>
        </w:rPr>
        <w:t>七、其他事项</w:t>
      </w:r>
    </w:p>
    <w:p w14:paraId="1A746DD7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hint="eastAsia" w:ascii="宋体" w:hAnsi="宋体" w:eastAsia="宋体" w:cs="仿宋_GB2312"/>
          <w:bCs/>
          <w:sz w:val="24"/>
          <w:szCs w:val="24"/>
        </w:rPr>
        <w:t>（一）乙方不得转让、分包给其它单位或个人；</w:t>
      </w:r>
    </w:p>
    <w:p w14:paraId="21990630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hint="eastAsia" w:ascii="宋体" w:hAnsi="宋体" w:eastAsia="宋体" w:cs="仿宋_GB2312"/>
          <w:bCs/>
          <w:sz w:val="24"/>
          <w:szCs w:val="24"/>
        </w:rPr>
        <w:t>（二）乙方的</w:t>
      </w:r>
      <w:r>
        <w:rPr>
          <w:rFonts w:hint="eastAsia" w:ascii="宋体" w:hAnsi="宋体" w:eastAsia="宋体" w:cs="仿宋_GB2312"/>
          <w:bCs/>
          <w:sz w:val="24"/>
          <w:szCs w:val="24"/>
          <w:lang w:eastAsia="zh-CN"/>
        </w:rPr>
        <w:t>投标文件</w:t>
      </w:r>
      <w:r>
        <w:rPr>
          <w:rFonts w:hint="eastAsia" w:ascii="宋体" w:hAnsi="宋体" w:eastAsia="宋体" w:cs="仿宋_GB2312"/>
          <w:bCs/>
          <w:sz w:val="24"/>
          <w:szCs w:val="24"/>
        </w:rPr>
        <w:t>和承诺等内容将列入合同。</w:t>
      </w:r>
    </w:p>
    <w:p w14:paraId="56A1FA99">
      <w:pPr>
        <w:autoSpaceDE w:val="0"/>
        <w:autoSpaceDN w:val="0"/>
        <w:adjustRightInd w:val="0"/>
        <w:snapToGrid w:val="0"/>
        <w:spacing w:line="480" w:lineRule="auto"/>
        <w:ind w:firstLine="482" w:firstLineChars="200"/>
        <w:outlineLvl w:val="1"/>
        <w:rPr>
          <w:rFonts w:ascii="宋体" w:hAnsi="Calibri" w:eastAsia="宋体" w:cs="仿宋_GB2312"/>
          <w:b/>
          <w:bCs/>
          <w:sz w:val="24"/>
          <w:szCs w:val="24"/>
        </w:rPr>
      </w:pPr>
      <w:r>
        <w:rPr>
          <w:rFonts w:hint="eastAsia" w:ascii="宋体" w:hAnsi="宋体" w:eastAsia="宋体" w:cs="仿宋_GB2312"/>
          <w:b/>
          <w:bCs/>
          <w:sz w:val="24"/>
          <w:szCs w:val="24"/>
        </w:rPr>
        <w:t>八、合同争议解决的方式</w:t>
      </w:r>
    </w:p>
    <w:p w14:paraId="012079B6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hint="eastAsia" w:ascii="宋体" w:hAnsi="宋体" w:eastAsia="宋体" w:cs="仿宋_GB2312"/>
          <w:bCs/>
          <w:sz w:val="24"/>
          <w:szCs w:val="24"/>
        </w:rPr>
        <w:t>本合同在履行过程中发生的争议，由甲、乙双方当事人协商解决，协商不成的按下列第</w:t>
      </w:r>
      <w:r>
        <w:rPr>
          <w:rFonts w:hint="eastAsia" w:ascii="宋体" w:hAnsi="宋体" w:eastAsia="宋体" w:cs="仿宋_GB2312"/>
          <w:bCs/>
          <w:sz w:val="24"/>
          <w:szCs w:val="24"/>
          <w:u w:val="single"/>
        </w:rPr>
        <w:t>（二）</w:t>
      </w:r>
      <w:r>
        <w:rPr>
          <w:rFonts w:hint="eastAsia" w:ascii="宋体" w:hAnsi="宋体" w:eastAsia="宋体" w:cs="仿宋_GB2312"/>
          <w:bCs/>
          <w:sz w:val="24"/>
          <w:szCs w:val="24"/>
        </w:rPr>
        <w:t>种方式解决：</w:t>
      </w:r>
    </w:p>
    <w:p w14:paraId="0AB2946A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hint="eastAsia" w:ascii="宋体" w:hAnsi="宋体" w:eastAsia="宋体" w:cs="仿宋_GB2312"/>
          <w:bCs/>
          <w:sz w:val="24"/>
          <w:szCs w:val="24"/>
        </w:rPr>
        <w:t>（一）提交西安仲裁委员会仲裁；</w:t>
      </w:r>
    </w:p>
    <w:p w14:paraId="7ABC46F2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Times New Roman"/>
        </w:rPr>
      </w:pPr>
      <w:r>
        <w:rPr>
          <w:rFonts w:hint="eastAsia" w:ascii="宋体" w:hAnsi="宋体" w:eastAsia="宋体" w:cs="仿宋_GB2312"/>
          <w:bCs/>
          <w:sz w:val="24"/>
          <w:szCs w:val="24"/>
        </w:rPr>
        <w:t>（二）依法向有管辖权的人民法院起诉。</w:t>
      </w:r>
    </w:p>
    <w:p w14:paraId="6967B41F">
      <w:pPr>
        <w:autoSpaceDE w:val="0"/>
        <w:autoSpaceDN w:val="0"/>
        <w:adjustRightInd w:val="0"/>
        <w:snapToGrid w:val="0"/>
        <w:spacing w:line="480" w:lineRule="auto"/>
        <w:ind w:firstLine="482" w:firstLineChars="200"/>
        <w:outlineLvl w:val="1"/>
        <w:rPr>
          <w:rFonts w:ascii="宋体" w:hAnsi="Calibri" w:eastAsia="宋体" w:cs="仿宋_GB2312"/>
          <w:bCs/>
          <w:sz w:val="24"/>
          <w:szCs w:val="24"/>
        </w:rPr>
      </w:pPr>
      <w:r>
        <w:rPr>
          <w:rFonts w:hint="eastAsia" w:ascii="宋体" w:hAnsi="宋体" w:eastAsia="宋体" w:cs="仿宋_GB2312"/>
          <w:b/>
          <w:sz w:val="24"/>
          <w:szCs w:val="24"/>
        </w:rPr>
        <w:t>九、合同生效</w:t>
      </w:r>
    </w:p>
    <w:p w14:paraId="4B571B21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outlineLvl w:val="2"/>
        <w:rPr>
          <w:rFonts w:ascii="宋体" w:hAnsi="Calibri" w:eastAsia="宋体" w:cs="仿宋_GB2312"/>
          <w:bCs/>
          <w:sz w:val="24"/>
          <w:szCs w:val="24"/>
        </w:rPr>
      </w:pPr>
      <w:r>
        <w:rPr>
          <w:rFonts w:ascii="宋体" w:hAnsi="宋体" w:eastAsia="宋体" w:cs="仿宋_GB2312"/>
          <w:bCs/>
          <w:sz w:val="24"/>
          <w:szCs w:val="24"/>
        </w:rPr>
        <w:t>1</w:t>
      </w:r>
      <w:r>
        <w:rPr>
          <w:rFonts w:hint="eastAsia" w:ascii="宋体" w:hAnsi="宋体" w:eastAsia="宋体" w:cs="仿宋_GB2312"/>
          <w:bCs/>
          <w:sz w:val="24"/>
          <w:szCs w:val="24"/>
        </w:rPr>
        <w:t>、本合同经双方签字盖章后生效。</w:t>
      </w:r>
    </w:p>
    <w:p w14:paraId="1B4BD45F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ascii="宋体" w:hAnsi="宋体" w:eastAsia="宋体" w:cs="仿宋_GB2312"/>
          <w:bCs/>
          <w:sz w:val="24"/>
          <w:szCs w:val="24"/>
        </w:rPr>
        <w:t>2</w:t>
      </w:r>
      <w:r>
        <w:rPr>
          <w:rFonts w:hint="eastAsia" w:ascii="宋体" w:hAnsi="宋体" w:eastAsia="宋体" w:cs="仿宋_GB2312"/>
          <w:bCs/>
          <w:sz w:val="24"/>
          <w:szCs w:val="24"/>
        </w:rPr>
        <w:t>、本合同须经甲、乙双方的法定代表人（授权代理人）在合同书上签字并加盖本单位公章后正实生效。</w:t>
      </w:r>
    </w:p>
    <w:p w14:paraId="12A2D070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ascii="宋体" w:hAnsi="宋体" w:eastAsia="宋体" w:cs="仿宋_GB2312"/>
          <w:bCs/>
          <w:sz w:val="24"/>
          <w:szCs w:val="24"/>
        </w:rPr>
        <w:t>3</w:t>
      </w:r>
      <w:r>
        <w:rPr>
          <w:rFonts w:hint="eastAsia" w:ascii="宋体" w:hAnsi="宋体" w:eastAsia="宋体" w:cs="仿宋_GB2312"/>
          <w:bCs/>
          <w:sz w:val="24"/>
          <w:szCs w:val="24"/>
        </w:rPr>
        <w:t>、合同生效后，甲、乙双方须严格执行本合同条款的规定，全面履行合同，违者按《中华人民共和国民法典》的有关规定承担相应责任。</w:t>
      </w:r>
    </w:p>
    <w:p w14:paraId="1F86B052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ascii="宋体" w:hAnsi="宋体" w:eastAsia="宋体" w:cs="仿宋_GB2312"/>
          <w:bCs/>
          <w:sz w:val="24"/>
          <w:szCs w:val="24"/>
        </w:rPr>
        <w:t>4</w:t>
      </w:r>
      <w:r>
        <w:rPr>
          <w:rFonts w:hint="eastAsia" w:ascii="宋体" w:hAnsi="宋体" w:eastAsia="宋体" w:cs="仿宋_GB2312"/>
          <w:bCs/>
          <w:sz w:val="24"/>
          <w:szCs w:val="24"/>
        </w:rPr>
        <w:t>、本合同一式份，甲乙双方各执份。</w:t>
      </w:r>
    </w:p>
    <w:p w14:paraId="20FED949">
      <w:pPr>
        <w:autoSpaceDE w:val="0"/>
        <w:autoSpaceDN w:val="0"/>
        <w:adjustRightInd w:val="0"/>
        <w:snapToGrid w:val="0"/>
        <w:spacing w:line="480" w:lineRule="auto"/>
        <w:ind w:firstLine="480" w:firstLineChars="200"/>
        <w:rPr>
          <w:rFonts w:ascii="宋体" w:hAnsi="Calibri" w:eastAsia="宋体" w:cs="仿宋_GB2312"/>
          <w:bCs/>
          <w:sz w:val="24"/>
          <w:szCs w:val="24"/>
        </w:rPr>
      </w:pPr>
      <w:r>
        <w:rPr>
          <w:rFonts w:ascii="宋体" w:hAnsi="宋体" w:eastAsia="宋体" w:cs="仿宋_GB2312"/>
          <w:bCs/>
          <w:sz w:val="24"/>
          <w:szCs w:val="24"/>
        </w:rPr>
        <w:t>5</w:t>
      </w:r>
      <w:r>
        <w:rPr>
          <w:rFonts w:hint="eastAsia" w:ascii="宋体" w:hAnsi="宋体" w:eastAsia="宋体" w:cs="仿宋_GB2312"/>
          <w:bCs/>
          <w:sz w:val="24"/>
          <w:szCs w:val="24"/>
        </w:rPr>
        <w:t>、本合同如有未尽事宜，甲、乙双方协商解决。</w:t>
      </w:r>
    </w:p>
    <w:p w14:paraId="47C079B1">
      <w:pPr>
        <w:autoSpaceDE w:val="0"/>
        <w:autoSpaceDN w:val="0"/>
        <w:adjustRightInd w:val="0"/>
        <w:spacing w:line="480" w:lineRule="auto"/>
        <w:rPr>
          <w:rFonts w:ascii="宋体" w:hAnsi="Calibri" w:eastAsia="宋体" w:cs="仿宋_GB2312"/>
          <w:bCs/>
          <w:sz w:val="24"/>
          <w:szCs w:val="24"/>
        </w:rPr>
      </w:pPr>
    </w:p>
    <w:p w14:paraId="7405F10C">
      <w:pPr>
        <w:widowControl w:val="0"/>
        <w:spacing w:line="480" w:lineRule="auto"/>
        <w:jc w:val="both"/>
        <w:rPr>
          <w:rFonts w:ascii="Times New Roman" w:hAnsi="Calibri" w:eastAsia="MingLiU_HKSCS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Calibri" w:eastAsia="宋体" w:cs="Times New Roman"/>
          <w:kern w:val="2"/>
          <w:sz w:val="24"/>
          <w:szCs w:val="24"/>
          <w:lang w:val="en-US" w:eastAsia="zh-CN" w:bidi="ar-SA"/>
        </w:rPr>
        <w:t>甲方：</w:t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Times New Roman" w:hAnsi="Calibri" w:eastAsia="宋体" w:cs="Times New Roman"/>
          <w:kern w:val="2"/>
          <w:sz w:val="24"/>
          <w:szCs w:val="24"/>
          <w:lang w:val="en-US" w:eastAsia="zh-CN" w:bidi="ar-SA"/>
        </w:rPr>
        <w:t>采购人名称</w:t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ascii="Times New Roman" w:hAnsi="Calibri" w:eastAsia="宋体" w:cs="Times New Roman"/>
          <w:kern w:val="2"/>
          <w:sz w:val="24"/>
          <w:szCs w:val="24"/>
          <w:lang w:val="en-US" w:eastAsia="zh-CN" w:bidi="ar-SA"/>
        </w:rPr>
        <w:t>　　　　　　　　 乙方：</w:t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Times New Roman" w:hAnsi="Calibri" w:eastAsia="宋体" w:cs="Times New Roman"/>
          <w:kern w:val="2"/>
          <w:sz w:val="24"/>
          <w:szCs w:val="24"/>
          <w:lang w:val="en-US" w:eastAsia="zh-CN" w:bidi="ar-SA"/>
        </w:rPr>
        <w:t>供应商名称</w:t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>)</w:t>
      </w:r>
    </w:p>
    <w:p w14:paraId="010CB434">
      <w:pPr>
        <w:widowControl w:val="0"/>
        <w:spacing w:line="480" w:lineRule="auto"/>
        <w:jc w:val="both"/>
        <w:rPr>
          <w:rFonts w:ascii="Times New Roman" w:hAnsi="Calibri" w:eastAsia="MingLiU_HKSCS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Calibri" w:eastAsia="宋体" w:cs="Times New Roman"/>
          <w:kern w:val="2"/>
          <w:sz w:val="24"/>
          <w:szCs w:val="24"/>
          <w:lang w:val="en-US" w:eastAsia="zh-CN" w:bidi="ar-SA"/>
        </w:rPr>
        <w:t>法定代表人或其授权代表签字</w:t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Times New Roman" w:hAnsi="Calibri" w:eastAsia="宋体" w:cs="Times New Roman"/>
          <w:kern w:val="2"/>
          <w:sz w:val="24"/>
          <w:szCs w:val="24"/>
          <w:lang w:val="en-US" w:eastAsia="zh-CN" w:bidi="ar-SA"/>
        </w:rPr>
        <w:t>签章</w:t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 xml:space="preserve">):    </w:t>
      </w:r>
      <w:r>
        <w:rPr>
          <w:rFonts w:hint="eastAsia" w:ascii="Times New Roman" w:hAnsi="Calibri" w:eastAsia="宋体" w:cs="Times New Roman"/>
          <w:kern w:val="2"/>
          <w:sz w:val="24"/>
          <w:szCs w:val="24"/>
          <w:lang w:val="en-US" w:eastAsia="zh-CN" w:bidi="ar-SA"/>
        </w:rPr>
        <w:t>法定代表人或其授权代表签字</w:t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>(</w:t>
      </w:r>
      <w:r>
        <w:rPr>
          <w:rFonts w:hint="eastAsia" w:ascii="Times New Roman" w:hAnsi="Calibri" w:eastAsia="宋体" w:cs="Times New Roman"/>
          <w:kern w:val="2"/>
          <w:sz w:val="24"/>
          <w:szCs w:val="24"/>
          <w:lang w:val="en-US" w:eastAsia="zh-CN" w:bidi="ar-SA"/>
        </w:rPr>
        <w:t>签章</w:t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>)</w:t>
      </w:r>
      <w:r>
        <w:rPr>
          <w:rFonts w:hint="eastAsia" w:ascii="Times New Roman" w:hAnsi="Calibri" w:eastAsia="宋体" w:cs="Times New Roman"/>
          <w:kern w:val="2"/>
          <w:sz w:val="24"/>
          <w:szCs w:val="24"/>
          <w:lang w:val="en-US" w:eastAsia="zh-CN" w:bidi="ar-SA"/>
        </w:rPr>
        <w:t>：</w:t>
      </w:r>
    </w:p>
    <w:p w14:paraId="13BA585D">
      <w:pPr>
        <w:widowControl w:val="0"/>
        <w:spacing w:line="480" w:lineRule="auto"/>
        <w:jc w:val="both"/>
        <w:rPr>
          <w:rFonts w:ascii="Times New Roman" w:hAnsi="Calibri" w:eastAsia="MingLiU_HKSCS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Calibri" w:eastAsia="宋体" w:cs="Times New Roman"/>
          <w:kern w:val="2"/>
          <w:sz w:val="24"/>
          <w:szCs w:val="24"/>
          <w:lang w:val="en-US" w:eastAsia="zh-CN" w:bidi="ar-SA"/>
        </w:rPr>
        <w:t>盖章：</w:t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ascii="Times New Roman" w:hAnsi="Calibri" w:eastAsia="宋体" w:cs="Times New Roman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Times New Roman" w:hAnsi="Calibri" w:eastAsia="宋体" w:cs="Times New Roman"/>
          <w:kern w:val="2"/>
          <w:sz w:val="24"/>
          <w:szCs w:val="24"/>
          <w:lang w:val="en-US" w:eastAsia="zh-CN" w:bidi="ar-SA"/>
        </w:rPr>
        <w:t>盖章：</w:t>
      </w:r>
    </w:p>
    <w:p w14:paraId="79492D81">
      <w:pPr>
        <w:rPr>
          <w:rFonts w:hint="default" w:ascii="Calibri" w:hAnsi="Calibri" w:eastAsia="宋体" w:cs="Times New Roman"/>
          <w:lang w:val="en-US" w:eastAsia="zh-Hans" w:bidi="ar-SA"/>
        </w:rPr>
      </w:pPr>
      <w:r>
        <w:rPr>
          <w:rFonts w:hint="eastAsia" w:ascii="Times New Roman" w:hAnsi="Calibri" w:eastAsia="宋体" w:cs="Times New Roman"/>
          <w:sz w:val="24"/>
          <w:szCs w:val="24"/>
          <w:lang w:val="en-US" w:eastAsia="zh-Hans" w:bidi="ar-SA"/>
        </w:rPr>
        <w:t>日期：______年____月____日</w:t>
      </w:r>
      <w:r>
        <w:rPr>
          <w:rFonts w:hint="eastAsia" w:ascii="Times New Roman" w:hAnsi="Calibri" w:eastAsia="宋体" w:cs="Times New Roman"/>
          <w:sz w:val="24"/>
          <w:szCs w:val="24"/>
          <w:lang w:val="en-US" w:eastAsia="zh-Hans" w:bidi="ar-SA"/>
        </w:rPr>
        <w:tab/>
      </w:r>
      <w:r>
        <w:rPr>
          <w:rFonts w:hint="eastAsia" w:ascii="Times New Roman" w:hAnsi="Calibri" w:eastAsia="宋体" w:cs="Times New Roman"/>
          <w:sz w:val="24"/>
          <w:szCs w:val="24"/>
          <w:lang w:val="en-US" w:eastAsia="zh-Hans" w:bidi="ar-SA"/>
        </w:rPr>
        <w:t>日期：______年____月____日</w:t>
      </w:r>
    </w:p>
    <w:p w14:paraId="3D150C66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0F0FFE8-CCD8-4915-BAFB-48EF888F72C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C6520E4-2CA8-4C54-AB95-8C7EF294AD6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C1AD5693-B528-4598-9176-DE787336298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  <w:embedRegular r:id="rId4" w:fontKey="{FBC47C53-2FA2-439C-98E8-10A05A3457FE}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96FDD">
    <w:pPr>
      <w:pStyle w:val="5"/>
      <w:rPr>
        <w:rFonts w:eastAsia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76F483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76F483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C321D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91614"/>
    <w:rsid w:val="25CD4CF2"/>
    <w:rsid w:val="47AA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outlineLvl w:val="3"/>
    </w:pPr>
    <w:rPr>
      <w:color w:val="FF0000"/>
      <w:sz w:val="28"/>
      <w:u w:val="single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宋体" w:hAnsi="宋体" w:eastAsia="宋体" w:cs="宋体"/>
      <w:sz w:val="30"/>
      <w:szCs w:val="30"/>
    </w:rPr>
  </w:style>
  <w:style w:type="paragraph" w:styleId="4">
    <w:name w:val="Plain Text"/>
    <w:basedOn w:val="1"/>
    <w:next w:val="1"/>
    <w:qFormat/>
    <w:uiPriority w:val="99"/>
    <w:rPr>
      <w:rFonts w:ascii="宋体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0">
    <w:name w:val="xl41"/>
    <w:basedOn w:val="1"/>
    <w:next w:val="11"/>
    <w:qFormat/>
    <w:uiPriority w:val="0"/>
    <w:pPr>
      <w:widowControl/>
      <w:spacing w:before="280" w:after="280"/>
    </w:pPr>
    <w:rPr>
      <w:rFonts w:ascii="宋体"/>
      <w:sz w:val="24"/>
    </w:rPr>
  </w:style>
  <w:style w:type="paragraph" w:customStyle="1" w:styleId="11">
    <w:name w:val="xl68"/>
    <w:basedOn w:val="1"/>
    <w:next w:val="1"/>
    <w:qFormat/>
    <w:uiPriority w:val="0"/>
    <w:pPr>
      <w:widowControl/>
      <w:spacing w:before="280" w:after="280"/>
      <w:jc w:val="center"/>
    </w:pPr>
    <w:rPr>
      <w:rFonts w:ascii="宋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2019</Words>
  <Characters>2068</Characters>
  <Lines>0</Lines>
  <Paragraphs>0</Paragraphs>
  <TotalTime>1</TotalTime>
  <ScaleCrop>false</ScaleCrop>
  <LinksUpToDate>false</LinksUpToDate>
  <CharactersWithSpaces>2119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2026-07-30T02:40:00Z</dcterms:created>
  <dc:creator>Administrator</dc:creator>
  <cp:lastModifiedBy>苗子</cp:lastModifiedBy>
  <dcterms:modified xsi:type="dcterms:W3CDTF">2026-07-30T06:41:15Z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eyJoZGlkIjoiYWMwZDE5MGE4NDhjMDcyNWM4OTNkNzAzZTdjZDc5YmQiLCJ1c2VySWQiOiIyMzk2NTMzMjUifQ==</vt:lpwstr>
  </property>
  <property fmtid="{D5CDD505-2E9C-101B-9397-08002B2CF9AE}" pid="4" name="ICV">
    <vt:lpwstr>00771AA0BE4440E8A11C6F7F900467BA_12</vt:lpwstr>
  </property>
</Properties>
</file>