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版本号：ZCSP-镇巴县-2026-0005220260707001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公共法律服务平台提升改造建设采购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ZCSP-镇巴县-2026-00052</w:t>
      </w:r>
      <w:r>
        <w:br/>
      </w:r>
      <w:r>
        <w:br/>
      </w:r>
      <w:r>
        <w:br/>
      </w:r>
    </w:p>
    <w:p>
      <w:pPr>
        <w:pStyle w:val="null3"/>
        <w:jc w:val="center"/>
        <w:outlineLvl w:val="2"/>
      </w:pPr>
      <w:r>
        <w:rPr>
          <w:rFonts w:ascii="仿宋_GB2312" w:hAnsi="仿宋_GB2312" w:cs="仿宋_GB2312" w:eastAsia="仿宋_GB2312"/>
          <w:sz w:val="28"/>
          <w:b/>
        </w:rPr>
        <w:t>镇巴县司法局</w:t>
      </w:r>
    </w:p>
    <w:p>
      <w:pPr>
        <w:pStyle w:val="null3"/>
        <w:jc w:val="center"/>
        <w:outlineLvl w:val="2"/>
      </w:pPr>
      <w:r>
        <w:rPr>
          <w:rFonts w:ascii="仿宋_GB2312" w:hAnsi="仿宋_GB2312" w:cs="仿宋_GB2312" w:eastAsia="仿宋_GB2312"/>
          <w:sz w:val="28"/>
          <w:b/>
        </w:rPr>
        <w:t>陕西中源项目管理有限公司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陕西中源项目管理有限公司</w:t>
      </w:r>
      <w:r>
        <w:rPr>
          <w:rFonts w:ascii="仿宋_GB2312" w:hAnsi="仿宋_GB2312" w:cs="仿宋_GB2312" w:eastAsia="仿宋_GB2312"/>
        </w:rPr>
        <w:t>（以下简称“代理机构”）受</w:t>
      </w:r>
      <w:r>
        <w:rPr>
          <w:rFonts w:ascii="仿宋_GB2312" w:hAnsi="仿宋_GB2312" w:cs="仿宋_GB2312" w:eastAsia="仿宋_GB2312"/>
        </w:rPr>
        <w:t>镇巴县司法局</w:t>
      </w:r>
      <w:r>
        <w:rPr>
          <w:rFonts w:ascii="仿宋_GB2312" w:hAnsi="仿宋_GB2312" w:cs="仿宋_GB2312" w:eastAsia="仿宋_GB2312"/>
        </w:rPr>
        <w:t>委托，拟对</w:t>
      </w:r>
      <w:r>
        <w:rPr>
          <w:rFonts w:ascii="仿宋_GB2312" w:hAnsi="仿宋_GB2312" w:cs="仿宋_GB2312" w:eastAsia="仿宋_GB2312"/>
        </w:rPr>
        <w:t>公共法律服务平台提升改造建设采购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ZCSP-镇巴县-2026-00052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公共法律服务平台提升改造建设采购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购买1.智慧司法-公共法律服务智能终端2.智慧司法-公共法律服务数字人;3.智慧司法-公共法律服务大数据分析平台4.智慧司法-移动司法公共法律服务掌上微平台等设备。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采购包1（公共法律服务平台提升改造建设采购）：属于专门面向中小企业采购。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2、法定代表人授权委托书：法定代表人授权委托书（附法定代表人身份证复印件）及被授权委托人身份证（法定代表人参加投标只须提供法定代表人身份证）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 、“重大税收违法案件当事人名单” 中，也未列入中国政府采购网“政府采购严重违法失信行为记录名单” 中。需提供《汉中市政府采购供应商资格承诺函》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镇巴县司法局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镇巴县司法局经办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18992655222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陕西省汉中市汉台区中山街道办事处风景路古玩文化城院内西二楼北侧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0916-8839002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开户名称：陕西中源项目管理有限公司汉中分公司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银行账号：806060301421006900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镇巴县司法局</w:t>
      </w:r>
      <w:r>
        <w:rPr>
          <w:rFonts w:ascii="仿宋_GB2312" w:hAnsi="仿宋_GB2312" w:cs="仿宋_GB2312" w:eastAsia="仿宋_GB2312"/>
        </w:rPr>
        <w:t>和</w:t>
      </w:r>
      <w:r>
        <w:rPr>
          <w:rFonts w:ascii="仿宋_GB2312" w:hAnsi="仿宋_GB2312" w:cs="仿宋_GB2312" w:eastAsia="仿宋_GB2312"/>
        </w:rPr>
        <w:t>陕西中源项目管理有限公司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镇巴县司法局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镇巴县司法局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相关技术资料归采购人；供应商保证无知识产权侵权，若侵权由其承担责任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符合国家相关标准、产品质量标准，及项目需求清单约定的验收要求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联系电话：0916-8839002</w:t>
      </w:r>
    </w:p>
    <w:p>
      <w:pPr>
        <w:pStyle w:val="null3"/>
      </w:pPr>
      <w:r>
        <w:rPr>
          <w:rFonts w:ascii="仿宋_GB2312" w:hAnsi="仿宋_GB2312" w:cs="仿宋_GB2312" w:eastAsia="仿宋_GB2312"/>
        </w:rPr>
        <w:t>地址：陕西省汉中市汉台区中山街道办事处风景路古玩文化城院内西二楼北侧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购买1.智慧司法-公共法律服务智能终端2.智慧司法-公共法律服务数字人;3.智慧司法-公共法律服务大数据分析平台4.智慧司法-移动司法公共法律服务掌上微平台等设备。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镇巴县司法局公共法律服务平台提升改造建设采购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标的名称：镇巴县司法局公共法律服务平台提升改造建设采购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2"/>
              <w:gridCol w:w="451"/>
              <w:gridCol w:w="1307"/>
              <w:gridCol w:w="361"/>
              <w:gridCol w:w="252"/>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功能参数</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智慧司法</w:t>
                  </w:r>
                  <w:r>
                    <w:rPr>
                      <w:rFonts w:ascii="仿宋_GB2312" w:hAnsi="仿宋_GB2312" w:cs="仿宋_GB2312" w:eastAsia="仿宋_GB2312"/>
                      <w:sz w:val="21"/>
                    </w:rPr>
                    <w:t>-</w:t>
                  </w:r>
                  <w:r>
                    <w:rPr>
                      <w:rFonts w:ascii="仿宋_GB2312" w:hAnsi="仿宋_GB2312" w:cs="仿宋_GB2312" w:eastAsia="仿宋_GB2312"/>
                      <w:sz w:val="21"/>
                      <w:shd w:fill="FBFBFB" w:val="clear"/>
                    </w:rPr>
                    <w:t>公共法律服务</w:t>
                  </w:r>
                  <w:r>
                    <w:rPr>
                      <w:rFonts w:ascii="仿宋_GB2312" w:hAnsi="仿宋_GB2312" w:cs="仿宋_GB2312" w:eastAsia="仿宋_GB2312"/>
                      <w:sz w:val="21"/>
                      <w:shd w:fill="FBFBFB" w:val="clear"/>
                    </w:rPr>
                    <w:t>智能终端（</w:t>
                  </w:r>
                  <w:r>
                    <w:rPr>
                      <w:rFonts w:ascii="仿宋_GB2312" w:hAnsi="仿宋_GB2312" w:cs="仿宋_GB2312" w:eastAsia="仿宋_GB2312"/>
                      <w:sz w:val="21"/>
                      <w:shd w:fill="FBFBFB" w:val="clear"/>
                    </w:rPr>
                    <w:t>桌面式）</w:t>
                  </w:r>
                </w:p>
                <w:p>
                  <w:pPr>
                    <w:pStyle w:val="null3"/>
                    <w:jc w:val="center"/>
                  </w:pPr>
                  <w:r>
                    <w:rPr>
                      <w:rFonts w:ascii="仿宋_GB2312" w:hAnsi="仿宋_GB2312" w:cs="仿宋_GB2312" w:eastAsia="仿宋_GB2312"/>
                      <w:sz w:val="21"/>
                      <w:b/>
                      <w:shd w:fill="FBFBFB" w:val="clear"/>
                    </w:rPr>
                    <w:t>(核心产品）</w:t>
                  </w:r>
                </w:p>
                <w:p>
                  <w:pPr>
                    <w:pStyle w:val="null3"/>
                    <w:jc w:val="both"/>
                  </w:pP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硬件参数：</w:t>
                  </w:r>
                </w:p>
                <w:p>
                  <w:pPr>
                    <w:pStyle w:val="null3"/>
                    <w:jc w:val="both"/>
                  </w:pPr>
                  <w:r>
                    <w:rPr>
                      <w:rFonts w:ascii="仿宋_GB2312" w:hAnsi="仿宋_GB2312" w:cs="仿宋_GB2312" w:eastAsia="仿宋_GB2312"/>
                      <w:sz w:val="21"/>
                    </w:rPr>
                    <w:t>1.显示器</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≥21.5英寸</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≥1920×1080</w:t>
                  </w:r>
                </w:p>
                <w:p>
                  <w:pPr>
                    <w:pStyle w:val="null3"/>
                    <w:numPr>
                      <w:ilvl w:val="0"/>
                      <w:numId w:val="1"/>
                    </w:numPr>
                    <w:jc w:val="both"/>
                  </w:pPr>
                  <w:r>
                    <w:rPr>
                      <w:rFonts w:ascii="仿宋_GB2312" w:hAnsi="仿宋_GB2312" w:cs="仿宋_GB2312" w:eastAsia="仿宋_GB2312"/>
                      <w:sz w:val="21"/>
                    </w:rPr>
                    <w:t>亮度</w:t>
                  </w:r>
                  <w:r>
                    <w:rPr>
                      <w:rFonts w:ascii="仿宋_GB2312" w:hAnsi="仿宋_GB2312" w:cs="仿宋_GB2312" w:eastAsia="仿宋_GB2312"/>
                      <w:sz w:val="21"/>
                    </w:rPr>
                    <w:t>≥260cd/m²</w:t>
                  </w:r>
                </w:p>
                <w:p>
                  <w:pPr>
                    <w:pStyle w:val="null3"/>
                    <w:numPr>
                      <w:ilvl w:val="0"/>
                      <w:numId w:val="1"/>
                    </w:numPr>
                    <w:jc w:val="both"/>
                  </w:pP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7ms</w:t>
                  </w:r>
                </w:p>
                <w:p>
                  <w:pPr>
                    <w:pStyle w:val="null3"/>
                    <w:numPr>
                      <w:ilvl w:val="0"/>
                      <w:numId w:val="1"/>
                    </w:numPr>
                    <w:jc w:val="both"/>
                  </w:pPr>
                  <w:r>
                    <w:rPr>
                      <w:rFonts w:ascii="仿宋_GB2312" w:hAnsi="仿宋_GB2312" w:cs="仿宋_GB2312" w:eastAsia="仿宋_GB2312"/>
                      <w:sz w:val="21"/>
                    </w:rPr>
                    <w:t>对比度</w:t>
                  </w:r>
                  <w:r>
                    <w:rPr>
                      <w:rFonts w:ascii="仿宋_GB2312" w:hAnsi="仿宋_GB2312" w:cs="仿宋_GB2312" w:eastAsia="仿宋_GB2312"/>
                      <w:sz w:val="21"/>
                    </w:rPr>
                    <w:t>≥</w:t>
                  </w:r>
                  <w:r>
                    <w:rPr>
                      <w:rFonts w:ascii="仿宋_GB2312" w:hAnsi="仿宋_GB2312" w:cs="仿宋_GB2312" w:eastAsia="仿宋_GB2312"/>
                      <w:sz w:val="21"/>
                    </w:rPr>
                    <w:t>1400:1</w:t>
                  </w:r>
                </w:p>
                <w:p>
                  <w:pPr>
                    <w:pStyle w:val="null3"/>
                    <w:numPr>
                      <w:ilvl w:val="0"/>
                      <w:numId w:val="1"/>
                    </w:numPr>
                    <w:jc w:val="both"/>
                  </w:pPr>
                  <w:r>
                    <w:rPr>
                      <w:rFonts w:ascii="仿宋_GB2312" w:hAnsi="仿宋_GB2312" w:cs="仿宋_GB2312" w:eastAsia="仿宋_GB2312"/>
                      <w:sz w:val="21"/>
                    </w:rPr>
                    <w:t>触摸点数</w:t>
                  </w:r>
                  <w:r>
                    <w:rPr>
                      <w:rFonts w:ascii="仿宋_GB2312" w:hAnsi="仿宋_GB2312" w:cs="仿宋_GB2312" w:eastAsia="仿宋_GB2312"/>
                      <w:sz w:val="21"/>
                    </w:rPr>
                    <w:t>≥10</w:t>
                  </w:r>
                </w:p>
                <w:p>
                  <w:pPr>
                    <w:pStyle w:val="null3"/>
                    <w:numPr>
                      <w:ilvl w:val="0"/>
                      <w:numId w:val="1"/>
                    </w:numPr>
                    <w:jc w:val="left"/>
                  </w:pPr>
                  <w:r>
                    <w:rPr>
                      <w:rFonts w:ascii="仿宋_GB2312" w:hAnsi="仿宋_GB2312" w:cs="仿宋_GB2312" w:eastAsia="仿宋_GB2312"/>
                      <w:sz w:val="21"/>
                    </w:rPr>
                    <w:t>使用寿命</w:t>
                  </w:r>
                  <w:r>
                    <w:rPr>
                      <w:rFonts w:ascii="仿宋_GB2312" w:hAnsi="仿宋_GB2312" w:cs="仿宋_GB2312" w:eastAsia="仿宋_GB2312"/>
                      <w:sz w:val="21"/>
                    </w:rPr>
                    <w:t>≥</w:t>
                  </w:r>
                  <w:r>
                    <w:rPr>
                      <w:rFonts w:ascii="仿宋_GB2312" w:hAnsi="仿宋_GB2312" w:cs="仿宋_GB2312" w:eastAsia="仿宋_GB2312"/>
                      <w:sz w:val="21"/>
                    </w:rPr>
                    <w:t>5000万次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8）最大支持分辨率 ≥4096*4096</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9）表面硬度 ≥6H</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10）抗光干扰功能，能在太阳直射情况下工作</w:t>
                  </w:r>
                </w:p>
                <w:p>
                  <w:pPr>
                    <w:pStyle w:val="null3"/>
                    <w:spacing w:after="120"/>
                    <w:jc w:val="both"/>
                  </w:pPr>
                  <w:r>
                    <w:rPr>
                      <w:rFonts w:ascii="仿宋_GB2312" w:hAnsi="仿宋_GB2312" w:cs="仿宋_GB2312" w:eastAsia="仿宋_GB2312"/>
                      <w:sz w:val="21"/>
                    </w:rPr>
                    <w:t>2.身份证阅读器：符合《GA450-2013 台式居民身份证阅读器通用技术要求》，兼容 IS014443 TYPE A/B 标准</w:t>
                  </w:r>
                </w:p>
                <w:p>
                  <w:pPr>
                    <w:pStyle w:val="null3"/>
                    <w:spacing w:after="120"/>
                    <w:jc w:val="both"/>
                  </w:pPr>
                  <w:r>
                    <w:rPr>
                      <w:rFonts w:ascii="仿宋_GB2312" w:hAnsi="仿宋_GB2312" w:cs="仿宋_GB2312" w:eastAsia="仿宋_GB2312"/>
                      <w:sz w:val="21"/>
                    </w:rPr>
                    <w:t>3.高拍仪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1）物理分辨：≥3264*2448分辨率（1600万像素）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2）.传感器</w:t>
                  </w:r>
                  <w:r>
                    <w:rPr>
                      <w:rFonts w:ascii="仿宋_GB2312" w:hAnsi="仿宋_GB2312" w:cs="仿宋_GB2312" w:eastAsia="仿宋_GB2312"/>
                      <w:sz w:val="21"/>
                    </w:rPr>
                    <w:t>≥</w:t>
                  </w:r>
                  <w:r>
                    <w:rPr>
                      <w:rFonts w:ascii="仿宋_GB2312" w:hAnsi="仿宋_GB2312" w:cs="仿宋_GB2312" w:eastAsia="仿宋_GB2312"/>
                      <w:sz w:val="21"/>
                    </w:rPr>
                    <w:t>3G2P+IR   1/2.5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3）.图像色彩：RGB24位真彩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4）.对焦方式：自动对焦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5）.可拍物件类型：证件、文档、各类凭证、立体实物等</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6）.拍摄幅面：A4幅面（含A4幅面及以下）</w:t>
                  </w:r>
                </w:p>
                <w:p>
                  <w:pPr>
                    <w:pStyle w:val="null3"/>
                    <w:spacing w:after="120"/>
                    <w:jc w:val="both"/>
                  </w:pPr>
                  <w:r>
                    <w:rPr>
                      <w:rFonts w:ascii="仿宋_GB2312" w:hAnsi="仿宋_GB2312" w:cs="仿宋_GB2312" w:eastAsia="仿宋_GB2312"/>
                      <w:sz w:val="21"/>
                    </w:rPr>
                    <w:t>4.双目摄像头</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1）成像距离≥15mm</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2）像素点尺寸</w:t>
                  </w:r>
                  <w:r>
                    <w:rPr>
                      <w:rFonts w:ascii="仿宋_GB2312" w:hAnsi="仿宋_GB2312" w:cs="仿宋_GB2312" w:eastAsia="仿宋_GB2312"/>
                      <w:sz w:val="21"/>
                    </w:rPr>
                    <w:t>≥</w:t>
                  </w:r>
                  <w:r>
                    <w:rPr>
                      <w:rFonts w:ascii="仿宋_GB2312" w:hAnsi="仿宋_GB2312" w:cs="仿宋_GB2312" w:eastAsia="仿宋_GB2312"/>
                      <w:sz w:val="21"/>
                    </w:rPr>
                    <w:t>3µm x 3µm</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3）灵敏度</w:t>
                  </w:r>
                  <w:r>
                    <w:rPr>
                      <w:rFonts w:ascii="仿宋_GB2312" w:hAnsi="仿宋_GB2312" w:cs="仿宋_GB2312" w:eastAsia="仿宋_GB2312"/>
                      <w:sz w:val="21"/>
                    </w:rPr>
                    <w:t>≥</w:t>
                  </w:r>
                  <w:r>
                    <w:rPr>
                      <w:rFonts w:ascii="仿宋_GB2312" w:hAnsi="仿宋_GB2312" w:cs="仿宋_GB2312" w:eastAsia="仿宋_GB2312"/>
                      <w:sz w:val="21"/>
                    </w:rPr>
                    <w:t>1.1V/(Lux·sec)</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4）帧率 30FPS 1080P</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5）支持自动曝光控制AEC 自动白平衡AEB 自动增益控制AGC</w:t>
                  </w:r>
                </w:p>
                <w:p>
                  <w:pPr>
                    <w:pStyle w:val="null3"/>
                    <w:spacing w:after="120"/>
                    <w:ind w:left="195" w:firstLine="200"/>
                    <w:jc w:val="left"/>
                  </w:pPr>
                  <w:r>
                    <w:rPr>
                      <w:rFonts w:ascii="仿宋_GB2312" w:hAnsi="仿宋_GB2312" w:cs="仿宋_GB2312" w:eastAsia="仿宋_GB2312"/>
                      <w:sz w:val="21"/>
                    </w:rPr>
                    <w:t>5.麦克风</w:t>
                  </w:r>
                </w:p>
                <w:p>
                  <w:pPr>
                    <w:pStyle w:val="null3"/>
                    <w:spacing w:after="120"/>
                    <w:ind w:left="195" w:firstLine="200"/>
                    <w:jc w:val="both"/>
                  </w:pPr>
                  <w:r>
                    <w:rPr>
                      <w:rFonts w:ascii="仿宋_GB2312" w:hAnsi="仿宋_GB2312" w:cs="仿宋_GB2312" w:eastAsia="仿宋_GB2312"/>
                      <w:sz w:val="21"/>
                    </w:rPr>
                    <w:t>（</w:t>
                  </w:r>
                  <w:r>
                    <w:rPr>
                      <w:rFonts w:ascii="仿宋_GB2312" w:hAnsi="仿宋_GB2312" w:cs="仿宋_GB2312" w:eastAsia="仿宋_GB2312"/>
                      <w:sz w:val="21"/>
                    </w:rPr>
                    <w:t>1）高保真拾音器</w:t>
                  </w:r>
                </w:p>
                <w:p>
                  <w:pPr>
                    <w:pStyle w:val="null3"/>
                    <w:spacing w:after="120"/>
                    <w:ind w:left="195" w:firstLine="200"/>
                    <w:jc w:val="both"/>
                  </w:pPr>
                  <w:r>
                    <w:rPr>
                      <w:rFonts w:ascii="仿宋_GB2312" w:hAnsi="仿宋_GB2312" w:cs="仿宋_GB2312" w:eastAsia="仿宋_GB2312"/>
                      <w:sz w:val="21"/>
                    </w:rPr>
                    <w:t>（</w:t>
                  </w:r>
                  <w:r>
                    <w:rPr>
                      <w:rFonts w:ascii="仿宋_GB2312" w:hAnsi="仿宋_GB2312" w:cs="仿宋_GB2312" w:eastAsia="仿宋_GB2312"/>
                      <w:sz w:val="21"/>
                    </w:rPr>
                    <w:t>2）频率响应</w:t>
                  </w:r>
                  <w:r>
                    <w:rPr>
                      <w:rFonts w:ascii="仿宋_GB2312" w:hAnsi="仿宋_GB2312" w:cs="仿宋_GB2312" w:eastAsia="仿宋_GB2312"/>
                      <w:sz w:val="21"/>
                    </w:rPr>
                    <w:t>≥</w:t>
                  </w:r>
                  <w:r>
                    <w:rPr>
                      <w:rFonts w:ascii="仿宋_GB2312" w:hAnsi="仿宋_GB2312" w:cs="仿宋_GB2312" w:eastAsia="仿宋_GB2312"/>
                      <w:sz w:val="21"/>
                    </w:rPr>
                    <w:t>20-20K Hz</w:t>
                  </w:r>
                </w:p>
                <w:p>
                  <w:pPr>
                    <w:pStyle w:val="null3"/>
                    <w:spacing w:after="120"/>
                    <w:ind w:left="195" w:firstLine="200"/>
                    <w:jc w:val="both"/>
                  </w:pPr>
                  <w:r>
                    <w:rPr>
                      <w:rFonts w:ascii="仿宋_GB2312" w:hAnsi="仿宋_GB2312" w:cs="仿宋_GB2312" w:eastAsia="仿宋_GB2312"/>
                      <w:sz w:val="21"/>
                    </w:rPr>
                    <w:t>（</w:t>
                  </w:r>
                  <w:r>
                    <w:rPr>
                      <w:rFonts w:ascii="仿宋_GB2312" w:hAnsi="仿宋_GB2312" w:cs="仿宋_GB2312" w:eastAsia="仿宋_GB2312"/>
                      <w:sz w:val="21"/>
                    </w:rPr>
                    <w:t>3）灵敏度-30--45dB</w:t>
                  </w:r>
                </w:p>
                <w:p>
                  <w:pPr>
                    <w:pStyle w:val="null3"/>
                    <w:spacing w:after="120"/>
                    <w:ind w:left="195" w:firstLine="200"/>
                    <w:jc w:val="left"/>
                  </w:pPr>
                  <w:r>
                    <w:rPr>
                      <w:rFonts w:ascii="仿宋_GB2312" w:hAnsi="仿宋_GB2312" w:cs="仿宋_GB2312" w:eastAsia="仿宋_GB2312"/>
                      <w:sz w:val="21"/>
                    </w:rPr>
                    <w:t>（</w:t>
                  </w:r>
                  <w:r>
                    <w:rPr>
                      <w:rFonts w:ascii="仿宋_GB2312" w:hAnsi="仿宋_GB2312" w:cs="仿宋_GB2312" w:eastAsia="仿宋_GB2312"/>
                      <w:sz w:val="21"/>
                    </w:rPr>
                    <w:t>4）压缩标准：G.711/G.711A/G.711U/MP2L2 (32-128Kbps）</w:t>
                  </w:r>
                </w:p>
                <w:p>
                  <w:pPr>
                    <w:pStyle w:val="null3"/>
                    <w:spacing w:after="120"/>
                    <w:ind w:left="195" w:firstLine="200"/>
                    <w:jc w:val="left"/>
                  </w:pPr>
                  <w:r>
                    <w:rPr>
                      <w:rFonts w:ascii="仿宋_GB2312" w:hAnsi="仿宋_GB2312" w:cs="仿宋_GB2312" w:eastAsia="仿宋_GB2312"/>
                      <w:sz w:val="21"/>
                    </w:rPr>
                    <w:t>6.主板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CPU不低于八核</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 xml:space="preserve">4G 内置存储器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32G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3）操作系统不低于 Android 12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4）解码分辨率 最高支持 2160P 视频格式 支持 RM/RMVB，MKV，TS，FLV，AVI，VOB，MOV，WMV，MP4 ； 图片格式 支持 BMP、JPEG、PNG、GIF</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5）支持100/1000以太网、WiFi-2.4G、BT RTC 实时时钟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6）系统支持USB升级</w:t>
                  </w:r>
                </w:p>
                <w:p>
                  <w:pPr>
                    <w:pStyle w:val="null3"/>
                    <w:jc w:val="both"/>
                  </w:pPr>
                  <w:r>
                    <w:rPr>
                      <w:rFonts w:ascii="仿宋_GB2312" w:hAnsi="仿宋_GB2312" w:cs="仿宋_GB2312" w:eastAsia="仿宋_GB2312"/>
                      <w:sz w:val="28"/>
                      <w:b/>
                    </w:rPr>
                    <w:t>软件参数：</w:t>
                  </w:r>
                </w:p>
                <w:p>
                  <w:pPr>
                    <w:pStyle w:val="null3"/>
                    <w:jc w:val="both"/>
                  </w:pPr>
                  <w:r>
                    <w:rPr>
                      <w:rFonts w:ascii="仿宋_GB2312" w:hAnsi="仿宋_GB2312" w:cs="仿宋_GB2312" w:eastAsia="仿宋_GB2312"/>
                      <w:sz w:val="22"/>
                      <w:b/>
                    </w:rPr>
                    <w:t>1法律咨询</w:t>
                  </w:r>
                </w:p>
                <w:p>
                  <w:pPr>
                    <w:pStyle w:val="null3"/>
                    <w:jc w:val="both"/>
                  </w:pPr>
                  <w:r>
                    <w:rPr>
                      <w:rFonts w:ascii="仿宋_GB2312" w:hAnsi="仿宋_GB2312" w:cs="仿宋_GB2312" w:eastAsia="仿宋_GB2312"/>
                      <w:sz w:val="21"/>
                      <w:b/>
                    </w:rPr>
                    <w:t>1）智能法律咨询</w:t>
                  </w:r>
                </w:p>
                <w:p>
                  <w:pPr>
                    <w:pStyle w:val="null3"/>
                    <w:jc w:val="both"/>
                  </w:pPr>
                  <w:r>
                    <w:rPr>
                      <w:rFonts w:ascii="仿宋_GB2312" w:hAnsi="仿宋_GB2312" w:cs="仿宋_GB2312" w:eastAsia="仿宋_GB2312"/>
                      <w:sz w:val="21"/>
                    </w:rPr>
                    <w:t>支持以问卷的形式的提供智能法律咨询服务，用户只需根据提示填写问卷，完成问卷后可获得一份千字级的法律咨询意见书。</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2）律师咨询</w:t>
                  </w:r>
                </w:p>
                <w:p>
                  <w:pPr>
                    <w:pStyle w:val="null3"/>
                    <w:ind w:firstLine="210"/>
                    <w:jc w:val="both"/>
                  </w:pPr>
                  <w:r>
                    <w:rPr>
                      <w:rFonts w:ascii="仿宋_GB2312" w:hAnsi="仿宋_GB2312" w:cs="仿宋_GB2312" w:eastAsia="仿宋_GB2312"/>
                      <w:sz w:val="21"/>
                    </w:rPr>
                    <w:t>支持以视频的方式提供法律咨询服务，可以通过视频或音频与公共法律服务人员连线，进行法律咨询。</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3）智能文书库</w:t>
                  </w:r>
                </w:p>
                <w:p>
                  <w:pPr>
                    <w:pStyle w:val="null3"/>
                    <w:jc w:val="both"/>
                  </w:pPr>
                  <w:r>
                    <w:rPr>
                      <w:rFonts w:ascii="仿宋_GB2312" w:hAnsi="仿宋_GB2312" w:cs="仿宋_GB2312" w:eastAsia="仿宋_GB2312"/>
                      <w:sz w:val="21"/>
                    </w:rPr>
                    <w:t>1）智能法律文书</w:t>
                  </w:r>
                </w:p>
                <w:p>
                  <w:pPr>
                    <w:pStyle w:val="null3"/>
                    <w:ind w:firstLine="210"/>
                    <w:jc w:val="both"/>
                  </w:pPr>
                  <w:r>
                    <w:rPr>
                      <w:rFonts w:ascii="仿宋_GB2312" w:hAnsi="仿宋_GB2312" w:cs="仿宋_GB2312" w:eastAsia="仿宋_GB2312"/>
                      <w:sz w:val="21"/>
                    </w:rPr>
                    <w:t>支持法律文书在线生成，通过问卷引导的方式，用户在填写信息，填写完成后可获得一份法律文书，支持手机扫码带走或发送到指定邮箱。</w:t>
                  </w:r>
                </w:p>
                <w:p>
                  <w:pPr>
                    <w:pStyle w:val="null3"/>
                    <w:jc w:val="both"/>
                  </w:pPr>
                  <w:r>
                    <w:rPr>
                      <w:rFonts w:ascii="仿宋_GB2312" w:hAnsi="仿宋_GB2312" w:cs="仿宋_GB2312" w:eastAsia="仿宋_GB2312"/>
                      <w:sz w:val="21"/>
                    </w:rPr>
                    <w:t>2）文书模板</w:t>
                  </w:r>
                </w:p>
                <w:p>
                  <w:pPr>
                    <w:pStyle w:val="null3"/>
                    <w:ind w:firstLine="210"/>
                    <w:jc w:val="both"/>
                  </w:pPr>
                  <w:r>
                    <w:rPr>
                      <w:rFonts w:ascii="仿宋_GB2312" w:hAnsi="仿宋_GB2312" w:cs="仿宋_GB2312" w:eastAsia="仿宋_GB2312"/>
                      <w:sz w:val="21"/>
                    </w:rPr>
                    <w:t>提供常见纠纷问题相关文书模板查询服务，支持发送到邮箱下载使用。</w:t>
                  </w:r>
                </w:p>
                <w:p>
                  <w:pPr>
                    <w:pStyle w:val="null3"/>
                    <w:ind w:firstLine="210"/>
                    <w:jc w:val="both"/>
                  </w:pPr>
                  <w:r>
                    <w:rPr>
                      <w:rFonts w:ascii="仿宋_GB2312" w:hAnsi="仿宋_GB2312" w:cs="仿宋_GB2312" w:eastAsia="仿宋_GB2312"/>
                      <w:sz w:val="21"/>
                    </w:rPr>
                    <w:t>要求提供婚姻家庭、继承纠纷、劳动纠纷、借贷纠纷、人身侵权、雇佣关系、交通事故、电商纠纷、消费维权、校园侵权、医患纠纷、租赁合同、培训服务、赠与合同、买卖合同、物业纠纷、二手房买卖、买房纠纷、房屋租赁、运输合同、承揽合同、期货证券、融资租赁、知识产权、建设工程、土地问题、农资农业、邻里纠纷、人格权纠纷、生活服务、行政程序、公司经营、国家赔偿、农民工讨薪、刑事犯罪、法律援助、司法鉴定、个人声明、信用卡纠纷、民事程序等</w:t>
                  </w:r>
                  <w:r>
                    <w:rPr>
                      <w:rFonts w:ascii="仿宋_GB2312" w:hAnsi="仿宋_GB2312" w:cs="仿宋_GB2312" w:eastAsia="仿宋_GB2312"/>
                      <w:sz w:val="21"/>
                    </w:rPr>
                    <w:t>4</w:t>
                  </w:r>
                  <w:r>
                    <w:rPr>
                      <w:rFonts w:ascii="仿宋_GB2312" w:hAnsi="仿宋_GB2312" w:cs="仿宋_GB2312" w:eastAsia="仿宋_GB2312"/>
                      <w:sz w:val="21"/>
                    </w:rPr>
                    <w:t>0个类别，以及</w:t>
                  </w:r>
                  <w:r>
                    <w:rPr>
                      <w:rFonts w:ascii="仿宋_GB2312" w:hAnsi="仿宋_GB2312" w:cs="仿宋_GB2312" w:eastAsia="仿宋_GB2312"/>
                      <w:sz w:val="21"/>
                    </w:rPr>
                    <w:t>67类要素式文书。</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AI律师</w:t>
                  </w:r>
                  <w:r>
                    <w:rPr>
                      <w:rFonts w:ascii="仿宋_GB2312" w:hAnsi="仿宋_GB2312" w:cs="仿宋_GB2312" w:eastAsia="仿宋_GB2312"/>
                      <w:sz w:val="19"/>
                      <w:b/>
                    </w:rPr>
                    <w:t xml:space="preserve"> </w:t>
                  </w:r>
                </w:p>
                <w:p>
                  <w:pPr>
                    <w:pStyle w:val="null3"/>
                    <w:ind w:firstLine="210"/>
                    <w:jc w:val="both"/>
                  </w:pPr>
                  <w:r>
                    <w:rPr>
                      <w:rFonts w:ascii="仿宋_GB2312" w:hAnsi="仿宋_GB2312" w:cs="仿宋_GB2312" w:eastAsia="仿宋_GB2312"/>
                      <w:sz w:val="21"/>
                    </w:rPr>
                    <w:t>基于大模型的强大能力，</w:t>
                  </w:r>
                  <w:r>
                    <w:rPr>
                      <w:rFonts w:ascii="仿宋_GB2312" w:hAnsi="仿宋_GB2312" w:cs="仿宋_GB2312" w:eastAsia="仿宋_GB2312"/>
                      <w:sz w:val="21"/>
                    </w:rPr>
                    <w:t>AI律师需能够对各类法律问题提供全面、准确的应答。AI律师不仅具备深度学习和自然语言处理的核心技术，还融合了法律领域的专业知识，为用户带来前所未有的智能法律服务体验。</w:t>
                  </w:r>
                </w:p>
                <w:p>
                  <w:pPr>
                    <w:pStyle w:val="null3"/>
                    <w:jc w:val="both"/>
                  </w:pPr>
                  <w:r>
                    <w:rPr>
                      <w:rFonts w:ascii="仿宋_GB2312" w:hAnsi="仿宋_GB2312" w:cs="仿宋_GB2312" w:eastAsia="仿宋_GB2312"/>
                      <w:sz w:val="21"/>
                    </w:rPr>
                    <w:t>①全面覆盖法律问题</w:t>
                  </w:r>
                </w:p>
                <w:p>
                  <w:pPr>
                    <w:pStyle w:val="null3"/>
                    <w:ind w:firstLine="210"/>
                    <w:jc w:val="both"/>
                  </w:pPr>
                  <w:r>
                    <w:rPr>
                      <w:rFonts w:ascii="仿宋_GB2312" w:hAnsi="仿宋_GB2312" w:cs="仿宋_GB2312" w:eastAsia="仿宋_GB2312"/>
                      <w:sz w:val="21"/>
                    </w:rPr>
                    <w:t>AI律师基于大模型的海量数据处理能力，能够全面覆盖各类法律问题。无论是民事纠纷、刑事辩护，还是商业法务、知识产权等，AI律师都能凭借其丰富的法律知识和经验，为用户提供专业的解答和建议。</w:t>
                  </w:r>
                </w:p>
                <w:p>
                  <w:pPr>
                    <w:pStyle w:val="null3"/>
                    <w:jc w:val="both"/>
                  </w:pPr>
                  <w:r>
                    <w:rPr>
                      <w:rFonts w:ascii="仿宋_GB2312" w:hAnsi="仿宋_GB2312" w:cs="仿宋_GB2312" w:eastAsia="仿宋_GB2312"/>
                      <w:sz w:val="21"/>
                    </w:rPr>
                    <w:t>②准确应答与智能推理</w:t>
                  </w:r>
                </w:p>
                <w:p>
                  <w:pPr>
                    <w:pStyle w:val="null3"/>
                    <w:ind w:firstLine="210"/>
                    <w:jc w:val="both"/>
                  </w:pPr>
                  <w:r>
                    <w:rPr>
                      <w:rFonts w:ascii="仿宋_GB2312" w:hAnsi="仿宋_GB2312" w:cs="仿宋_GB2312" w:eastAsia="仿宋_GB2312"/>
                      <w:sz w:val="21"/>
                    </w:rPr>
                    <w:t>AI律师的应答不仅准确，而且具备智能推理的能力。它能够根据用户的具体情况和需求，结合法律条文、案例和司法实践，进行逻辑推理和判断。无论是简单的法律咨询还是复杂的案件分析，AI律师都能给出符合法律规范的答案，帮助用户更好地理解和应对法律问题。</w:t>
                  </w:r>
                </w:p>
                <w:p>
                  <w:pPr>
                    <w:pStyle w:val="null3"/>
                    <w:jc w:val="both"/>
                  </w:pPr>
                  <w:r>
                    <w:rPr>
                      <w:rFonts w:ascii="仿宋_GB2312" w:hAnsi="仿宋_GB2312" w:cs="仿宋_GB2312" w:eastAsia="仿宋_GB2312"/>
                      <w:sz w:val="21"/>
                    </w:rPr>
                    <w:t>③法律专业性与个性化服务</w:t>
                  </w:r>
                </w:p>
                <w:p>
                  <w:pPr>
                    <w:pStyle w:val="null3"/>
                    <w:ind w:firstLine="210"/>
                    <w:jc w:val="both"/>
                  </w:pPr>
                  <w:r>
                    <w:rPr>
                      <w:rFonts w:ascii="仿宋_GB2312" w:hAnsi="仿宋_GB2312" w:cs="仿宋_GB2312" w:eastAsia="仿宋_GB2312"/>
                      <w:sz w:val="21"/>
                    </w:rPr>
                    <w:t>AI律师不仅具备法律专业性，还能根据用户的个性化需求提供定制化的法律服务。无论是需要起草法律文书、制定法律策略，还是需要进行案件预测和风险评估，AI律师都能根据用户的具体情况，提供精准、高效的解决方案。</w:t>
                  </w:r>
                </w:p>
                <w:p>
                  <w:pPr>
                    <w:pStyle w:val="null3"/>
                    <w:jc w:val="both"/>
                  </w:pPr>
                  <w:r>
                    <w:rPr>
                      <w:rFonts w:ascii="仿宋_GB2312" w:hAnsi="仿宋_GB2312" w:cs="仿宋_GB2312" w:eastAsia="仿宋_GB2312"/>
                      <w:sz w:val="21"/>
                    </w:rPr>
                    <w:t>④持续学习与优化</w:t>
                  </w:r>
                </w:p>
                <w:p>
                  <w:pPr>
                    <w:pStyle w:val="null3"/>
                    <w:ind w:firstLine="210"/>
                    <w:jc w:val="both"/>
                  </w:pPr>
                  <w:r>
                    <w:rPr>
                      <w:rFonts w:ascii="仿宋_GB2312" w:hAnsi="仿宋_GB2312" w:cs="仿宋_GB2312" w:eastAsia="仿宋_GB2312"/>
                      <w:sz w:val="21"/>
                    </w:rPr>
                    <w:t>基于大模型的持续学习能力，</w:t>
                  </w:r>
                  <w:r>
                    <w:rPr>
                      <w:rFonts w:ascii="仿宋_GB2312" w:hAnsi="仿宋_GB2312" w:cs="仿宋_GB2312" w:eastAsia="仿宋_GB2312"/>
                      <w:sz w:val="21"/>
                    </w:rPr>
                    <w:t>AI律师能够不断吸收新的法律知识和案例，优化自身的应答准确性和专业性。这使得AI律师能够跟上法律领域的最新动态，为用户提供最新、最全面的法律服务。</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办理业务</w:t>
                  </w:r>
                </w:p>
                <w:p>
                  <w:pPr>
                    <w:pStyle w:val="null3"/>
                    <w:ind w:firstLine="210"/>
                    <w:jc w:val="both"/>
                  </w:pPr>
                  <w:r>
                    <w:rPr>
                      <w:rFonts w:ascii="仿宋_GB2312" w:hAnsi="仿宋_GB2312" w:cs="仿宋_GB2312" w:eastAsia="仿宋_GB2312"/>
                      <w:sz w:val="21"/>
                    </w:rPr>
                    <w:t>要求支持在线查询法律援助、人民调解、公证服务、行政复议、仲裁服务、社区矫正办理须知信息或相关法律法规，以及机构信息查询。</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便民查询</w:t>
                  </w:r>
                </w:p>
                <w:p>
                  <w:pPr>
                    <w:pStyle w:val="null3"/>
                    <w:numPr>
                      <w:ilvl w:val="0"/>
                      <w:numId w:val="1"/>
                    </w:numPr>
                    <w:jc w:val="both"/>
                  </w:pPr>
                  <w:r>
                    <w:rPr>
                      <w:rFonts w:ascii="仿宋_GB2312" w:hAnsi="仿宋_GB2312" w:cs="仿宋_GB2312" w:eastAsia="仿宋_GB2312"/>
                      <w:sz w:val="21"/>
                      <w:b/>
                    </w:rPr>
                    <w:t>司法鉴定</w:t>
                  </w:r>
                </w:p>
                <w:p>
                  <w:pPr>
                    <w:pStyle w:val="null3"/>
                    <w:ind w:firstLine="210"/>
                    <w:jc w:val="both"/>
                  </w:pPr>
                  <w:r>
                    <w:rPr>
                      <w:rFonts w:ascii="仿宋_GB2312" w:hAnsi="仿宋_GB2312" w:cs="仿宋_GB2312" w:eastAsia="仿宋_GB2312"/>
                      <w:sz w:val="21"/>
                    </w:rPr>
                    <w:t>提供司法鉴定机构信息、相关法律法规查询服务。</w:t>
                  </w:r>
                </w:p>
                <w:p>
                  <w:pPr>
                    <w:pStyle w:val="null3"/>
                    <w:ind w:firstLine="210"/>
                    <w:jc w:val="both"/>
                  </w:pPr>
                  <w:r>
                    <w:rPr>
                      <w:rFonts w:ascii="仿宋_GB2312" w:hAnsi="仿宋_GB2312" w:cs="仿宋_GB2312" w:eastAsia="仿宋_GB2312"/>
                      <w:sz w:val="21"/>
                    </w:rPr>
                    <w:t>要求提供司法鉴定机构名称、地址、联系信息查询服务，可通过选择区域或机构名称关键字检索查询。</w:t>
                  </w:r>
                </w:p>
                <w:p>
                  <w:pPr>
                    <w:pStyle w:val="null3"/>
                    <w:ind w:firstLine="210"/>
                    <w:jc w:val="both"/>
                  </w:pPr>
                  <w:r>
                    <w:rPr>
                      <w:rFonts w:ascii="仿宋_GB2312" w:hAnsi="仿宋_GB2312" w:cs="仿宋_GB2312" w:eastAsia="仿宋_GB2312"/>
                      <w:sz w:val="21"/>
                    </w:rPr>
                    <w:t>要求提供司法鉴定相关法律法规查询服务。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）法律法规</w:t>
                  </w:r>
                </w:p>
                <w:p>
                  <w:pPr>
                    <w:pStyle w:val="null3"/>
                    <w:ind w:firstLine="210"/>
                    <w:jc w:val="both"/>
                  </w:pPr>
                  <w:r>
                    <w:rPr>
                      <w:rFonts w:ascii="仿宋_GB2312" w:hAnsi="仿宋_GB2312" w:cs="仿宋_GB2312" w:eastAsia="仿宋_GB2312"/>
                      <w:sz w:val="21"/>
                    </w:rPr>
                    <w:t>提供法律法规查询服务，支持对法律法规的快速、目录、高级检索、法规文内二次检索查询服务。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）机构查询</w:t>
                  </w:r>
                </w:p>
                <w:p>
                  <w:pPr>
                    <w:pStyle w:val="null3"/>
                    <w:ind w:firstLine="210"/>
                    <w:jc w:val="both"/>
                  </w:pPr>
                  <w:r>
                    <w:rPr>
                      <w:rFonts w:ascii="仿宋_GB2312" w:hAnsi="仿宋_GB2312" w:cs="仿宋_GB2312" w:eastAsia="仿宋_GB2312"/>
                      <w:sz w:val="21"/>
                    </w:rPr>
                    <w:t>提供法律援助工作站、人民调解委员会、法律服务所、司法所、公证处、司法鉴定机构、公共法律服务中心、仲裁机构信息查询服务。支持按地区、按名称检索查询。</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）案例查询</w:t>
                  </w:r>
                </w:p>
                <w:p>
                  <w:pPr>
                    <w:pStyle w:val="null3"/>
                    <w:jc w:val="both"/>
                  </w:pPr>
                  <w:r>
                    <w:rPr>
                      <w:rFonts w:ascii="仿宋_GB2312" w:hAnsi="仿宋_GB2312" w:cs="仿宋_GB2312" w:eastAsia="仿宋_GB2312"/>
                      <w:sz w:val="21"/>
                    </w:rPr>
                    <w:t>1）司法行政案例</w:t>
                  </w:r>
                </w:p>
                <w:p>
                  <w:pPr>
                    <w:pStyle w:val="null3"/>
                    <w:ind w:firstLine="210"/>
                    <w:jc w:val="both"/>
                  </w:pPr>
                  <w:r>
                    <w:rPr>
                      <w:rFonts w:ascii="仿宋_GB2312" w:hAnsi="仿宋_GB2312" w:cs="仿宋_GB2312" w:eastAsia="仿宋_GB2312"/>
                      <w:sz w:val="21"/>
                    </w:rPr>
                    <w:t>提供监狱工作、戒毒工作、社区矫正工作、法治宣传教育工作、律师工作、公证工作、法律援助工作、人民调解工作、司法考试工作、司法鉴定工作、法制工作等司法行政案例查询服务。</w:t>
                  </w:r>
                </w:p>
                <w:p>
                  <w:pPr>
                    <w:pStyle w:val="null3"/>
                    <w:jc w:val="both"/>
                  </w:pPr>
                  <w:r>
                    <w:rPr>
                      <w:rFonts w:ascii="仿宋_GB2312" w:hAnsi="仿宋_GB2312" w:cs="仿宋_GB2312" w:eastAsia="仿宋_GB2312"/>
                      <w:sz w:val="21"/>
                    </w:rPr>
                    <w:t>2）案例库</w:t>
                  </w:r>
                </w:p>
                <w:p>
                  <w:pPr>
                    <w:pStyle w:val="null3"/>
                    <w:ind w:firstLine="210"/>
                    <w:jc w:val="both"/>
                  </w:pPr>
                  <w:r>
                    <w:rPr>
                      <w:rFonts w:ascii="仿宋_GB2312" w:hAnsi="仿宋_GB2312" w:cs="仿宋_GB2312" w:eastAsia="仿宋_GB2312"/>
                      <w:sz w:val="21"/>
                    </w:rPr>
                    <w:t>提供真实案例查询服务。</w:t>
                  </w:r>
                </w:p>
                <w:p>
                  <w:pPr>
                    <w:pStyle w:val="null3"/>
                    <w:ind w:firstLine="210"/>
                    <w:jc w:val="both"/>
                  </w:pPr>
                  <w:r>
                    <w:rPr>
                      <w:rFonts w:ascii="仿宋_GB2312" w:hAnsi="仿宋_GB2312" w:cs="仿宋_GB2312" w:eastAsia="仿宋_GB2312"/>
                      <w:sz w:val="21"/>
                    </w:rPr>
                    <w:t>要求支持借贷纠纷、婚姻家事、继承纠纷、收养问题、房屋买卖、赡养问题、房屋租赁、物业纠纷、债权债务、消费维权、合同纠纷、票据纠纷、侵权纠纷、刑事犯罪、土地纠纷、旅游纠纷、工伤赔偿、林地纠纷、知识产权、征地拆迁、建设工程、行政、军人相关、合伙问题、公司问题</w:t>
                  </w:r>
                  <w:r>
                    <w:rPr>
                      <w:rFonts w:ascii="仿宋_GB2312" w:hAnsi="仿宋_GB2312" w:cs="仿宋_GB2312" w:eastAsia="仿宋_GB2312"/>
                      <w:sz w:val="21"/>
                    </w:rPr>
                    <w:t>25</w:t>
                  </w:r>
                  <w:r>
                    <w:rPr>
                      <w:rFonts w:ascii="仿宋_GB2312" w:hAnsi="仿宋_GB2312" w:cs="仿宋_GB2312" w:eastAsia="仿宋_GB2312"/>
                      <w:sz w:val="21"/>
                    </w:rPr>
                    <w:t>类法律纠纷案例查询。</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5</w:t>
                  </w:r>
                  <w:r>
                    <w:rPr>
                      <w:rFonts w:ascii="仿宋_GB2312" w:hAnsi="仿宋_GB2312" w:cs="仿宋_GB2312" w:eastAsia="仿宋_GB2312"/>
                      <w:sz w:val="21"/>
                      <w:b/>
                    </w:rPr>
                    <w:t>）律所律师</w:t>
                  </w:r>
                </w:p>
                <w:p>
                  <w:pPr>
                    <w:pStyle w:val="null3"/>
                    <w:ind w:firstLine="210"/>
                    <w:jc w:val="both"/>
                  </w:pPr>
                  <w:r>
                    <w:rPr>
                      <w:rFonts w:ascii="仿宋_GB2312" w:hAnsi="仿宋_GB2312" w:cs="仿宋_GB2312" w:eastAsia="仿宋_GB2312"/>
                      <w:sz w:val="21"/>
                    </w:rPr>
                    <w:t>提供律所信息查询服务，可选择地理区域查看选定区域的律所信息，也可直接搜索律所名称查询，可查看律所信息包括律所名称、地址、电话以及律所的律师信息等，可查看的律师信息包括律师的姓名、执业证号、执业年限等。</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6</w:t>
                  </w:r>
                  <w:r>
                    <w:rPr>
                      <w:rFonts w:ascii="仿宋_GB2312" w:hAnsi="仿宋_GB2312" w:cs="仿宋_GB2312" w:eastAsia="仿宋_GB2312"/>
                      <w:sz w:val="21"/>
                      <w:b/>
                    </w:rPr>
                    <w:t>）法律计算器</w:t>
                  </w:r>
                </w:p>
                <w:p>
                  <w:pPr>
                    <w:pStyle w:val="null3"/>
                    <w:ind w:firstLine="210"/>
                    <w:jc w:val="both"/>
                  </w:pPr>
                  <w:r>
                    <w:rPr>
                      <w:rFonts w:ascii="仿宋_GB2312" w:hAnsi="仿宋_GB2312" w:cs="仿宋_GB2312" w:eastAsia="仿宋_GB2312"/>
                      <w:sz w:val="21"/>
                    </w:rPr>
                    <w:t>要求实现贷款计算、法定退休年龄计算、失业金计算、因病或非因工死亡企业职工基本养老保险遗属待遇、养老金计算（过渡性养老金待遇测算、企业职工养老保险待遇测算、个人账户养老金待遇测算、基础养老金待遇测算）、交通事故赔偿、工伤赔偿、人身损害赔偿、利息计算（借期利息、逾期利息等）、诉讼费、仲裁费、保全费、执行申请费、律师费、公证费、利率计算、加班工资计算、婚假、产假、陪产假、年休假、离职经济补偿、刑期折抵、日期计算、个税计算、房贷计算、土地使用税、契税、房产税计算等。</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7</w:t>
                  </w:r>
                  <w:r>
                    <w:rPr>
                      <w:rFonts w:ascii="仿宋_GB2312" w:hAnsi="仿宋_GB2312" w:cs="仿宋_GB2312" w:eastAsia="仿宋_GB2312"/>
                      <w:sz w:val="21"/>
                      <w:b/>
                    </w:rPr>
                    <w:t>）以案释法</w:t>
                  </w:r>
                </w:p>
                <w:p>
                  <w:pPr>
                    <w:pStyle w:val="null3"/>
                    <w:ind w:firstLine="210"/>
                    <w:jc w:val="both"/>
                  </w:pPr>
                  <w:r>
                    <w:rPr>
                      <w:rFonts w:ascii="仿宋_GB2312" w:hAnsi="仿宋_GB2312" w:cs="仿宋_GB2312" w:eastAsia="仿宋_GB2312"/>
                      <w:sz w:val="21"/>
                    </w:rPr>
                    <w:t>支持展示以案释法文章内容。</w:t>
                  </w:r>
                </w:p>
                <w:p>
                  <w:pPr>
                    <w:pStyle w:val="null3"/>
                    <w:ind w:firstLine="210"/>
                    <w:jc w:val="both"/>
                  </w:pPr>
                  <w:r>
                    <w:rPr>
                      <w:rFonts w:ascii="仿宋_GB2312" w:hAnsi="仿宋_GB2312" w:cs="仿宋_GB2312" w:eastAsia="仿宋_GB2312"/>
                      <w:sz w:val="21"/>
                    </w:rPr>
                    <w:t>要求提供动物侵权、房屋买卖、婚姻家庭、劳动纠纷、工伤赔偿、治安管理、扫黑除恶、民间借贷、债权物权、邻里纠纷、电商纠纷、不正当竞争、律师管理、知识产权、宪法类、医疗纠纷、刑事问题、交通事故、民法典、食品安全、产品质量、消费维权、公司经营</w:t>
                  </w:r>
                  <w:r>
                    <w:rPr>
                      <w:rFonts w:ascii="仿宋_GB2312" w:hAnsi="仿宋_GB2312" w:cs="仿宋_GB2312" w:eastAsia="仿宋_GB2312"/>
                      <w:sz w:val="21"/>
                    </w:rPr>
                    <w:t>/企业税务、土地问题、校园侵权、公务员相关、物业服务、雇佣侵权、法律援助、房屋租赁等</w:t>
                  </w:r>
                  <w:r>
                    <w:rPr>
                      <w:rFonts w:ascii="仿宋_GB2312" w:hAnsi="仿宋_GB2312" w:cs="仿宋_GB2312" w:eastAsia="仿宋_GB2312"/>
                      <w:sz w:val="21"/>
                    </w:rPr>
                    <w:t>30类。</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8）民法典</w:t>
                  </w:r>
                </w:p>
                <w:p>
                  <w:pPr>
                    <w:pStyle w:val="null3"/>
                    <w:ind w:firstLine="210"/>
                    <w:jc w:val="both"/>
                  </w:pPr>
                  <w:r>
                    <w:rPr>
                      <w:rFonts w:ascii="仿宋_GB2312" w:hAnsi="仿宋_GB2312" w:cs="仿宋_GB2312" w:eastAsia="仿宋_GB2312"/>
                      <w:sz w:val="21"/>
                    </w:rPr>
                    <w:t>以图文、视频形式呈现民法典知识，汇集理论解读、知识讲解、案例解析、故事普法等内容。</w:t>
                  </w:r>
                </w:p>
                <w:p>
                  <w:pPr>
                    <w:pStyle w:val="null3"/>
                    <w:jc w:val="both"/>
                  </w:pPr>
                  <w:r>
                    <w:rPr>
                      <w:rFonts w:ascii="仿宋_GB2312" w:hAnsi="仿宋_GB2312" w:cs="仿宋_GB2312" w:eastAsia="仿宋_GB2312"/>
                      <w:sz w:val="21"/>
                    </w:rPr>
                    <w:t>提供民法典知识学习问答服务。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9）普法视频</w:t>
                  </w:r>
                </w:p>
                <w:p>
                  <w:pPr>
                    <w:pStyle w:val="null3"/>
                    <w:jc w:val="both"/>
                  </w:pPr>
                  <w:r>
                    <w:rPr>
                      <w:rFonts w:ascii="仿宋_GB2312" w:hAnsi="仿宋_GB2312" w:cs="仿宋_GB2312" w:eastAsia="仿宋_GB2312"/>
                      <w:sz w:val="21"/>
                    </w:rPr>
                    <w:t>提供防诈骗、劳动纠纷、刑事犯罪、治安处罚、婚姻家庭、消费维权等普法短视频。要求根据时事热点制作的普法短视频，持续更新。</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智慧司法</w:t>
                  </w:r>
                  <w:r>
                    <w:rPr>
                      <w:rFonts w:ascii="仿宋_GB2312" w:hAnsi="仿宋_GB2312" w:cs="仿宋_GB2312" w:eastAsia="仿宋_GB2312"/>
                      <w:sz w:val="21"/>
                    </w:rPr>
                    <w:t>-</w:t>
                  </w:r>
                  <w:r>
                    <w:rPr>
                      <w:rFonts w:ascii="仿宋_GB2312" w:hAnsi="仿宋_GB2312" w:cs="仿宋_GB2312" w:eastAsia="仿宋_GB2312"/>
                      <w:sz w:val="21"/>
                      <w:shd w:fill="FBFBFB" w:val="clear"/>
                    </w:rPr>
                    <w:t>公共法律服务</w:t>
                  </w:r>
                  <w:r>
                    <w:rPr>
                      <w:rFonts w:ascii="仿宋_GB2312" w:hAnsi="仿宋_GB2312" w:cs="仿宋_GB2312" w:eastAsia="仿宋_GB2312"/>
                      <w:sz w:val="21"/>
                    </w:rPr>
                    <w:t>数字人</w:t>
                  </w:r>
                </w:p>
                <w:p>
                  <w:pPr>
                    <w:pStyle w:val="null3"/>
                    <w:jc w:val="center"/>
                  </w:pP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硬件参数：</w:t>
                  </w:r>
                </w:p>
                <w:p>
                  <w:pPr>
                    <w:pStyle w:val="null3"/>
                    <w:jc w:val="both"/>
                  </w:pPr>
                  <w:r>
                    <w:rPr>
                      <w:rFonts w:ascii="仿宋_GB2312" w:hAnsi="仿宋_GB2312" w:cs="仿宋_GB2312" w:eastAsia="仿宋_GB2312"/>
                      <w:sz w:val="21"/>
                      <w:b/>
                    </w:rPr>
                    <w:t>1.显示参数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显示屏尺寸：</w:t>
                  </w:r>
                  <w:r>
                    <w:rPr>
                      <w:rFonts w:ascii="仿宋_GB2312" w:hAnsi="仿宋_GB2312" w:cs="仿宋_GB2312" w:eastAsia="仿宋_GB2312"/>
                      <w:sz w:val="21"/>
                    </w:rPr>
                    <w:t>≥65＂英寸（9:16）</w:t>
                  </w:r>
                </w:p>
                <w:p>
                  <w:pPr>
                    <w:pStyle w:val="null3"/>
                    <w:jc w:val="both"/>
                  </w:pPr>
                  <w:r>
                    <w:rPr>
                      <w:rFonts w:ascii="仿宋_GB2312" w:hAnsi="仿宋_GB2312" w:cs="仿宋_GB2312" w:eastAsia="仿宋_GB2312"/>
                      <w:sz w:val="21"/>
                    </w:rPr>
                    <w:t>显示屏类型：</w:t>
                  </w:r>
                  <w:r>
                    <w:rPr>
                      <w:rFonts w:ascii="仿宋_GB2312" w:hAnsi="仿宋_GB2312" w:cs="仿宋_GB2312" w:eastAsia="仿宋_GB2312"/>
                      <w:sz w:val="21"/>
                    </w:rPr>
                    <w:t>LED液晶显示屏</w:t>
                  </w:r>
                </w:p>
                <w:p>
                  <w:pPr>
                    <w:pStyle w:val="null3"/>
                    <w:jc w:val="both"/>
                  </w:pPr>
                  <w:r>
                    <w:rPr>
                      <w:rFonts w:ascii="仿宋_GB2312" w:hAnsi="仿宋_GB2312" w:cs="仿宋_GB2312" w:eastAsia="仿宋_GB2312"/>
                      <w:sz w:val="21"/>
                    </w:rPr>
                    <w:t>物理分辨率：不低于</w:t>
                  </w:r>
                  <w:r>
                    <w:rPr>
                      <w:rFonts w:ascii="仿宋_GB2312" w:hAnsi="仿宋_GB2312" w:cs="仿宋_GB2312" w:eastAsia="仿宋_GB2312"/>
                      <w:sz w:val="21"/>
                    </w:rPr>
                    <w:t>1080×1920</w:t>
                  </w:r>
                </w:p>
                <w:p>
                  <w:pPr>
                    <w:pStyle w:val="null3"/>
                    <w:jc w:val="both"/>
                  </w:pPr>
                  <w:r>
                    <w:rPr>
                      <w:rFonts w:ascii="仿宋_GB2312" w:hAnsi="仿宋_GB2312" w:cs="仿宋_GB2312" w:eastAsia="仿宋_GB2312"/>
                      <w:sz w:val="21"/>
                    </w:rPr>
                    <w:t>显示色彩：</w:t>
                  </w:r>
                  <w:r>
                    <w:rPr>
                      <w:rFonts w:ascii="仿宋_GB2312" w:hAnsi="仿宋_GB2312" w:cs="仿宋_GB2312" w:eastAsia="仿宋_GB2312"/>
                      <w:sz w:val="21"/>
                    </w:rPr>
                    <w:t>10bit, 1.07B</w:t>
                  </w:r>
                </w:p>
                <w:p>
                  <w:pPr>
                    <w:pStyle w:val="null3"/>
                    <w:jc w:val="both"/>
                  </w:pPr>
                  <w:r>
                    <w:rPr>
                      <w:rFonts w:ascii="仿宋_GB2312" w:hAnsi="仿宋_GB2312" w:cs="仿宋_GB2312" w:eastAsia="仿宋_GB2312"/>
                      <w:sz w:val="21"/>
                    </w:rPr>
                    <w:t>刷新率：</w:t>
                  </w:r>
                  <w:r>
                    <w:rPr>
                      <w:rFonts w:ascii="仿宋_GB2312" w:hAnsi="仿宋_GB2312" w:cs="仿宋_GB2312" w:eastAsia="仿宋_GB2312"/>
                      <w:sz w:val="21"/>
                    </w:rPr>
                    <w:t>≥</w:t>
                  </w:r>
                  <w:r>
                    <w:rPr>
                      <w:rFonts w:ascii="仿宋_GB2312" w:hAnsi="仿宋_GB2312" w:cs="仿宋_GB2312" w:eastAsia="仿宋_GB2312"/>
                      <w:sz w:val="21"/>
                    </w:rPr>
                    <w:t>60HZ</w:t>
                  </w:r>
                </w:p>
                <w:p>
                  <w:pPr>
                    <w:pStyle w:val="null3"/>
                    <w:jc w:val="both"/>
                  </w:pPr>
                  <w:r>
                    <w:rPr>
                      <w:rFonts w:ascii="仿宋_GB2312" w:hAnsi="仿宋_GB2312" w:cs="仿宋_GB2312" w:eastAsia="仿宋_GB2312"/>
                      <w:sz w:val="21"/>
                    </w:rPr>
                    <w:t>亮度：</w:t>
                  </w:r>
                  <w:r>
                    <w:rPr>
                      <w:rFonts w:ascii="仿宋_GB2312" w:hAnsi="仿宋_GB2312" w:cs="仿宋_GB2312" w:eastAsia="仿宋_GB2312"/>
                      <w:sz w:val="21"/>
                    </w:rPr>
                    <w:t>≥</w:t>
                  </w:r>
                  <w:r>
                    <w:rPr>
                      <w:rFonts w:ascii="仿宋_GB2312" w:hAnsi="仿宋_GB2312" w:cs="仿宋_GB2312" w:eastAsia="仿宋_GB2312"/>
                      <w:sz w:val="21"/>
                    </w:rPr>
                    <w:t>300cd/m</w:t>
                  </w:r>
                  <w:r>
                    <w:rPr>
                      <w:rFonts w:ascii="仿宋_GB2312" w:hAnsi="仿宋_GB2312" w:cs="仿宋_GB2312" w:eastAsia="仿宋_GB2312"/>
                      <w:sz w:val="21"/>
                      <w:vertAlign w:val="superscript"/>
                    </w:rPr>
                    <w:t>2</w:t>
                  </w:r>
                </w:p>
                <w:p>
                  <w:pPr>
                    <w:pStyle w:val="null3"/>
                    <w:jc w:val="both"/>
                  </w:pPr>
                  <w:r>
                    <w:rPr>
                      <w:rFonts w:ascii="仿宋_GB2312" w:hAnsi="仿宋_GB2312" w:cs="仿宋_GB2312" w:eastAsia="仿宋_GB2312"/>
                      <w:sz w:val="21"/>
                      <w:b/>
                    </w:rPr>
                    <w:t>2.主板配置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CPU:不低于八核</w:t>
                  </w:r>
                </w:p>
                <w:p>
                  <w:pPr>
                    <w:pStyle w:val="null3"/>
                    <w:jc w:val="both"/>
                  </w:pPr>
                  <w:r>
                    <w:rPr>
                      <w:rFonts w:ascii="仿宋_GB2312" w:hAnsi="仿宋_GB2312" w:cs="仿宋_GB2312" w:eastAsia="仿宋_GB2312"/>
                      <w:sz w:val="21"/>
                    </w:rPr>
                    <w:t>系统：不低于</w:t>
                  </w:r>
                  <w:r>
                    <w:rPr>
                      <w:rFonts w:ascii="仿宋_GB2312" w:hAnsi="仿宋_GB2312" w:cs="仿宋_GB2312" w:eastAsia="仿宋_GB2312"/>
                      <w:sz w:val="21"/>
                    </w:rPr>
                    <w:t>Android 12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≥8G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储存：</w:t>
                  </w:r>
                  <w:r>
                    <w:rPr>
                      <w:rFonts w:ascii="仿宋_GB2312" w:hAnsi="仿宋_GB2312" w:cs="仿宋_GB2312" w:eastAsia="仿宋_GB2312"/>
                      <w:sz w:val="21"/>
                    </w:rPr>
                    <w:t>≥128 GB</w:t>
                  </w:r>
                </w:p>
                <w:p>
                  <w:pPr>
                    <w:pStyle w:val="null3"/>
                    <w:jc w:val="both"/>
                  </w:pPr>
                  <w:r>
                    <w:rPr>
                      <w:rFonts w:ascii="仿宋_GB2312" w:hAnsi="仿宋_GB2312" w:cs="仿宋_GB2312" w:eastAsia="仿宋_GB2312"/>
                      <w:sz w:val="21"/>
                    </w:rPr>
                    <w:t>USB2.0端口：</w:t>
                  </w:r>
                  <w:r>
                    <w:rPr>
                      <w:rFonts w:ascii="仿宋_GB2312" w:hAnsi="仿宋_GB2312" w:cs="仿宋_GB2312" w:eastAsia="仿宋_GB2312"/>
                      <w:sz w:val="21"/>
                    </w:rPr>
                    <w:t>≥</w:t>
                  </w:r>
                  <w:r>
                    <w:rPr>
                      <w:rFonts w:ascii="仿宋_GB2312" w:hAnsi="仿宋_GB2312" w:cs="仿宋_GB2312" w:eastAsia="仿宋_GB2312"/>
                      <w:sz w:val="21"/>
                    </w:rPr>
                    <w:t>2组</w:t>
                  </w:r>
                </w:p>
                <w:p>
                  <w:pPr>
                    <w:pStyle w:val="null3"/>
                    <w:jc w:val="both"/>
                  </w:pPr>
                  <w:r>
                    <w:rPr>
                      <w:rFonts w:ascii="仿宋_GB2312" w:hAnsi="仿宋_GB2312" w:cs="仿宋_GB2312" w:eastAsia="仿宋_GB2312"/>
                      <w:sz w:val="21"/>
                    </w:rPr>
                    <w:t>喇叭：</w:t>
                  </w:r>
                  <w:r>
                    <w:rPr>
                      <w:rFonts w:ascii="仿宋_GB2312" w:hAnsi="仿宋_GB2312" w:cs="仿宋_GB2312" w:eastAsia="仿宋_GB2312"/>
                      <w:sz w:val="21"/>
                    </w:rPr>
                    <w:t>5</w:t>
                  </w:r>
                  <w:r>
                    <w:rPr>
                      <w:rFonts w:ascii="仿宋_GB2312" w:hAnsi="仿宋_GB2312" w:cs="仿宋_GB2312" w:eastAsia="仿宋_GB2312"/>
                      <w:sz w:val="21"/>
                    </w:rPr>
                    <w:t>W /8欧</w:t>
                  </w:r>
                  <w:r>
                    <w:rPr>
                      <w:rFonts w:ascii="仿宋_GB2312" w:hAnsi="仿宋_GB2312" w:cs="仿宋_GB2312" w:eastAsia="仿宋_GB2312"/>
                      <w:sz w:val="21"/>
                    </w:rPr>
                    <w:t xml:space="preserve"> </w:t>
                  </w:r>
                  <w:r>
                    <w:rPr>
                      <w:rFonts w:ascii="仿宋_GB2312" w:hAnsi="仿宋_GB2312" w:cs="仿宋_GB2312" w:eastAsia="仿宋_GB2312"/>
                      <w:sz w:val="21"/>
                    </w:rPr>
                    <w:t>× 2扬声器</w:t>
                  </w:r>
                </w:p>
                <w:p>
                  <w:pPr>
                    <w:pStyle w:val="null3"/>
                    <w:jc w:val="both"/>
                  </w:pPr>
                  <w:r>
                    <w:rPr>
                      <w:rFonts w:ascii="仿宋_GB2312" w:hAnsi="仿宋_GB2312" w:cs="仿宋_GB2312" w:eastAsia="仿宋_GB2312"/>
                      <w:sz w:val="21"/>
                    </w:rPr>
                    <w:t>Wifi：2.4G * 1</w:t>
                  </w:r>
                </w:p>
                <w:p>
                  <w:pPr>
                    <w:pStyle w:val="null3"/>
                    <w:jc w:val="both"/>
                  </w:pPr>
                  <w:r>
                    <w:rPr>
                      <w:rFonts w:ascii="仿宋_GB2312" w:hAnsi="仿宋_GB2312" w:cs="仿宋_GB2312" w:eastAsia="仿宋_GB2312"/>
                      <w:sz w:val="21"/>
                      <w:b/>
                    </w:rPr>
                    <w:t xml:space="preserve">3.整机功耗  </w:t>
                  </w:r>
                  <w:r>
                    <w:rPr>
                      <w:rFonts w:ascii="仿宋_GB2312" w:hAnsi="仿宋_GB2312" w:cs="仿宋_GB2312" w:eastAsia="仿宋_GB2312"/>
                      <w:sz w:val="21"/>
                    </w:rPr>
                    <w:t>≤100W</w:t>
                  </w:r>
                </w:p>
                <w:p>
                  <w:pPr>
                    <w:pStyle w:val="null3"/>
                    <w:jc w:val="both"/>
                  </w:pPr>
                  <w:r>
                    <w:rPr>
                      <w:rFonts w:ascii="仿宋_GB2312" w:hAnsi="仿宋_GB2312" w:cs="仿宋_GB2312" w:eastAsia="仿宋_GB2312"/>
                      <w:sz w:val="21"/>
                      <w:b/>
                    </w:rPr>
                    <w:t>4.内置摄像头/MIC参数</w:t>
                  </w:r>
                </w:p>
                <w:p>
                  <w:pPr>
                    <w:pStyle w:val="null3"/>
                    <w:jc w:val="both"/>
                  </w:pPr>
                  <w:r>
                    <w:rPr>
                      <w:rFonts w:ascii="仿宋_GB2312" w:hAnsi="仿宋_GB2312" w:cs="仿宋_GB2312" w:eastAsia="仿宋_GB2312"/>
                      <w:sz w:val="21"/>
                    </w:rPr>
                    <w:t>不低于</w:t>
                  </w:r>
                  <w:r>
                    <w:rPr>
                      <w:rFonts w:ascii="仿宋_GB2312" w:hAnsi="仿宋_GB2312" w:cs="仿宋_GB2312" w:eastAsia="仿宋_GB2312"/>
                      <w:sz w:val="21"/>
                    </w:rPr>
                    <w:t xml:space="preserve"> </w:t>
                  </w:r>
                  <w:r>
                    <w:rPr>
                      <w:rFonts w:ascii="仿宋_GB2312" w:hAnsi="仿宋_GB2312" w:cs="仿宋_GB2312" w:eastAsia="仿宋_GB2312"/>
                      <w:sz w:val="21"/>
                    </w:rPr>
                    <w:t>4K 4800万高清相素</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回音消除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8个阵列麦克风</w:t>
                  </w:r>
                </w:p>
                <w:p>
                  <w:pPr>
                    <w:pStyle w:val="null3"/>
                    <w:jc w:val="both"/>
                  </w:pPr>
                  <w:r>
                    <w:rPr>
                      <w:rFonts w:ascii="仿宋_GB2312" w:hAnsi="仿宋_GB2312" w:cs="仿宋_GB2312" w:eastAsia="仿宋_GB2312"/>
                      <w:sz w:val="21"/>
                    </w:rPr>
                    <w:t>90</w:t>
                  </w:r>
                  <w:r>
                    <w:rPr>
                      <w:rFonts w:ascii="仿宋_GB2312" w:hAnsi="仿宋_GB2312" w:cs="仿宋_GB2312" w:eastAsia="仿宋_GB2312"/>
                      <w:sz w:val="21"/>
                    </w:rPr>
                    <w:t>度广角摄像头</w:t>
                  </w:r>
                </w:p>
                <w:p>
                  <w:pPr>
                    <w:pStyle w:val="null3"/>
                    <w:jc w:val="both"/>
                  </w:pPr>
                  <w:r>
                    <w:rPr>
                      <w:rFonts w:ascii="仿宋_GB2312" w:hAnsi="仿宋_GB2312" w:cs="仿宋_GB2312" w:eastAsia="仿宋_GB2312"/>
                      <w:sz w:val="21"/>
                    </w:rPr>
                    <w:t>8米距离拾音效果</w:t>
                  </w:r>
                </w:p>
                <w:p>
                  <w:pPr>
                    <w:pStyle w:val="null3"/>
                    <w:spacing w:after="120"/>
                    <w:jc w:val="both"/>
                  </w:pPr>
                  <w:r>
                    <w:rPr>
                      <w:rFonts w:ascii="仿宋_GB2312" w:hAnsi="仿宋_GB2312" w:cs="仿宋_GB2312" w:eastAsia="仿宋_GB2312"/>
                      <w:sz w:val="28"/>
                      <w:b/>
                    </w:rPr>
                    <w:t>软件参数：</w:t>
                  </w:r>
                </w:p>
                <w:p>
                  <w:pPr>
                    <w:pStyle w:val="null3"/>
                    <w:jc w:val="both"/>
                  </w:pPr>
                  <w:r>
                    <w:rPr>
                      <w:rFonts w:ascii="仿宋_GB2312" w:hAnsi="仿宋_GB2312" w:cs="仿宋_GB2312" w:eastAsia="仿宋_GB2312"/>
                      <w:sz w:val="21"/>
                      <w:b/>
                    </w:rPr>
                    <w:t>1.虚拟AI数字人</w:t>
                  </w:r>
                </w:p>
                <w:p>
                  <w:pPr>
                    <w:pStyle w:val="null3"/>
                    <w:spacing w:after="120"/>
                    <w:ind w:firstLine="210"/>
                    <w:jc w:val="both"/>
                  </w:pPr>
                  <w:r>
                    <w:rPr>
                      <w:rFonts w:ascii="仿宋_GB2312" w:hAnsi="仿宋_GB2312" w:cs="仿宋_GB2312" w:eastAsia="仿宋_GB2312"/>
                      <w:sz w:val="21"/>
                    </w:rPr>
                    <w:t>搭载超拟真数字人形象，支持对话式的语音交互，实时渲染的动作，支持根据语音播报内容动态生成同步的表情、嘴型与动作。</w:t>
                  </w:r>
                </w:p>
                <w:p>
                  <w:pPr>
                    <w:pStyle w:val="null3"/>
                    <w:ind w:firstLine="210"/>
                    <w:jc w:val="both"/>
                  </w:pPr>
                  <w:r>
                    <w:rPr>
                      <w:rFonts w:ascii="仿宋_GB2312" w:hAnsi="仿宋_GB2312" w:cs="仿宋_GB2312" w:eastAsia="仿宋_GB2312"/>
                      <w:sz w:val="21"/>
                    </w:rPr>
                    <w:t>AI数字人的回复能力基于AI大模型，AI数字人需能够对各类法律问题提供全面、准确的应答。AI数字人不仅具备深度学习和自然语言处理的核心技术，还融合了法律领域的专业知识，为用户带来前所未有的智能法律服务体验。</w:t>
                  </w:r>
                </w:p>
                <w:p>
                  <w:pPr>
                    <w:pStyle w:val="null3"/>
                    <w:jc w:val="both"/>
                  </w:pPr>
                  <w:r>
                    <w:rPr>
                      <w:rFonts w:ascii="仿宋_GB2312" w:hAnsi="仿宋_GB2312" w:cs="仿宋_GB2312" w:eastAsia="仿宋_GB2312"/>
                      <w:sz w:val="21"/>
                    </w:rPr>
                    <w:t>①全面覆盖法律问题</w:t>
                  </w:r>
                </w:p>
                <w:p>
                  <w:pPr>
                    <w:pStyle w:val="null3"/>
                    <w:ind w:firstLine="210"/>
                    <w:jc w:val="both"/>
                  </w:pPr>
                  <w:r>
                    <w:rPr>
                      <w:rFonts w:ascii="仿宋_GB2312" w:hAnsi="仿宋_GB2312" w:cs="仿宋_GB2312" w:eastAsia="仿宋_GB2312"/>
                      <w:sz w:val="21"/>
                    </w:rPr>
                    <w:t>AI数字人基于大模型的海量数据处理能力，能够全面覆盖各类法律问题。无论是民事纠纷、刑事辩护，还是商业法务、知识产权等，AI数字人都能凭借其丰富的法律知识和经验，为用户提供专业的解答和建议。</w:t>
                  </w:r>
                </w:p>
                <w:p>
                  <w:pPr>
                    <w:pStyle w:val="null3"/>
                    <w:jc w:val="both"/>
                  </w:pPr>
                  <w:r>
                    <w:rPr>
                      <w:rFonts w:ascii="仿宋_GB2312" w:hAnsi="仿宋_GB2312" w:cs="仿宋_GB2312" w:eastAsia="仿宋_GB2312"/>
                      <w:sz w:val="21"/>
                    </w:rPr>
                    <w:t>②准确应答与智能推理</w:t>
                  </w:r>
                </w:p>
                <w:p>
                  <w:pPr>
                    <w:pStyle w:val="null3"/>
                    <w:ind w:firstLine="210"/>
                    <w:jc w:val="both"/>
                  </w:pPr>
                  <w:r>
                    <w:rPr>
                      <w:rFonts w:ascii="仿宋_GB2312" w:hAnsi="仿宋_GB2312" w:cs="仿宋_GB2312" w:eastAsia="仿宋_GB2312"/>
                      <w:sz w:val="21"/>
                    </w:rPr>
                    <w:t>AI数字人的应答不仅准确，而且具备智能推理的能力。它能够根据用户的具体情况和需求，结合法律条文、案例和司法实践，进行逻辑推理和判断。无论是简单的法律咨询还是复杂的案件分析，AI数字人都能给出符合法律规范的答案，帮助用户更好地理解和应对法律问题。</w:t>
                  </w:r>
                </w:p>
                <w:p>
                  <w:pPr>
                    <w:pStyle w:val="null3"/>
                    <w:jc w:val="both"/>
                  </w:pPr>
                  <w:r>
                    <w:rPr>
                      <w:rFonts w:ascii="仿宋_GB2312" w:hAnsi="仿宋_GB2312" w:cs="仿宋_GB2312" w:eastAsia="仿宋_GB2312"/>
                      <w:sz w:val="21"/>
                    </w:rPr>
                    <w:t>③法律专业性与个性化服务</w:t>
                  </w:r>
                </w:p>
                <w:p>
                  <w:pPr>
                    <w:pStyle w:val="null3"/>
                    <w:ind w:firstLine="210"/>
                    <w:jc w:val="both"/>
                  </w:pPr>
                  <w:r>
                    <w:rPr>
                      <w:rFonts w:ascii="仿宋_GB2312" w:hAnsi="仿宋_GB2312" w:cs="仿宋_GB2312" w:eastAsia="仿宋_GB2312"/>
                      <w:sz w:val="21"/>
                    </w:rPr>
                    <w:t>AI数字人不仅具备法律专业性，还能根据用户的个性化需求提供定制化的法律服务。无论是需要起草法律文书、制定法律策略，还是需要进行案件预测和风险评估，AI数字人都能根据用户的具体情况，提供精准、高效的解决方案。</w:t>
                  </w:r>
                </w:p>
                <w:p>
                  <w:pPr>
                    <w:pStyle w:val="null3"/>
                    <w:jc w:val="both"/>
                  </w:pPr>
                  <w:r>
                    <w:rPr>
                      <w:rFonts w:ascii="仿宋_GB2312" w:hAnsi="仿宋_GB2312" w:cs="仿宋_GB2312" w:eastAsia="仿宋_GB2312"/>
                      <w:sz w:val="21"/>
                    </w:rPr>
                    <w:t>④持续学习与优化</w:t>
                  </w:r>
                </w:p>
                <w:p>
                  <w:pPr>
                    <w:pStyle w:val="null3"/>
                    <w:jc w:val="both"/>
                  </w:pPr>
                  <w:r>
                    <w:rPr>
                      <w:rFonts w:ascii="仿宋_GB2312" w:hAnsi="仿宋_GB2312" w:cs="仿宋_GB2312" w:eastAsia="仿宋_GB2312"/>
                      <w:sz w:val="21"/>
                    </w:rPr>
                    <w:t>基于大模型的持续学习能力，</w:t>
                  </w:r>
                  <w:r>
                    <w:rPr>
                      <w:rFonts w:ascii="仿宋_GB2312" w:hAnsi="仿宋_GB2312" w:cs="仿宋_GB2312" w:eastAsia="仿宋_GB2312"/>
                      <w:sz w:val="21"/>
                    </w:rPr>
                    <w:t>AI数字人能够不断吸收新的法律知识和案例，优化自身的应答准确性和专业性。这使得AI数字人能够跟上法律领域的最新动态，为用户提供最新、最全面的法律服务。</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智能法律咨询</w:t>
                  </w:r>
                </w:p>
                <w:p>
                  <w:pPr>
                    <w:pStyle w:val="null3"/>
                    <w:ind w:firstLine="210"/>
                    <w:jc w:val="both"/>
                  </w:pPr>
                  <w:r>
                    <w:rPr>
                      <w:rFonts w:ascii="仿宋_GB2312" w:hAnsi="仿宋_GB2312" w:cs="仿宋_GB2312" w:eastAsia="仿宋_GB2312"/>
                      <w:sz w:val="21"/>
                    </w:rPr>
                    <w:t>支持以问卷的形式的提供智能法律咨询服务，用户只需根据提示填写问卷，完成问卷后可获得一份千字级的法律咨询意见书。</w:t>
                  </w:r>
                </w:p>
                <w:p>
                  <w:pPr>
                    <w:pStyle w:val="null3"/>
                    <w:jc w:val="both"/>
                  </w:pPr>
                  <w:r>
                    <w:rPr>
                      <w:rFonts w:ascii="仿宋_GB2312" w:hAnsi="仿宋_GB2312" w:cs="仿宋_GB2312" w:eastAsia="仿宋_GB2312"/>
                      <w:sz w:val="21"/>
                      <w:b/>
                    </w:rPr>
                    <w:t>3.智能法律文书</w:t>
                  </w:r>
                </w:p>
                <w:p>
                  <w:pPr>
                    <w:pStyle w:val="null3"/>
                    <w:ind w:firstLine="210"/>
                    <w:jc w:val="both"/>
                  </w:pPr>
                  <w:r>
                    <w:rPr>
                      <w:rFonts w:ascii="仿宋_GB2312" w:hAnsi="仿宋_GB2312" w:cs="仿宋_GB2312" w:eastAsia="仿宋_GB2312"/>
                      <w:sz w:val="21"/>
                    </w:rPr>
                    <w:t>支持法律文书在线生成，通过问卷引导的方式，用户在填写信息，填写完成后可获得一份法律文书，支持手机扫码带走或发送到指定邮箱。</w:t>
                  </w:r>
                  <w:r>
                    <w:rPr>
                      <w:rFonts w:ascii="仿宋_GB2312" w:hAnsi="仿宋_GB2312" w:cs="仿宋_GB2312" w:eastAsia="仿宋_GB2312"/>
                      <w:sz w:val="21"/>
                      <w:b/>
                    </w:rPr>
                    <w:t>4.法律计算器</w:t>
                  </w:r>
                </w:p>
                <w:p>
                  <w:pPr>
                    <w:pStyle w:val="null3"/>
                    <w:ind w:firstLine="210"/>
                    <w:jc w:val="both"/>
                  </w:pPr>
                  <w:r>
                    <w:rPr>
                      <w:rFonts w:ascii="仿宋_GB2312" w:hAnsi="仿宋_GB2312" w:cs="仿宋_GB2312" w:eastAsia="仿宋_GB2312"/>
                      <w:sz w:val="21"/>
                    </w:rPr>
                    <w:t>要求实现贷款计算、法定退休年龄计算、失业金计算、因病或非因工死亡企业职工基本养老保险遗属待遇、养老金计算（过渡性养老金待遇测算、企业职工养老保险待遇测算、个人账户养老金待遇测算、基础养老金待遇测算）、交通事故赔偿、工伤赔偿、人身损害赔偿、利息计算（借期利息、逾期利息等）、诉讼费、仲裁费、保全费、执行申请费、律师费、公证费、利率计算、加班工资计算、婚假、产假、陪产假、年休假、离职经济补偿、刑期折抵、日期计算、个税计算、房贷计算、土地使用税、契税、房产税计算等。</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法律法规</w:t>
                  </w:r>
                </w:p>
                <w:p>
                  <w:pPr>
                    <w:pStyle w:val="null3"/>
                    <w:ind w:firstLine="210"/>
                    <w:jc w:val="both"/>
                  </w:pPr>
                  <w:r>
                    <w:rPr>
                      <w:rFonts w:ascii="仿宋_GB2312" w:hAnsi="仿宋_GB2312" w:cs="仿宋_GB2312" w:eastAsia="仿宋_GB2312"/>
                      <w:sz w:val="21"/>
                    </w:rPr>
                    <w:t>提供法律法规查询服务，支持对法律法规的快速、目录、高级检索、法规文内二次检索查询服务。</w:t>
                  </w:r>
                </w:p>
                <w:p>
                  <w:pPr>
                    <w:pStyle w:val="null3"/>
                    <w:jc w:val="both"/>
                  </w:pPr>
                  <w:r>
                    <w:rPr>
                      <w:rFonts w:ascii="仿宋_GB2312" w:hAnsi="仿宋_GB2312" w:cs="仿宋_GB2312" w:eastAsia="仿宋_GB2312"/>
                      <w:sz w:val="21"/>
                      <w:b/>
                    </w:rPr>
                    <w:t>6.人工</w:t>
                  </w:r>
                  <w:r>
                    <w:rPr>
                      <w:rFonts w:ascii="仿宋_GB2312" w:hAnsi="仿宋_GB2312" w:cs="仿宋_GB2312" w:eastAsia="仿宋_GB2312"/>
                      <w:sz w:val="21"/>
                      <w:b/>
                    </w:rPr>
                    <w:t>咨询</w:t>
                  </w:r>
                </w:p>
                <w:p>
                  <w:pPr>
                    <w:pStyle w:val="null3"/>
                    <w:spacing w:after="120"/>
                    <w:ind w:firstLine="420"/>
                    <w:jc w:val="both"/>
                  </w:pPr>
                  <w:r>
                    <w:rPr>
                      <w:rFonts w:ascii="仿宋_GB2312" w:hAnsi="仿宋_GB2312" w:cs="仿宋_GB2312" w:eastAsia="仿宋_GB2312"/>
                      <w:sz w:val="21"/>
                    </w:rPr>
                    <w:t>支持以视频</w:t>
                  </w:r>
                  <w:r>
                    <w:rPr>
                      <w:rFonts w:ascii="仿宋_GB2312" w:hAnsi="仿宋_GB2312" w:cs="仿宋_GB2312" w:eastAsia="仿宋_GB2312"/>
                      <w:sz w:val="21"/>
                    </w:rPr>
                    <w:t>/语音</w:t>
                  </w:r>
                  <w:r>
                    <w:rPr>
                      <w:rFonts w:ascii="仿宋_GB2312" w:hAnsi="仿宋_GB2312" w:cs="仿宋_GB2312" w:eastAsia="仿宋_GB2312"/>
                      <w:sz w:val="21"/>
                    </w:rPr>
                    <w:t>的方式提供法律咨询服务，可以通过视频或音频与</w:t>
                  </w:r>
                  <w:r>
                    <w:rPr>
                      <w:rFonts w:ascii="仿宋_GB2312" w:hAnsi="仿宋_GB2312" w:cs="仿宋_GB2312" w:eastAsia="仿宋_GB2312"/>
                      <w:sz w:val="21"/>
                    </w:rPr>
                    <w:t>后端法律服务</w:t>
                  </w:r>
                  <w:r>
                    <w:rPr>
                      <w:rFonts w:ascii="仿宋_GB2312" w:hAnsi="仿宋_GB2312" w:cs="仿宋_GB2312" w:eastAsia="仿宋_GB2312"/>
                      <w:sz w:val="21"/>
                    </w:rPr>
                    <w:t>人员连线，进行法律咨询。</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智慧司法</w:t>
                  </w:r>
                  <w:r>
                    <w:rPr>
                      <w:rFonts w:ascii="仿宋_GB2312" w:hAnsi="仿宋_GB2312" w:cs="仿宋_GB2312" w:eastAsia="仿宋_GB2312"/>
                      <w:sz w:val="21"/>
                    </w:rPr>
                    <w:t>-公共法律服务大数据分析平台（定制）</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1"/>
                    </w:rPr>
                    <w:t>终端机数据展示</w:t>
                  </w:r>
                </w:p>
                <w:p>
                  <w:pPr>
                    <w:pStyle w:val="null3"/>
                    <w:numPr>
                      <w:ilvl w:val="0"/>
                      <w:numId w:val="1"/>
                    </w:numPr>
                    <w:jc w:val="both"/>
                  </w:pPr>
                  <w:r>
                    <w:rPr>
                      <w:rFonts w:ascii="仿宋_GB2312" w:hAnsi="仿宋_GB2312" w:cs="仿宋_GB2312" w:eastAsia="仿宋_GB2312"/>
                      <w:sz w:val="21"/>
                    </w:rPr>
                    <w:t>支持在地图上展示各终端机的点位，并显示终端机离线、在线、正在使用的状态。</w:t>
                  </w:r>
                </w:p>
                <w:p>
                  <w:pPr>
                    <w:pStyle w:val="null3"/>
                    <w:numPr>
                      <w:ilvl w:val="0"/>
                      <w:numId w:val="1"/>
                    </w:numPr>
                    <w:jc w:val="both"/>
                  </w:pPr>
                  <w:r>
                    <w:rPr>
                      <w:rFonts w:ascii="仿宋_GB2312" w:hAnsi="仿宋_GB2312" w:cs="仿宋_GB2312" w:eastAsia="仿宋_GB2312"/>
                      <w:sz w:val="21"/>
                    </w:rPr>
                    <w:t>展示终端机总台数、各个类型机器台数、各台终端机正在使用的功能、在线与离线的机器台数。</w:t>
                  </w:r>
                </w:p>
                <w:p>
                  <w:pPr>
                    <w:pStyle w:val="null3"/>
                    <w:numPr>
                      <w:ilvl w:val="0"/>
                      <w:numId w:val="1"/>
                    </w:numPr>
                    <w:jc w:val="both"/>
                  </w:pPr>
                  <w:r>
                    <w:rPr>
                      <w:rFonts w:ascii="仿宋_GB2312" w:hAnsi="仿宋_GB2312" w:cs="仿宋_GB2312" w:eastAsia="仿宋_GB2312"/>
                      <w:sz w:val="21"/>
                    </w:rPr>
                    <w:t>展示终端机的总点击量、各地区的总点击量、终端机本月点击量、设备类型使用占比、各功能板块使用占比、近</w:t>
                  </w:r>
                  <w:r>
                    <w:rPr>
                      <w:rFonts w:ascii="仿宋_GB2312" w:hAnsi="仿宋_GB2312" w:cs="仿宋_GB2312" w:eastAsia="仿宋_GB2312"/>
                      <w:sz w:val="21"/>
                    </w:rPr>
                    <w:t>12个月的使用趋势。</w:t>
                  </w:r>
                </w:p>
                <w:p>
                  <w:pPr>
                    <w:pStyle w:val="null3"/>
                    <w:numPr>
                      <w:ilvl w:val="0"/>
                      <w:numId w:val="1"/>
                    </w:numPr>
                    <w:jc w:val="both"/>
                  </w:pPr>
                  <w:r>
                    <w:rPr>
                      <w:rFonts w:ascii="仿宋_GB2312" w:hAnsi="仿宋_GB2312" w:cs="仿宋_GB2312" w:eastAsia="仿宋_GB2312"/>
                      <w:sz w:val="21"/>
                    </w:rPr>
                    <w:t>终端机点击量详细数据：可按时间段查询每种终端机的详细点击量数据。</w:t>
                  </w:r>
                </w:p>
                <w:p>
                  <w:pPr>
                    <w:pStyle w:val="null3"/>
                    <w:numPr>
                      <w:ilvl w:val="0"/>
                      <w:numId w:val="1"/>
                    </w:numPr>
                    <w:jc w:val="both"/>
                  </w:pPr>
                  <w:r>
                    <w:rPr>
                      <w:rFonts w:ascii="仿宋_GB2312" w:hAnsi="仿宋_GB2312" w:cs="仿宋_GB2312" w:eastAsia="仿宋_GB2312"/>
                      <w:sz w:val="21"/>
                    </w:rPr>
                    <w:t>终端机历史在线情况查询：可按时间段查询所有机器的在线时长与在线天数。</w:t>
                  </w:r>
                </w:p>
                <w:p>
                  <w:pPr>
                    <w:pStyle w:val="null3"/>
                    <w:numPr>
                      <w:ilvl w:val="0"/>
                      <w:numId w:val="2"/>
                    </w:numPr>
                    <w:jc w:val="both"/>
                  </w:pPr>
                  <w:r>
                    <w:rPr>
                      <w:rFonts w:ascii="仿宋_GB2312" w:hAnsi="仿宋_GB2312" w:cs="仿宋_GB2312" w:eastAsia="仿宋_GB2312"/>
                      <w:sz w:val="21"/>
                    </w:rPr>
                    <w:t>智能法律咨询功能数据展示</w:t>
                  </w:r>
                </w:p>
                <w:p>
                  <w:pPr>
                    <w:pStyle w:val="null3"/>
                    <w:numPr>
                      <w:ilvl w:val="0"/>
                      <w:numId w:val="1"/>
                    </w:numPr>
                    <w:jc w:val="both"/>
                  </w:pPr>
                  <w:r>
                    <w:rPr>
                      <w:rFonts w:ascii="仿宋_GB2312" w:hAnsi="仿宋_GB2312" w:cs="仿宋_GB2312" w:eastAsia="仿宋_GB2312"/>
                      <w:sz w:val="21"/>
                    </w:rPr>
                    <w:t>展示总访问量、总咨询量、总意见书量；</w:t>
                  </w:r>
                </w:p>
                <w:p>
                  <w:pPr>
                    <w:pStyle w:val="null3"/>
                    <w:numPr>
                      <w:ilvl w:val="0"/>
                      <w:numId w:val="1"/>
                    </w:numPr>
                    <w:jc w:val="both"/>
                  </w:pPr>
                  <w:r>
                    <w:rPr>
                      <w:rFonts w:ascii="仿宋_GB2312" w:hAnsi="仿宋_GB2312" w:cs="仿宋_GB2312" w:eastAsia="仿宋_GB2312"/>
                      <w:sz w:val="21"/>
                    </w:rPr>
                    <w:t>展示各类目的咨询量占比。</w:t>
                  </w:r>
                </w:p>
                <w:p>
                  <w:pPr>
                    <w:pStyle w:val="null3"/>
                    <w:numPr>
                      <w:ilvl w:val="0"/>
                      <w:numId w:val="1"/>
                    </w:numPr>
                    <w:jc w:val="both"/>
                  </w:pPr>
                  <w:r>
                    <w:rPr>
                      <w:rFonts w:ascii="仿宋_GB2312" w:hAnsi="仿宋_GB2312" w:cs="仿宋_GB2312" w:eastAsia="仿宋_GB2312"/>
                      <w:sz w:val="21"/>
                    </w:rPr>
                    <w:t>展示智能咨询详细数据：可按时间段查询访问量、咨询量、文书量，并可查看每种子分类的咨询数量。</w:t>
                  </w:r>
                </w:p>
                <w:p>
                  <w:pPr>
                    <w:pStyle w:val="null3"/>
                    <w:numPr>
                      <w:ilvl w:val="0"/>
                      <w:numId w:val="2"/>
                    </w:numPr>
                    <w:jc w:val="both"/>
                  </w:pPr>
                  <w:r>
                    <w:rPr>
                      <w:rFonts w:ascii="仿宋_GB2312" w:hAnsi="仿宋_GB2312" w:cs="仿宋_GB2312" w:eastAsia="仿宋_GB2312"/>
                      <w:sz w:val="21"/>
                    </w:rPr>
                    <w:t>远程视频咨询功能数据展示</w:t>
                  </w:r>
                </w:p>
                <w:p>
                  <w:pPr>
                    <w:pStyle w:val="null3"/>
                    <w:numPr>
                      <w:ilvl w:val="0"/>
                      <w:numId w:val="1"/>
                    </w:numPr>
                    <w:jc w:val="both"/>
                  </w:pPr>
                  <w:r>
                    <w:rPr>
                      <w:rFonts w:ascii="仿宋_GB2312" w:hAnsi="仿宋_GB2312" w:cs="仿宋_GB2312" w:eastAsia="仿宋_GB2312"/>
                      <w:sz w:val="21"/>
                    </w:rPr>
                    <w:t>展示总接通来电数量、咨询类别占比；</w:t>
                  </w:r>
                </w:p>
                <w:p>
                  <w:pPr>
                    <w:pStyle w:val="null3"/>
                    <w:numPr>
                      <w:ilvl w:val="0"/>
                      <w:numId w:val="1"/>
                    </w:numPr>
                    <w:jc w:val="both"/>
                  </w:pPr>
                  <w:r>
                    <w:rPr>
                      <w:rFonts w:ascii="仿宋_GB2312" w:hAnsi="仿宋_GB2312" w:cs="仿宋_GB2312" w:eastAsia="仿宋_GB2312"/>
                      <w:sz w:val="21"/>
                    </w:rPr>
                    <w:t>展示最近</w:t>
                  </w:r>
                  <w:r>
                    <w:rPr>
                      <w:rFonts w:ascii="仿宋_GB2312" w:hAnsi="仿宋_GB2312" w:cs="仿宋_GB2312" w:eastAsia="仿宋_GB2312"/>
                      <w:sz w:val="21"/>
                    </w:rPr>
                    <w:t>10条咨询记录的详细信息；</w:t>
                  </w:r>
                </w:p>
                <w:p>
                  <w:pPr>
                    <w:pStyle w:val="null3"/>
                    <w:numPr>
                      <w:ilvl w:val="0"/>
                      <w:numId w:val="1"/>
                    </w:numPr>
                    <w:jc w:val="both"/>
                  </w:pPr>
                  <w:r>
                    <w:rPr>
                      <w:rFonts w:ascii="仿宋_GB2312" w:hAnsi="仿宋_GB2312" w:cs="仿宋_GB2312" w:eastAsia="仿宋_GB2312"/>
                      <w:sz w:val="21"/>
                    </w:rPr>
                    <w:t>展示视频咨询功能近</w:t>
                  </w:r>
                  <w:r>
                    <w:rPr>
                      <w:rFonts w:ascii="仿宋_GB2312" w:hAnsi="仿宋_GB2312" w:cs="仿宋_GB2312" w:eastAsia="仿宋_GB2312"/>
                      <w:sz w:val="21"/>
                    </w:rPr>
                    <w:t>12个月的使用趋势</w:t>
                  </w:r>
                  <w:r>
                    <w:rPr>
                      <w:rFonts w:ascii="仿宋_GB2312" w:hAnsi="仿宋_GB2312" w:cs="仿宋_GB2312" w:eastAsia="仿宋_GB2312"/>
                      <w:sz w:val="21"/>
                    </w:rPr>
                    <w:t>。</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智慧司法</w:t>
                  </w:r>
                  <w:r>
                    <w:rPr>
                      <w:rFonts w:ascii="仿宋_GB2312" w:hAnsi="仿宋_GB2312" w:cs="仿宋_GB2312" w:eastAsia="仿宋_GB2312"/>
                      <w:sz w:val="21"/>
                    </w:rPr>
                    <w:t>-移动司法公共法律服务掌上微平台</w:t>
                  </w:r>
                  <w:r>
                    <w:rPr>
                      <w:rFonts w:ascii="仿宋_GB2312" w:hAnsi="仿宋_GB2312" w:cs="仿宋_GB2312" w:eastAsia="仿宋_GB2312"/>
                      <w:sz w:val="21"/>
                    </w:rPr>
                    <w:t>（</w:t>
                  </w:r>
                  <w:r>
                    <w:rPr>
                      <w:rFonts w:ascii="仿宋_GB2312" w:hAnsi="仿宋_GB2312" w:cs="仿宋_GB2312" w:eastAsia="仿宋_GB2312"/>
                      <w:sz w:val="21"/>
                    </w:rPr>
                    <w:t>定制</w:t>
                  </w:r>
                  <w:r>
                    <w:rPr>
                      <w:rFonts w:ascii="仿宋_GB2312" w:hAnsi="仿宋_GB2312" w:cs="仿宋_GB2312" w:eastAsia="仿宋_GB2312"/>
                      <w:sz w:val="21"/>
                    </w:rPr>
                    <w:t>）</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1、法律服务</w:t>
                  </w:r>
                </w:p>
                <w:p>
                  <w:pPr>
                    <w:pStyle w:val="null3"/>
                    <w:jc w:val="both"/>
                  </w:pPr>
                  <w:r>
                    <w:rPr>
                      <w:rFonts w:ascii="仿宋_GB2312" w:hAnsi="仿宋_GB2312" w:cs="仿宋_GB2312" w:eastAsia="仿宋_GB2312"/>
                      <w:sz w:val="21"/>
                      <w:b/>
                    </w:rPr>
                    <w:t>1.1AI律师</w:t>
                  </w:r>
                  <w:r>
                    <w:rPr>
                      <w:rFonts w:ascii="仿宋_GB2312" w:hAnsi="仿宋_GB2312" w:cs="仿宋_GB2312" w:eastAsia="仿宋_GB2312"/>
                      <w:sz w:val="19"/>
                      <w:b/>
                    </w:rPr>
                    <w:t xml:space="preserve"> </w:t>
                  </w:r>
                </w:p>
                <w:p>
                  <w:pPr>
                    <w:pStyle w:val="null3"/>
                    <w:ind w:firstLine="210"/>
                    <w:jc w:val="both"/>
                  </w:pPr>
                  <w:r>
                    <w:rPr>
                      <w:rFonts w:ascii="仿宋_GB2312" w:hAnsi="仿宋_GB2312" w:cs="仿宋_GB2312" w:eastAsia="仿宋_GB2312"/>
                      <w:sz w:val="21"/>
                    </w:rPr>
                    <w:t>基于大模型的强大能力，</w:t>
                  </w:r>
                  <w:r>
                    <w:rPr>
                      <w:rFonts w:ascii="仿宋_GB2312" w:hAnsi="仿宋_GB2312" w:cs="仿宋_GB2312" w:eastAsia="仿宋_GB2312"/>
                      <w:sz w:val="21"/>
                    </w:rPr>
                    <w:t>AI律师需能够对各类法律问题提供全面、准确的应答。AI律师不仅具备深度学习和自然语言处理的核心技术，还融合了法律领域的专业知识，为用户带来前所未有的智能法律服务体验。</w:t>
                  </w:r>
                </w:p>
                <w:p>
                  <w:pPr>
                    <w:pStyle w:val="null3"/>
                    <w:jc w:val="both"/>
                  </w:pPr>
                  <w:r>
                    <w:rPr>
                      <w:rFonts w:ascii="仿宋_GB2312" w:hAnsi="仿宋_GB2312" w:cs="仿宋_GB2312" w:eastAsia="仿宋_GB2312"/>
                      <w:sz w:val="21"/>
                    </w:rPr>
                    <w:t>①全面覆盖法律问题</w:t>
                  </w:r>
                </w:p>
                <w:p>
                  <w:pPr>
                    <w:pStyle w:val="null3"/>
                    <w:ind w:firstLine="210"/>
                    <w:jc w:val="both"/>
                  </w:pPr>
                  <w:r>
                    <w:rPr>
                      <w:rFonts w:ascii="仿宋_GB2312" w:hAnsi="仿宋_GB2312" w:cs="仿宋_GB2312" w:eastAsia="仿宋_GB2312"/>
                      <w:sz w:val="21"/>
                    </w:rPr>
                    <w:t>AI律师基于大模型的海量数据处理能力，能够全面覆盖各类法律问题。无论是民事纠纷、刑事辩护，还是商业法务、知识产权等，AI律师都能凭借其丰富的法律知识和经验，为用户提供专业的解答和建议。</w:t>
                  </w:r>
                </w:p>
                <w:p>
                  <w:pPr>
                    <w:pStyle w:val="null3"/>
                    <w:jc w:val="both"/>
                  </w:pPr>
                  <w:r>
                    <w:rPr>
                      <w:rFonts w:ascii="仿宋_GB2312" w:hAnsi="仿宋_GB2312" w:cs="仿宋_GB2312" w:eastAsia="仿宋_GB2312"/>
                      <w:sz w:val="21"/>
                    </w:rPr>
                    <w:t>②准确应答与智能推理</w:t>
                  </w:r>
                </w:p>
                <w:p>
                  <w:pPr>
                    <w:pStyle w:val="null3"/>
                    <w:ind w:firstLine="210"/>
                    <w:jc w:val="both"/>
                  </w:pPr>
                  <w:r>
                    <w:rPr>
                      <w:rFonts w:ascii="仿宋_GB2312" w:hAnsi="仿宋_GB2312" w:cs="仿宋_GB2312" w:eastAsia="仿宋_GB2312"/>
                      <w:sz w:val="21"/>
                    </w:rPr>
                    <w:t>AI律师的应答不仅准确，而且具备智能推理的能力。它能够根据用户的具体情况和需求，结合法律条文、案例和司法实践，进行逻辑推理和判断。无论是简单的法律咨询还是复杂的案件分析，AI律师都能给出符合法律规范的答案，帮助用户更好地理解和应对法律问题。</w:t>
                  </w:r>
                </w:p>
                <w:p>
                  <w:pPr>
                    <w:pStyle w:val="null3"/>
                    <w:jc w:val="both"/>
                  </w:pPr>
                  <w:r>
                    <w:rPr>
                      <w:rFonts w:ascii="仿宋_GB2312" w:hAnsi="仿宋_GB2312" w:cs="仿宋_GB2312" w:eastAsia="仿宋_GB2312"/>
                      <w:sz w:val="21"/>
                    </w:rPr>
                    <w:t>③法律专业性与个性化服务</w:t>
                  </w:r>
                </w:p>
                <w:p>
                  <w:pPr>
                    <w:pStyle w:val="null3"/>
                    <w:ind w:firstLine="210"/>
                    <w:jc w:val="both"/>
                  </w:pPr>
                  <w:r>
                    <w:rPr>
                      <w:rFonts w:ascii="仿宋_GB2312" w:hAnsi="仿宋_GB2312" w:cs="仿宋_GB2312" w:eastAsia="仿宋_GB2312"/>
                      <w:sz w:val="21"/>
                    </w:rPr>
                    <w:t>AI律师不仅具备法律专业性，还能根据用户的个性化需求提供定制化的法律服务。无论是需要起草法律文书、制定法律策略，还是需要进行案件预测和风险评估，AI律师都能根据用户的具体情况，提供精准、高效的解决方案。</w:t>
                  </w:r>
                </w:p>
                <w:p>
                  <w:pPr>
                    <w:pStyle w:val="null3"/>
                    <w:jc w:val="both"/>
                  </w:pPr>
                  <w:r>
                    <w:rPr>
                      <w:rFonts w:ascii="仿宋_GB2312" w:hAnsi="仿宋_GB2312" w:cs="仿宋_GB2312" w:eastAsia="仿宋_GB2312"/>
                      <w:sz w:val="21"/>
                    </w:rPr>
                    <w:t>④持续学习与优化</w:t>
                  </w:r>
                </w:p>
                <w:p>
                  <w:pPr>
                    <w:pStyle w:val="null3"/>
                    <w:ind w:firstLine="210"/>
                    <w:jc w:val="both"/>
                  </w:pPr>
                  <w:r>
                    <w:rPr>
                      <w:rFonts w:ascii="仿宋_GB2312" w:hAnsi="仿宋_GB2312" w:cs="仿宋_GB2312" w:eastAsia="仿宋_GB2312"/>
                      <w:sz w:val="21"/>
                    </w:rPr>
                    <w:t>基于大模型的持续学习能力，</w:t>
                  </w:r>
                  <w:r>
                    <w:rPr>
                      <w:rFonts w:ascii="仿宋_GB2312" w:hAnsi="仿宋_GB2312" w:cs="仿宋_GB2312" w:eastAsia="仿宋_GB2312"/>
                      <w:sz w:val="21"/>
                    </w:rPr>
                    <w:t>AI律师能够不断吸收新的法律知识和案例，优化自身的应答准确性和专业性。这使得AI律师能够跟上法律领域的最新动态，为用户提供最新、最全面的法律服务。</w:t>
                  </w:r>
                </w:p>
                <w:p>
                  <w:pPr>
                    <w:pStyle w:val="null3"/>
                    <w:jc w:val="both"/>
                  </w:pP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2</w:t>
                  </w:r>
                  <w:r>
                    <w:rPr>
                      <w:rFonts w:ascii="仿宋_GB2312" w:hAnsi="仿宋_GB2312" w:cs="仿宋_GB2312" w:eastAsia="仿宋_GB2312"/>
                      <w:sz w:val="21"/>
                      <w:b/>
                    </w:rPr>
                    <w:t>智能法律咨询</w:t>
                  </w:r>
                </w:p>
                <w:p>
                  <w:pPr>
                    <w:pStyle w:val="null3"/>
                    <w:ind w:firstLine="210"/>
                    <w:jc w:val="both"/>
                  </w:pPr>
                  <w:r>
                    <w:rPr>
                      <w:rFonts w:ascii="仿宋_GB2312" w:hAnsi="仿宋_GB2312" w:cs="仿宋_GB2312" w:eastAsia="仿宋_GB2312"/>
                      <w:sz w:val="21"/>
                    </w:rPr>
                    <w:t>支持以问卷的形式的提供智能法律咨询服务，用户只需根据提示填写问卷，完成问卷后可获得一份千字级的法律咨询意见书。</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3</w:t>
                  </w:r>
                  <w:r>
                    <w:rPr>
                      <w:rFonts w:ascii="仿宋_GB2312" w:hAnsi="仿宋_GB2312" w:cs="仿宋_GB2312" w:eastAsia="仿宋_GB2312"/>
                      <w:sz w:val="21"/>
                      <w:b/>
                    </w:rPr>
                    <w:t>智能文书生成</w:t>
                  </w:r>
                </w:p>
                <w:p>
                  <w:pPr>
                    <w:pStyle w:val="null3"/>
                    <w:ind w:firstLine="210"/>
                    <w:jc w:val="both"/>
                  </w:pPr>
                  <w:r>
                    <w:rPr>
                      <w:rFonts w:ascii="仿宋_GB2312" w:hAnsi="仿宋_GB2312" w:cs="仿宋_GB2312" w:eastAsia="仿宋_GB2312"/>
                      <w:sz w:val="21"/>
                    </w:rPr>
                    <w:t>支持法律文书在线生成，通过问卷引导的方式，用户在填写信息，填写完成后可获得一份法律文书。</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4</w:t>
                  </w:r>
                  <w:r>
                    <w:rPr>
                      <w:rFonts w:ascii="仿宋_GB2312" w:hAnsi="仿宋_GB2312" w:cs="仿宋_GB2312" w:eastAsia="仿宋_GB2312"/>
                      <w:sz w:val="21"/>
                      <w:b/>
                    </w:rPr>
                    <w:t>法律文书模板</w:t>
                  </w:r>
                </w:p>
                <w:p>
                  <w:pPr>
                    <w:pStyle w:val="null3"/>
                    <w:ind w:firstLine="210"/>
                    <w:jc w:val="both"/>
                  </w:pPr>
                  <w:r>
                    <w:rPr>
                      <w:rFonts w:ascii="仿宋_GB2312" w:hAnsi="仿宋_GB2312" w:cs="仿宋_GB2312" w:eastAsia="仿宋_GB2312"/>
                      <w:sz w:val="21"/>
                    </w:rPr>
                    <w:t>提供常见纠纷问题相关文书模板查询服务，支持发送到邮箱下载使用。</w:t>
                  </w:r>
                </w:p>
                <w:p>
                  <w:pPr>
                    <w:pStyle w:val="null3"/>
                    <w:ind w:firstLine="210"/>
                    <w:jc w:val="both"/>
                  </w:pPr>
                  <w:r>
                    <w:rPr>
                      <w:rFonts w:ascii="仿宋_GB2312" w:hAnsi="仿宋_GB2312" w:cs="仿宋_GB2312" w:eastAsia="仿宋_GB2312"/>
                      <w:sz w:val="21"/>
                    </w:rPr>
                    <w:t>要求提供婚姻家庭、继承纠纷、劳动纠纷、借贷纠纷、人身侵权、雇佣关系、交通事故、电商纠纷、消费维权、校园侵权、医患纠纷、租赁合同、培训服务、赠与合同、买卖合同、物业纠纷、二手房买卖、买房纠纷、房屋租赁、运输合同、承揽合同、期货证券、融资租赁、知识产权、建设工程、土地问题、农资农业、邻里纠纷、人格权纠纷、生活服务、行政程序、公司经营、国家赔偿、农民工讨薪、刑事犯罪、法律援助、司法鉴定、个人声明、信用卡纠纷、民事程序等</w:t>
                  </w:r>
                  <w:r>
                    <w:rPr>
                      <w:rFonts w:ascii="仿宋_GB2312" w:hAnsi="仿宋_GB2312" w:cs="仿宋_GB2312" w:eastAsia="仿宋_GB2312"/>
                      <w:sz w:val="21"/>
                    </w:rPr>
                    <w:t>4</w:t>
                  </w:r>
                  <w:r>
                    <w:rPr>
                      <w:rFonts w:ascii="仿宋_GB2312" w:hAnsi="仿宋_GB2312" w:cs="仿宋_GB2312" w:eastAsia="仿宋_GB2312"/>
                      <w:sz w:val="21"/>
                    </w:rPr>
                    <w:t>0个类别，以及</w:t>
                  </w:r>
                  <w:r>
                    <w:rPr>
                      <w:rFonts w:ascii="仿宋_GB2312" w:hAnsi="仿宋_GB2312" w:cs="仿宋_GB2312" w:eastAsia="仿宋_GB2312"/>
                      <w:sz w:val="21"/>
                    </w:rPr>
                    <w:t>67类要素式文书。</w:t>
                  </w:r>
                </w:p>
                <w:p>
                  <w:pPr>
                    <w:pStyle w:val="null3"/>
                    <w:jc w:val="both"/>
                  </w:pPr>
                  <w:r>
                    <w:rPr>
                      <w:rFonts w:ascii="仿宋_GB2312" w:hAnsi="仿宋_GB2312" w:cs="仿宋_GB2312" w:eastAsia="仿宋_GB2312"/>
                      <w:sz w:val="21"/>
                      <w:b/>
                    </w:rPr>
                    <w:t>1.5</w:t>
                  </w:r>
                  <w:r>
                    <w:rPr>
                      <w:rFonts w:ascii="仿宋_GB2312" w:hAnsi="仿宋_GB2312" w:cs="仿宋_GB2312" w:eastAsia="仿宋_GB2312"/>
                      <w:sz w:val="21"/>
                      <w:b/>
                    </w:rPr>
                    <w:t>普法</w:t>
                  </w:r>
                  <w:r>
                    <w:rPr>
                      <w:rFonts w:ascii="仿宋_GB2312" w:hAnsi="仿宋_GB2312" w:cs="仿宋_GB2312" w:eastAsia="仿宋_GB2312"/>
                      <w:sz w:val="21"/>
                      <w:b/>
                    </w:rPr>
                    <w:t>视频</w:t>
                  </w:r>
                </w:p>
                <w:p>
                  <w:pPr>
                    <w:pStyle w:val="null3"/>
                    <w:ind w:firstLine="210"/>
                    <w:jc w:val="both"/>
                  </w:pPr>
                  <w:r>
                    <w:rPr>
                      <w:rFonts w:ascii="仿宋_GB2312" w:hAnsi="仿宋_GB2312" w:cs="仿宋_GB2312" w:eastAsia="仿宋_GB2312"/>
                      <w:sz w:val="21"/>
                    </w:rPr>
                    <w:t>提供防诈骗、劳动纠纷、刑事犯罪、治安处罚、婚姻家庭、消费维权等普法短视频。要求根据时事热点制作的普法短视频，持续更新。</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6</w:t>
                  </w:r>
                  <w:r>
                    <w:rPr>
                      <w:rFonts w:ascii="仿宋_GB2312" w:hAnsi="仿宋_GB2312" w:cs="仿宋_GB2312" w:eastAsia="仿宋_GB2312"/>
                      <w:sz w:val="21"/>
                      <w:b/>
                    </w:rPr>
                    <w:t>法律计算器</w:t>
                  </w:r>
                </w:p>
                <w:p>
                  <w:pPr>
                    <w:pStyle w:val="null3"/>
                    <w:ind w:firstLine="210"/>
                    <w:jc w:val="both"/>
                  </w:pPr>
                  <w:r>
                    <w:rPr>
                      <w:rFonts w:ascii="仿宋_GB2312" w:hAnsi="仿宋_GB2312" w:cs="仿宋_GB2312" w:eastAsia="仿宋_GB2312"/>
                      <w:sz w:val="21"/>
                    </w:rPr>
                    <w:t>要求实现贷款计算、法定退休年龄计算、失业金计算、因病或非因工死亡企业职工基本养老保险遗属待遇、养老金计算（过渡性养老金待遇测算、企业职工养老保险待遇测算、个人账户养老金待遇测算、基础养老金待遇测算）、交通事故赔偿、工伤赔偿、人身损害赔偿、利息计算（借期利息、逾期利息等）、诉讼费、仲裁费、保全费、执行申请费、律师费、公证费、利率计算、加班工资计算、婚假、产假、陪产假、年休假、离职经济补偿、刑期折抵、日期计算、个税计算、房贷计算、土地使用税、契税、房产税计算等。</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7</w:t>
                  </w:r>
                  <w:r>
                    <w:rPr>
                      <w:rFonts w:ascii="仿宋_GB2312" w:hAnsi="仿宋_GB2312" w:cs="仿宋_GB2312" w:eastAsia="仿宋_GB2312"/>
                      <w:sz w:val="19"/>
                      <w:b/>
                    </w:rPr>
                    <w:t xml:space="preserve"> </w:t>
                  </w:r>
                  <w:r>
                    <w:rPr>
                      <w:rFonts w:ascii="仿宋_GB2312" w:hAnsi="仿宋_GB2312" w:cs="仿宋_GB2312" w:eastAsia="仿宋_GB2312"/>
                      <w:sz w:val="21"/>
                      <w:b/>
                    </w:rPr>
                    <w:t>民法典</w:t>
                  </w:r>
                </w:p>
                <w:p>
                  <w:pPr>
                    <w:pStyle w:val="null3"/>
                    <w:ind w:firstLine="210"/>
                    <w:jc w:val="both"/>
                  </w:pPr>
                  <w:r>
                    <w:rPr>
                      <w:rFonts w:ascii="仿宋_GB2312" w:hAnsi="仿宋_GB2312" w:cs="仿宋_GB2312" w:eastAsia="仿宋_GB2312"/>
                      <w:sz w:val="21"/>
                    </w:rPr>
                    <w:t>以图文、视频形式呈现民法典知识，汇集理论解读、知识讲解、案例解析、故事普法等内容。</w:t>
                  </w:r>
                </w:p>
                <w:p>
                  <w:pPr>
                    <w:pStyle w:val="null3"/>
                    <w:jc w:val="both"/>
                  </w:pPr>
                  <w:r>
                    <w:rPr>
                      <w:rFonts w:ascii="仿宋_GB2312" w:hAnsi="仿宋_GB2312" w:cs="仿宋_GB2312" w:eastAsia="仿宋_GB2312"/>
                      <w:sz w:val="21"/>
                    </w:rPr>
                    <w:t>提供民法典知识学习问答服务。</w:t>
                  </w:r>
                </w:p>
                <w:p>
                  <w:pPr>
                    <w:pStyle w:val="null3"/>
                    <w:jc w:val="both"/>
                  </w:pPr>
                  <w:r>
                    <w:rPr>
                      <w:rFonts w:ascii="仿宋_GB2312" w:hAnsi="仿宋_GB2312" w:cs="仿宋_GB2312" w:eastAsia="仿宋_GB2312"/>
                      <w:sz w:val="21"/>
                      <w:b/>
                    </w:rPr>
                    <w:t>2、业务办理</w:t>
                  </w:r>
                </w:p>
                <w:p>
                  <w:pPr>
                    <w:pStyle w:val="null3"/>
                    <w:jc w:val="both"/>
                  </w:pPr>
                  <w:r>
                    <w:rPr>
                      <w:rFonts w:ascii="仿宋_GB2312" w:hAnsi="仿宋_GB2312" w:cs="仿宋_GB2312" w:eastAsia="仿宋_GB2312"/>
                      <w:sz w:val="21"/>
                      <w:b/>
                    </w:rPr>
                    <w:t>2.1法律援助</w:t>
                  </w:r>
                </w:p>
                <w:p>
                  <w:pPr>
                    <w:pStyle w:val="null3"/>
                    <w:ind w:firstLine="210"/>
                    <w:jc w:val="both"/>
                  </w:pPr>
                  <w:r>
                    <w:rPr>
                      <w:rFonts w:ascii="仿宋_GB2312" w:hAnsi="仿宋_GB2312" w:cs="仿宋_GB2312" w:eastAsia="仿宋_GB2312"/>
                      <w:sz w:val="21"/>
                    </w:rPr>
                    <w:t>提供法援须知、法律援助工作站查询服务。</w:t>
                  </w:r>
                </w:p>
                <w:p>
                  <w:pPr>
                    <w:pStyle w:val="null3"/>
                    <w:jc w:val="both"/>
                  </w:pPr>
                  <w:r>
                    <w:rPr>
                      <w:rFonts w:ascii="仿宋_GB2312" w:hAnsi="仿宋_GB2312" w:cs="仿宋_GB2312" w:eastAsia="仿宋_GB2312"/>
                      <w:sz w:val="21"/>
                    </w:rPr>
                    <w:t>要求法援须知提供包括法律援助的流程、援助对象</w:t>
                  </w:r>
                  <w:r>
                    <w:rPr>
                      <w:rFonts w:ascii="仿宋_GB2312" w:hAnsi="仿宋_GB2312" w:cs="仿宋_GB2312" w:eastAsia="仿宋_GB2312"/>
                      <w:sz w:val="21"/>
                    </w:rPr>
                    <w:t>/范围、办理材料等内容的查询服务。</w:t>
                  </w:r>
                </w:p>
                <w:p>
                  <w:pPr>
                    <w:pStyle w:val="null3"/>
                    <w:ind w:firstLine="210"/>
                    <w:jc w:val="both"/>
                  </w:pPr>
                  <w:r>
                    <w:rPr>
                      <w:rFonts w:ascii="仿宋_GB2312" w:hAnsi="仿宋_GB2312" w:cs="仿宋_GB2312" w:eastAsia="仿宋_GB2312"/>
                      <w:sz w:val="21"/>
                    </w:rPr>
                    <w:t>要求法律援助工作站查询服务，支持按照区域检索查询和工作站名称关键字检索查询，可查询名称、地址、联系方式等。</w:t>
                  </w:r>
                </w:p>
                <w:p>
                  <w:pPr>
                    <w:pStyle w:val="null3"/>
                    <w:jc w:val="both"/>
                  </w:pPr>
                  <w:r>
                    <w:rPr>
                      <w:rFonts w:ascii="仿宋_GB2312" w:hAnsi="仿宋_GB2312" w:cs="仿宋_GB2312" w:eastAsia="仿宋_GB2312"/>
                      <w:sz w:val="21"/>
                      <w:b/>
                    </w:rPr>
                    <w:t>2.2人民调解</w:t>
                  </w:r>
                </w:p>
                <w:p>
                  <w:pPr>
                    <w:pStyle w:val="null3"/>
                    <w:ind w:firstLine="210"/>
                    <w:jc w:val="both"/>
                  </w:pPr>
                  <w:r>
                    <w:rPr>
                      <w:rFonts w:ascii="仿宋_GB2312" w:hAnsi="仿宋_GB2312" w:cs="仿宋_GB2312" w:eastAsia="仿宋_GB2312"/>
                      <w:sz w:val="21"/>
                    </w:rPr>
                    <w:t>提供人民调解办理须知、调解案例、调委会查询服务。</w:t>
                  </w:r>
                </w:p>
                <w:p>
                  <w:pPr>
                    <w:pStyle w:val="null3"/>
                    <w:ind w:firstLine="210"/>
                    <w:jc w:val="both"/>
                  </w:pPr>
                  <w:r>
                    <w:rPr>
                      <w:rFonts w:ascii="仿宋_GB2312" w:hAnsi="仿宋_GB2312" w:cs="仿宋_GB2312" w:eastAsia="仿宋_GB2312"/>
                      <w:sz w:val="21"/>
                    </w:rPr>
                    <w:t>要求提供办理人民调解的具体信息查询服务，包括调解工作流程、如何申请调解、调解当事人的权利和义务、调解协议的法律效力等内容。</w:t>
                  </w:r>
                </w:p>
                <w:p>
                  <w:pPr>
                    <w:pStyle w:val="null3"/>
                    <w:jc w:val="both"/>
                  </w:pPr>
                  <w:r>
                    <w:rPr>
                      <w:rFonts w:ascii="仿宋_GB2312" w:hAnsi="仿宋_GB2312" w:cs="仿宋_GB2312" w:eastAsia="仿宋_GB2312"/>
                      <w:sz w:val="21"/>
                    </w:rPr>
                    <w:t>要求调解委员会查询服务，支持按照区域检索查询和调委会名称关键字检索查询，可查询名称、地址、联系方式等。</w:t>
                  </w:r>
                </w:p>
                <w:p>
                  <w:pPr>
                    <w:pStyle w:val="null3"/>
                    <w:jc w:val="both"/>
                  </w:pPr>
                  <w:r>
                    <w:rPr>
                      <w:rFonts w:ascii="仿宋_GB2312" w:hAnsi="仿宋_GB2312" w:cs="仿宋_GB2312" w:eastAsia="仿宋_GB2312"/>
                      <w:sz w:val="21"/>
                      <w:b/>
                    </w:rPr>
                    <w:t>2.3公证服务</w:t>
                  </w:r>
                </w:p>
                <w:p>
                  <w:pPr>
                    <w:pStyle w:val="null3"/>
                    <w:ind w:firstLine="210"/>
                    <w:jc w:val="both"/>
                  </w:pPr>
                  <w:r>
                    <w:rPr>
                      <w:rFonts w:ascii="仿宋_GB2312" w:hAnsi="仿宋_GB2312" w:cs="仿宋_GB2312" w:eastAsia="仿宋_GB2312"/>
                      <w:sz w:val="21"/>
                    </w:rPr>
                    <w:t>提供公证法律法规查询</w:t>
                  </w:r>
                  <w:r>
                    <w:rPr>
                      <w:rFonts w:ascii="仿宋_GB2312" w:hAnsi="仿宋_GB2312" w:cs="仿宋_GB2312" w:eastAsia="仿宋_GB2312"/>
                      <w:sz w:val="21"/>
                    </w:rPr>
                    <w:t>和</w:t>
                  </w:r>
                  <w:r>
                    <w:rPr>
                      <w:rFonts w:ascii="仿宋_GB2312" w:hAnsi="仿宋_GB2312" w:cs="仿宋_GB2312" w:eastAsia="仿宋_GB2312"/>
                      <w:sz w:val="21"/>
                    </w:rPr>
                    <w:t>公证机构查询服务。</w:t>
                  </w:r>
                </w:p>
                <w:p>
                  <w:pPr>
                    <w:pStyle w:val="null3"/>
                    <w:jc w:val="both"/>
                  </w:pPr>
                  <w:r>
                    <w:rPr>
                      <w:rFonts w:ascii="仿宋_GB2312" w:hAnsi="仿宋_GB2312" w:cs="仿宋_GB2312" w:eastAsia="仿宋_GB2312"/>
                      <w:sz w:val="21"/>
                    </w:rPr>
                    <w:t>要求公证机构查询服务，支持按照区域检索查询和公证机构名称关键字检索查询，可查询名称、地址、联系方式等。</w:t>
                  </w:r>
                </w:p>
                <w:p>
                  <w:pPr>
                    <w:pStyle w:val="null3"/>
                    <w:jc w:val="both"/>
                  </w:pPr>
                  <w:r>
                    <w:rPr>
                      <w:rFonts w:ascii="仿宋_GB2312" w:hAnsi="仿宋_GB2312" w:cs="仿宋_GB2312" w:eastAsia="仿宋_GB2312"/>
                      <w:sz w:val="21"/>
                      <w:b/>
                    </w:rPr>
                    <w:t>2.4司法鉴定</w:t>
                  </w:r>
                </w:p>
                <w:p>
                  <w:pPr>
                    <w:pStyle w:val="null3"/>
                    <w:ind w:firstLine="210"/>
                    <w:jc w:val="both"/>
                  </w:pPr>
                  <w:r>
                    <w:rPr>
                      <w:rFonts w:ascii="仿宋_GB2312" w:hAnsi="仿宋_GB2312" w:cs="仿宋_GB2312" w:eastAsia="仿宋_GB2312"/>
                      <w:sz w:val="21"/>
                    </w:rPr>
                    <w:t>提供鉴定机构检索查询服务和鉴定法律法规查询服务。</w:t>
                  </w:r>
                </w:p>
                <w:p>
                  <w:pPr>
                    <w:pStyle w:val="null3"/>
                    <w:ind w:firstLine="210"/>
                    <w:jc w:val="both"/>
                  </w:pPr>
                  <w:r>
                    <w:rPr>
                      <w:rFonts w:ascii="仿宋_GB2312" w:hAnsi="仿宋_GB2312" w:cs="仿宋_GB2312" w:eastAsia="仿宋_GB2312"/>
                      <w:sz w:val="21"/>
                    </w:rPr>
                    <w:t>鉴定机构检索查询服务，支持按照区域检索查询和鉴定机构名称关键字检索查询，可查询名称、地址、联系方式等；支持按照鉴定范围查询。</w:t>
                  </w:r>
                </w:p>
                <w:p>
                  <w:pPr>
                    <w:pStyle w:val="null3"/>
                    <w:jc w:val="both"/>
                  </w:pPr>
                  <w:r>
                    <w:rPr>
                      <w:rFonts w:ascii="仿宋_GB2312" w:hAnsi="仿宋_GB2312" w:cs="仿宋_GB2312" w:eastAsia="仿宋_GB2312"/>
                      <w:sz w:val="21"/>
                      <w:b/>
                    </w:rPr>
                    <w:t>2.5仲裁服务</w:t>
                  </w:r>
                </w:p>
                <w:p>
                  <w:pPr>
                    <w:pStyle w:val="null3"/>
                    <w:ind w:firstLine="210"/>
                    <w:jc w:val="both"/>
                  </w:pPr>
                  <w:r>
                    <w:rPr>
                      <w:rFonts w:ascii="仿宋_GB2312" w:hAnsi="仿宋_GB2312" w:cs="仿宋_GB2312" w:eastAsia="仿宋_GB2312"/>
                      <w:sz w:val="21"/>
                    </w:rPr>
                    <w:t>提供仲裁须知查询、仲裁法律法规查询、仲裁机构查询服务。</w:t>
                  </w:r>
                </w:p>
                <w:p>
                  <w:pPr>
                    <w:pStyle w:val="null3"/>
                    <w:jc w:val="both"/>
                  </w:pPr>
                  <w:r>
                    <w:rPr>
                      <w:rFonts w:ascii="仿宋_GB2312" w:hAnsi="仿宋_GB2312" w:cs="仿宋_GB2312" w:eastAsia="仿宋_GB2312"/>
                      <w:sz w:val="21"/>
                      <w:b/>
                    </w:rPr>
                    <w:t>2.6行政复议</w:t>
                  </w:r>
                </w:p>
                <w:p>
                  <w:pPr>
                    <w:pStyle w:val="null3"/>
                    <w:ind w:firstLine="210"/>
                    <w:jc w:val="both"/>
                  </w:pPr>
                  <w:r>
                    <w:rPr>
                      <w:rFonts w:ascii="仿宋_GB2312" w:hAnsi="仿宋_GB2312" w:cs="仿宋_GB2312" w:eastAsia="仿宋_GB2312"/>
                      <w:sz w:val="21"/>
                    </w:rPr>
                    <w:t>提供行政复议须知、行政复议相关法律法规查询服务。</w:t>
                  </w:r>
                </w:p>
                <w:p>
                  <w:pPr>
                    <w:pStyle w:val="null3"/>
                    <w:jc w:val="both"/>
                  </w:pPr>
                  <w:r>
                    <w:rPr>
                      <w:rFonts w:ascii="仿宋_GB2312" w:hAnsi="仿宋_GB2312" w:cs="仿宋_GB2312" w:eastAsia="仿宋_GB2312"/>
                      <w:sz w:val="21"/>
                      <w:b/>
                    </w:rPr>
                    <w:t>2.7社区矫正</w:t>
                  </w:r>
                </w:p>
                <w:p>
                  <w:pPr>
                    <w:pStyle w:val="null3"/>
                    <w:ind w:firstLine="210"/>
                    <w:jc w:val="both"/>
                  </w:pPr>
                  <w:r>
                    <w:rPr>
                      <w:rFonts w:ascii="仿宋_GB2312" w:hAnsi="仿宋_GB2312" w:cs="仿宋_GB2312" w:eastAsia="仿宋_GB2312"/>
                      <w:sz w:val="21"/>
                    </w:rPr>
                    <w:t>提供社区矫正须知、社区矫正相关法律法规查询服务。</w:t>
                  </w:r>
                </w:p>
                <w:p>
                  <w:pPr>
                    <w:pStyle w:val="null3"/>
                    <w:jc w:val="both"/>
                  </w:pPr>
                  <w:r>
                    <w:rPr>
                      <w:rFonts w:ascii="仿宋_GB2312" w:hAnsi="仿宋_GB2312" w:cs="仿宋_GB2312" w:eastAsia="仿宋_GB2312"/>
                      <w:sz w:val="21"/>
                      <w:b/>
                    </w:rPr>
                    <w:t>3、信息查询</w:t>
                  </w:r>
                </w:p>
                <w:p>
                  <w:pPr>
                    <w:pStyle w:val="null3"/>
                    <w:jc w:val="both"/>
                  </w:pPr>
                  <w:r>
                    <w:rPr>
                      <w:rFonts w:ascii="仿宋_GB2312" w:hAnsi="仿宋_GB2312" w:cs="仿宋_GB2312" w:eastAsia="仿宋_GB2312"/>
                      <w:sz w:val="21"/>
                      <w:b/>
                    </w:rPr>
                    <w:t>3.1法律法规</w:t>
                  </w:r>
                </w:p>
                <w:p>
                  <w:pPr>
                    <w:pStyle w:val="null3"/>
                    <w:ind w:firstLine="210"/>
                    <w:jc w:val="both"/>
                  </w:pPr>
                  <w:r>
                    <w:rPr>
                      <w:rFonts w:ascii="仿宋_GB2312" w:hAnsi="仿宋_GB2312" w:cs="仿宋_GB2312" w:eastAsia="仿宋_GB2312"/>
                      <w:sz w:val="21"/>
                    </w:rPr>
                    <w:t>提供法律法规查询服务，支持对法律法规的快速、目录、高级检索、法规文内二次检索查询服务。</w:t>
                  </w:r>
                </w:p>
                <w:p>
                  <w:pPr>
                    <w:pStyle w:val="null3"/>
                    <w:jc w:val="both"/>
                  </w:pPr>
                  <w:r>
                    <w:rPr>
                      <w:rFonts w:ascii="仿宋_GB2312" w:hAnsi="仿宋_GB2312" w:cs="仿宋_GB2312" w:eastAsia="仿宋_GB2312"/>
                      <w:sz w:val="21"/>
                      <w:b/>
                    </w:rPr>
                    <w:t>3.2律所</w:t>
                  </w:r>
                  <w:r>
                    <w:rPr>
                      <w:rFonts w:ascii="仿宋_GB2312" w:hAnsi="仿宋_GB2312" w:cs="仿宋_GB2312" w:eastAsia="仿宋_GB2312"/>
                      <w:sz w:val="21"/>
                      <w:b/>
                    </w:rPr>
                    <w:t>查询</w:t>
                  </w:r>
                </w:p>
                <w:p>
                  <w:pPr>
                    <w:pStyle w:val="null3"/>
                    <w:ind w:firstLine="210"/>
                    <w:jc w:val="both"/>
                  </w:pPr>
                  <w:r>
                    <w:rPr>
                      <w:rFonts w:ascii="仿宋_GB2312" w:hAnsi="仿宋_GB2312" w:cs="仿宋_GB2312" w:eastAsia="仿宋_GB2312"/>
                      <w:sz w:val="21"/>
                    </w:rPr>
                    <w:t>提供律所信息查询服务，可查询律所地址、联系信息等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3.3律师查询</w:t>
                  </w:r>
                </w:p>
                <w:p>
                  <w:pPr>
                    <w:pStyle w:val="null3"/>
                    <w:ind w:firstLine="210"/>
                    <w:jc w:val="both"/>
                  </w:pPr>
                  <w:r>
                    <w:rPr>
                      <w:rFonts w:ascii="仿宋_GB2312" w:hAnsi="仿宋_GB2312" w:cs="仿宋_GB2312" w:eastAsia="仿宋_GB2312"/>
                      <w:sz w:val="21"/>
                    </w:rPr>
                    <w:t>提供律师信息查询服务，可查询律师执业信息（姓名、律所、执业证号、擅长专业、地址、联系方式）。</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4</w:t>
                  </w:r>
                  <w:r>
                    <w:rPr>
                      <w:rFonts w:ascii="仿宋_GB2312" w:hAnsi="仿宋_GB2312" w:cs="仿宋_GB2312" w:eastAsia="仿宋_GB2312"/>
                      <w:sz w:val="21"/>
                      <w:b/>
                    </w:rPr>
                    <w:t>机构查询</w:t>
                  </w:r>
                </w:p>
                <w:p>
                  <w:pPr>
                    <w:pStyle w:val="null3"/>
                    <w:ind w:firstLine="210"/>
                    <w:jc w:val="both"/>
                  </w:pPr>
                  <w:r>
                    <w:rPr>
                      <w:rFonts w:ascii="仿宋_GB2312" w:hAnsi="仿宋_GB2312" w:cs="仿宋_GB2312" w:eastAsia="仿宋_GB2312"/>
                      <w:sz w:val="21"/>
                    </w:rPr>
                    <w:t>提供司法所、公共法律服务中心、法律援助中心、人民调解委员会、公证处、司法鉴定机构、基层法律服务所等机构信息查询服务。支持输入名称关键字检索查询。</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5</w:t>
                  </w:r>
                  <w:r>
                    <w:rPr>
                      <w:rFonts w:ascii="仿宋_GB2312" w:hAnsi="仿宋_GB2312" w:cs="仿宋_GB2312" w:eastAsia="仿宋_GB2312"/>
                      <w:sz w:val="21"/>
                      <w:b/>
                    </w:rPr>
                    <w:t>以案释法</w:t>
                  </w:r>
                </w:p>
                <w:p>
                  <w:pPr>
                    <w:pStyle w:val="null3"/>
                    <w:ind w:firstLine="210"/>
                    <w:jc w:val="both"/>
                  </w:pPr>
                  <w:r>
                    <w:rPr>
                      <w:rFonts w:ascii="仿宋_GB2312" w:hAnsi="仿宋_GB2312" w:cs="仿宋_GB2312" w:eastAsia="仿宋_GB2312"/>
                      <w:sz w:val="21"/>
                    </w:rPr>
                    <w:t>提供</w:t>
                  </w:r>
                  <w:r>
                    <w:rPr>
                      <w:rFonts w:ascii="仿宋_GB2312" w:hAnsi="仿宋_GB2312" w:cs="仿宋_GB2312" w:eastAsia="仿宋_GB2312"/>
                      <w:sz w:val="21"/>
                    </w:rPr>
                    <w:t>民法典、宪法类、劳动纠纷、债权物权、房屋买卖、动物侵权、</w:t>
                  </w:r>
                  <w:r>
                    <w:rPr>
                      <w:rFonts w:ascii="仿宋_GB2312" w:hAnsi="仿宋_GB2312" w:cs="仿宋_GB2312" w:eastAsia="仿宋_GB2312"/>
                      <w:sz w:val="21"/>
                    </w:rPr>
                    <w:t>民间借贷、</w:t>
                  </w:r>
                  <w:r>
                    <w:rPr>
                      <w:rFonts w:ascii="仿宋_GB2312" w:hAnsi="仿宋_GB2312" w:cs="仿宋_GB2312" w:eastAsia="仿宋_GB2312"/>
                      <w:sz w:val="21"/>
                    </w:rPr>
                    <w:t>房屋租赁、交通事故、雇佣侵权、食品安全、扫黑除恶、邻里纠纷、治安管理、校园侵权、</w:t>
                  </w:r>
                  <w:r>
                    <w:rPr>
                      <w:rFonts w:ascii="仿宋_GB2312" w:hAnsi="仿宋_GB2312" w:cs="仿宋_GB2312" w:eastAsia="仿宋_GB2312"/>
                      <w:sz w:val="21"/>
                    </w:rPr>
                    <w:t>公司经营</w:t>
                  </w:r>
                  <w:r>
                    <w:rPr>
                      <w:rFonts w:ascii="仿宋_GB2312" w:hAnsi="仿宋_GB2312" w:cs="仿宋_GB2312" w:eastAsia="仿宋_GB2312"/>
                      <w:sz w:val="21"/>
                    </w:rPr>
                    <w:t>/</w:t>
                  </w:r>
                  <w:r>
                    <w:rPr>
                      <w:rFonts w:ascii="仿宋_GB2312" w:hAnsi="仿宋_GB2312" w:cs="仿宋_GB2312" w:eastAsia="仿宋_GB2312"/>
                      <w:sz w:val="21"/>
                    </w:rPr>
                    <w:t>企业税务、</w:t>
                  </w:r>
                  <w:r>
                    <w:rPr>
                      <w:rFonts w:ascii="仿宋_GB2312" w:hAnsi="仿宋_GB2312" w:cs="仿宋_GB2312" w:eastAsia="仿宋_GB2312"/>
                      <w:sz w:val="21"/>
                    </w:rPr>
                    <w:t>不正当竞争、医疗纠纷、</w:t>
                  </w:r>
                  <w:r>
                    <w:rPr>
                      <w:rFonts w:ascii="仿宋_GB2312" w:hAnsi="仿宋_GB2312" w:cs="仿宋_GB2312" w:eastAsia="仿宋_GB2312"/>
                      <w:sz w:val="21"/>
                    </w:rPr>
                    <w:t>电商纠纷、土地问题、</w:t>
                  </w:r>
                  <w:r>
                    <w:rPr>
                      <w:rFonts w:ascii="仿宋_GB2312" w:hAnsi="仿宋_GB2312" w:cs="仿宋_GB2312" w:eastAsia="仿宋_GB2312"/>
                      <w:sz w:val="21"/>
                    </w:rPr>
                    <w:t>物业纠纷、公务员相关、婚姻家庭、刑事问题、产品质量、法律援助、消费维权、工伤赔偿、知识产权、律师管理等</w:t>
                  </w:r>
                  <w:r>
                    <w:rPr>
                      <w:rFonts w:ascii="仿宋_GB2312" w:hAnsi="仿宋_GB2312" w:cs="仿宋_GB2312" w:eastAsia="仿宋_GB2312"/>
                      <w:sz w:val="21"/>
                    </w:rPr>
                    <w:t>30类。</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6</w:t>
                  </w:r>
                  <w:r>
                    <w:rPr>
                      <w:rFonts w:ascii="仿宋_GB2312" w:hAnsi="仿宋_GB2312" w:cs="仿宋_GB2312" w:eastAsia="仿宋_GB2312"/>
                      <w:sz w:val="21"/>
                      <w:b/>
                    </w:rPr>
                    <w:t>案例查询</w:t>
                  </w:r>
                </w:p>
                <w:p>
                  <w:pPr>
                    <w:pStyle w:val="null3"/>
                    <w:ind w:firstLine="210"/>
                    <w:jc w:val="both"/>
                  </w:pPr>
                  <w:r>
                    <w:rPr>
                      <w:rFonts w:ascii="仿宋_GB2312" w:hAnsi="仿宋_GB2312" w:cs="仿宋_GB2312" w:eastAsia="仿宋_GB2312"/>
                      <w:sz w:val="21"/>
                    </w:rPr>
                    <w:t>提供真实案例查询服务。</w:t>
                  </w:r>
                </w:p>
                <w:p>
                  <w:pPr>
                    <w:pStyle w:val="null3"/>
                    <w:ind w:firstLine="210"/>
                    <w:jc w:val="both"/>
                  </w:pPr>
                  <w:r>
                    <w:rPr>
                      <w:rFonts w:ascii="仿宋_GB2312" w:hAnsi="仿宋_GB2312" w:cs="仿宋_GB2312" w:eastAsia="仿宋_GB2312"/>
                      <w:sz w:val="21"/>
                    </w:rPr>
                    <w:t>要求支持借贷纠纷、婚姻家事、继承纠纷、收养问题、房屋买卖、赡养问题、房屋租赁、物业纠纷、债权债务、消费维权、合同纠纷、票据纠纷、侵权纠纷、刑事犯罪、土地纠纷、旅游纠纷、工伤赔偿、林地纠纷、知识产权、征地拆迁、建设工程、行政、军人相关、合伙问题、公司问题</w:t>
                  </w:r>
                  <w:r>
                    <w:rPr>
                      <w:rFonts w:ascii="仿宋_GB2312" w:hAnsi="仿宋_GB2312" w:cs="仿宋_GB2312" w:eastAsia="仿宋_GB2312"/>
                      <w:sz w:val="21"/>
                    </w:rPr>
                    <w:t>25类法律纠纷案例查询。</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智慧司法</w:t>
                  </w:r>
                  <w:r>
                    <w:rPr>
                      <w:rFonts w:ascii="仿宋_GB2312" w:hAnsi="仿宋_GB2312" w:cs="仿宋_GB2312" w:eastAsia="仿宋_GB2312"/>
                      <w:sz w:val="21"/>
                    </w:rPr>
                    <w:t>-</w:t>
                  </w:r>
                  <w:r>
                    <w:rPr>
                      <w:rFonts w:ascii="仿宋_GB2312" w:hAnsi="仿宋_GB2312" w:cs="仿宋_GB2312" w:eastAsia="仿宋_GB2312"/>
                      <w:sz w:val="21"/>
                    </w:rPr>
                    <w:t>公共法律平台网络数据安全无线网关</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1.设备支持≥4个千兆电口；</w:t>
                  </w:r>
                </w:p>
                <w:p>
                  <w:pPr>
                    <w:pStyle w:val="null3"/>
                    <w:jc w:val="both"/>
                  </w:pPr>
                  <w:r>
                    <w:rPr>
                      <w:rFonts w:ascii="仿宋_GB2312" w:hAnsi="仿宋_GB2312" w:cs="仿宋_GB2312" w:eastAsia="仿宋_GB2312"/>
                      <w:sz w:val="21"/>
                    </w:rPr>
                    <w:t>2.设备可接入管理≥4个NVR设备，可接入管理≥4个监控平台，可接入管理≥64个IPC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3.设备网口并发视频流功能支持≥4路8Mbps，总计≥32Mbps流量转发，支持≥100Mbps流量转发</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4.可支持接入互联网、专线网络等多种组网方式；</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5.可支持在互联网、专网上建立虚拟专用通道；</w:t>
                  </w:r>
                </w:p>
                <w:p>
                  <w:pPr>
                    <w:pStyle w:val="null3"/>
                    <w:jc w:val="both"/>
                  </w:pPr>
                  <w:r>
                    <w:rPr>
                      <w:rFonts w:ascii="仿宋_GB2312" w:hAnsi="仿宋_GB2312" w:cs="仿宋_GB2312" w:eastAsia="仿宋_GB2312"/>
                      <w:sz w:val="21"/>
                    </w:rPr>
                    <w:t>6..可支持NAT地址转换；</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7.可根据自动列表选择需要接入的资源，添加后自动推送至平台，屏蔽对无效资源的接入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8..支持对重要视频及码流加密传输；</w:t>
                  </w:r>
                </w:p>
                <w:p>
                  <w:pPr>
                    <w:pStyle w:val="null3"/>
                    <w:jc w:val="both"/>
                  </w:pPr>
                  <w:r>
                    <w:rPr>
                      <w:rFonts w:ascii="仿宋_GB2312" w:hAnsi="仿宋_GB2312" w:cs="仿宋_GB2312" w:eastAsia="仿宋_GB2312"/>
                      <w:sz w:val="21"/>
                    </w:rPr>
                    <w:t>9..支持根据MAC地址进行黑白名单</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智慧司法</w:t>
                  </w:r>
                  <w:r>
                    <w:rPr>
                      <w:rFonts w:ascii="仿宋_GB2312" w:hAnsi="仿宋_GB2312" w:cs="仿宋_GB2312" w:eastAsia="仿宋_GB2312"/>
                      <w:sz w:val="21"/>
                    </w:rPr>
                    <w:t>-</w:t>
                  </w:r>
                  <w:r>
                    <w:rPr>
                      <w:rFonts w:ascii="仿宋_GB2312" w:hAnsi="仿宋_GB2312" w:cs="仿宋_GB2312" w:eastAsia="仿宋_GB2312"/>
                      <w:sz w:val="21"/>
                    </w:rPr>
                    <w:t>普法与公共法律服务可视化自助桌面机</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1、CPU频率：八核，主频2.0GHZ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2、运行内存（RAM）：≥2GB  、机身内存（ROM）：≥16GB</w:t>
                  </w:r>
                </w:p>
                <w:p>
                  <w:pPr>
                    <w:pStyle w:val="null3"/>
                    <w:jc w:val="both"/>
                  </w:pPr>
                  <w:r>
                    <w:rPr>
                      <w:rFonts w:ascii="仿宋_GB2312" w:hAnsi="仿宋_GB2312" w:cs="仿宋_GB2312" w:eastAsia="仿宋_GB2312"/>
                      <w:sz w:val="21"/>
                    </w:rPr>
                    <w:t>3、操作系统：不低于Android 10</w:t>
                  </w:r>
                </w:p>
                <w:p>
                  <w:pPr>
                    <w:pStyle w:val="null3"/>
                    <w:jc w:val="left"/>
                  </w:pPr>
                  <w:r>
                    <w:rPr>
                      <w:rFonts w:ascii="仿宋_GB2312" w:hAnsi="仿宋_GB2312" w:cs="仿宋_GB2312" w:eastAsia="仿宋_GB2312"/>
                      <w:sz w:val="21"/>
                    </w:rPr>
                    <w:t>4、SIM卡槽：1个micro SIM卡槽</w:t>
                  </w:r>
                </w:p>
                <w:p>
                  <w:pPr>
                    <w:pStyle w:val="null3"/>
                    <w:jc w:val="left"/>
                  </w:pPr>
                  <w:r>
                    <w:rPr>
                      <w:rFonts w:ascii="仿宋_GB2312" w:hAnsi="仿宋_GB2312" w:cs="仿宋_GB2312" w:eastAsia="仿宋_GB2312"/>
                      <w:sz w:val="21"/>
                    </w:rPr>
                    <w:t>5、Wi-Fi: 802.11a/b/g/n/ac</w:t>
                  </w:r>
                </w:p>
                <w:p>
                  <w:pPr>
                    <w:pStyle w:val="null3"/>
                    <w:jc w:val="left"/>
                  </w:pPr>
                  <w:r>
                    <w:rPr>
                      <w:rFonts w:ascii="仿宋_GB2312" w:hAnsi="仿宋_GB2312" w:cs="仿宋_GB2312" w:eastAsia="仿宋_GB2312"/>
                      <w:sz w:val="21"/>
                    </w:rPr>
                    <w:t>6、蓝牙：蓝牙5.0</w:t>
                  </w:r>
                </w:p>
                <w:p>
                  <w:pPr>
                    <w:pStyle w:val="null3"/>
                    <w:jc w:val="left"/>
                  </w:pPr>
                  <w:r>
                    <w:rPr>
                      <w:rFonts w:ascii="仿宋_GB2312" w:hAnsi="仿宋_GB2312" w:cs="仿宋_GB2312" w:eastAsia="仿宋_GB2312"/>
                      <w:sz w:val="21"/>
                    </w:rPr>
                    <w:t>7、USB:Micro USB2.0</w:t>
                  </w:r>
                </w:p>
                <w:p>
                  <w:pPr>
                    <w:pStyle w:val="null3"/>
                    <w:jc w:val="left"/>
                  </w:pPr>
                  <w:r>
                    <w:rPr>
                      <w:rFonts w:ascii="仿宋_GB2312" w:hAnsi="仿宋_GB2312" w:cs="仿宋_GB2312" w:eastAsia="仿宋_GB2312"/>
                      <w:sz w:val="21"/>
                    </w:rPr>
                    <w:t>8、Micro SD 卡：最大支持32G</w:t>
                  </w:r>
                </w:p>
                <w:p>
                  <w:pPr>
                    <w:pStyle w:val="null3"/>
                    <w:jc w:val="both"/>
                  </w:pPr>
                  <w:r>
                    <w:rPr>
                      <w:rFonts w:ascii="仿宋_GB2312" w:hAnsi="仿宋_GB2312" w:cs="仿宋_GB2312" w:eastAsia="仿宋_GB2312"/>
                      <w:sz w:val="21"/>
                    </w:rPr>
                    <w:t>9、网口：RJ45自适应网口</w:t>
                  </w:r>
                </w:p>
                <w:p>
                  <w:pPr>
                    <w:pStyle w:val="null3"/>
                    <w:jc w:val="both"/>
                  </w:pPr>
                  <w:r>
                    <w:rPr>
                      <w:rFonts w:ascii="仿宋_GB2312" w:hAnsi="仿宋_GB2312" w:cs="仿宋_GB2312" w:eastAsia="仿宋_GB2312"/>
                      <w:sz w:val="21"/>
                    </w:rPr>
                    <w:t>10、电源：</w:t>
                  </w:r>
                  <w:r>
                    <w:rPr>
                      <w:rFonts w:ascii="仿宋_GB2312" w:hAnsi="仿宋_GB2312" w:cs="仿宋_GB2312" w:eastAsia="仿宋_GB2312"/>
                      <w:sz w:val="21"/>
                    </w:rPr>
                    <w:t>输入</w:t>
                  </w:r>
                  <w:r>
                    <w:rPr>
                      <w:rFonts w:ascii="仿宋_GB2312" w:hAnsi="仿宋_GB2312" w:cs="仿宋_GB2312" w:eastAsia="仿宋_GB2312"/>
                      <w:sz w:val="21"/>
                    </w:rPr>
                    <w:t>AC 100~240</w:t>
                  </w:r>
                  <w:r>
                    <w:rPr>
                      <w:rFonts w:ascii="仿宋_GB2312" w:hAnsi="仿宋_GB2312" w:cs="仿宋_GB2312" w:eastAsia="仿宋_GB2312"/>
                      <w:sz w:val="21"/>
                    </w:rPr>
                    <w:t>V</w:t>
                  </w:r>
                </w:p>
                <w:p>
                  <w:pPr>
                    <w:pStyle w:val="null3"/>
                    <w:jc w:val="both"/>
                  </w:pPr>
                  <w:r>
                    <w:rPr>
                      <w:rFonts w:ascii="仿宋_GB2312" w:hAnsi="仿宋_GB2312" w:cs="仿宋_GB2312" w:eastAsia="仿宋_GB2312"/>
                      <w:sz w:val="21"/>
                    </w:rPr>
                    <w:t>输出</w:t>
                  </w:r>
                  <w:r>
                    <w:rPr>
                      <w:rFonts w:ascii="仿宋_GB2312" w:hAnsi="仿宋_GB2312" w:cs="仿宋_GB2312" w:eastAsia="仿宋_GB2312"/>
                      <w:sz w:val="21"/>
                    </w:rPr>
                    <w:t>DC</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V</w:t>
                  </w:r>
                  <w:r>
                    <w:rPr>
                      <w:rFonts w:ascii="仿宋_GB2312" w:hAnsi="仿宋_GB2312" w:cs="仿宋_GB2312" w:eastAsia="仿宋_GB2312"/>
                      <w:sz w:val="21"/>
                    </w:rPr>
                    <w:t>/2</w:t>
                  </w:r>
                  <w:r>
                    <w:rPr>
                      <w:rFonts w:ascii="仿宋_GB2312" w:hAnsi="仿宋_GB2312" w:cs="仿宋_GB2312" w:eastAsia="仿宋_GB2312"/>
                      <w:sz w:val="21"/>
                    </w:rPr>
                    <w:t>A</w:t>
                  </w:r>
                  <w:r>
                    <w:rPr>
                      <w:rFonts w:ascii="仿宋_GB2312" w:hAnsi="仿宋_GB2312" w:cs="仿宋_GB2312" w:eastAsia="仿宋_GB2312"/>
                      <w:sz w:val="21"/>
                    </w:rPr>
                    <w:t>±10%</w:t>
                  </w:r>
                </w:p>
                <w:p>
                  <w:pPr>
                    <w:pStyle w:val="null3"/>
                    <w:jc w:val="both"/>
                  </w:pPr>
                  <w:r>
                    <w:rPr>
                      <w:rFonts w:ascii="仿宋_GB2312" w:hAnsi="仿宋_GB2312" w:cs="仿宋_GB2312" w:eastAsia="仿宋_GB2312"/>
                      <w:sz w:val="21"/>
                    </w:rPr>
                    <w:t>11、电池：</w:t>
                  </w:r>
                  <w:r>
                    <w:rPr>
                      <w:rFonts w:ascii="仿宋_GB2312" w:hAnsi="仿宋_GB2312" w:cs="仿宋_GB2312" w:eastAsia="仿宋_GB2312"/>
                      <w:sz w:val="21"/>
                    </w:rPr>
                    <w:t>类型：</w:t>
                  </w:r>
                  <w:r>
                    <w:rPr>
                      <w:rFonts w:ascii="仿宋_GB2312" w:hAnsi="仿宋_GB2312" w:cs="仿宋_GB2312" w:eastAsia="仿宋_GB2312"/>
                      <w:sz w:val="21"/>
                    </w:rPr>
                    <w:t>Li-Polymer 锂聚合物电池</w:t>
                  </w:r>
                </w:p>
                <w:p>
                  <w:pPr>
                    <w:pStyle w:val="null3"/>
                    <w:jc w:val="both"/>
                  </w:pPr>
                  <w:r>
                    <w:rPr>
                      <w:rFonts w:ascii="仿宋_GB2312" w:hAnsi="仿宋_GB2312" w:cs="仿宋_GB2312" w:eastAsia="仿宋_GB2312"/>
                      <w:sz w:val="21"/>
                    </w:rPr>
                    <w:t>可单电源供电、单电池供电，以及电源电池同时在位使用</w:t>
                  </w:r>
                </w:p>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 xml:space="preserve">3.7V </w:t>
                  </w:r>
                  <w:r>
                    <w:rPr>
                      <w:rFonts w:ascii="仿宋_GB2312" w:hAnsi="仿宋_GB2312" w:cs="仿宋_GB2312" w:eastAsia="仿宋_GB2312"/>
                      <w:sz w:val="21"/>
                    </w:rPr>
                    <w:t>25</w:t>
                  </w:r>
                  <w:r>
                    <w:rPr>
                      <w:rFonts w:ascii="仿宋_GB2312" w:hAnsi="仿宋_GB2312" w:cs="仿宋_GB2312" w:eastAsia="仿宋_GB2312"/>
                      <w:sz w:val="21"/>
                    </w:rPr>
                    <w:t>00mAh</w:t>
                  </w:r>
                  <w:r>
                    <w:rPr>
                      <w:rFonts w:ascii="仿宋_GB2312" w:hAnsi="仿宋_GB2312" w:cs="仿宋_GB2312" w:eastAsia="仿宋_GB2312"/>
                      <w:sz w:val="19"/>
                    </w:rPr>
                    <w:t xml:space="preserve">  </w:t>
                  </w:r>
                  <w:r>
                    <w:rPr>
                      <w:rFonts w:ascii="仿宋_GB2312" w:hAnsi="仿宋_GB2312" w:cs="仿宋_GB2312" w:eastAsia="仿宋_GB2312"/>
                      <w:sz w:val="21"/>
                    </w:rPr>
                    <w:t>通话时间：</w:t>
                  </w:r>
                  <w:r>
                    <w:rPr>
                      <w:rFonts w:ascii="仿宋_GB2312" w:hAnsi="仿宋_GB2312" w:cs="仿宋_GB2312" w:eastAsia="仿宋_GB2312"/>
                      <w:sz w:val="21"/>
                    </w:rPr>
                    <w:t>2</w:t>
                  </w:r>
                  <w:r>
                    <w:rPr>
                      <w:rFonts w:ascii="仿宋_GB2312" w:hAnsi="仿宋_GB2312" w:cs="仿宋_GB2312" w:eastAsia="仿宋_GB2312"/>
                      <w:sz w:val="21"/>
                    </w:rPr>
                    <w:t>小时以上</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屏幕尺寸</w:t>
                  </w:r>
                  <w:r>
                    <w:rPr>
                      <w:rFonts w:ascii="仿宋_GB2312" w:hAnsi="仿宋_GB2312" w:cs="仿宋_GB2312" w:eastAsia="仿宋_GB2312"/>
                      <w:sz w:val="21"/>
                    </w:rPr>
                    <w:t>≥8英</w:t>
                  </w:r>
                  <w:r>
                    <w:rPr>
                      <w:rFonts w:ascii="仿宋_GB2312" w:hAnsi="仿宋_GB2312" w:cs="仿宋_GB2312" w:eastAsia="仿宋_GB2312"/>
                      <w:sz w:val="21"/>
                    </w:rPr>
                    <w:t>寸，分辨率</w:t>
                  </w:r>
                  <w:r>
                    <w:rPr>
                      <w:rFonts w:ascii="仿宋_GB2312" w:hAnsi="仿宋_GB2312" w:cs="仿宋_GB2312" w:eastAsia="仿宋_GB2312"/>
                      <w:sz w:val="21"/>
                    </w:rPr>
                    <w:t>≥800*1280</w:t>
                  </w:r>
                </w:p>
                <w:p>
                  <w:pPr>
                    <w:pStyle w:val="null3"/>
                    <w:jc w:val="both"/>
                  </w:pPr>
                  <w:r>
                    <w:rPr>
                      <w:rFonts w:ascii="仿宋_GB2312" w:hAnsi="仿宋_GB2312" w:cs="仿宋_GB2312" w:eastAsia="仿宋_GB2312"/>
                      <w:sz w:val="21"/>
                    </w:rPr>
                    <w:t>13、摄像头：≥</w:t>
                  </w:r>
                  <w:r>
                    <w:rPr>
                      <w:rFonts w:ascii="仿宋_GB2312" w:hAnsi="仿宋_GB2312" w:cs="仿宋_GB2312" w:eastAsia="仿宋_GB2312"/>
                      <w:sz w:val="21"/>
                    </w:rPr>
                    <w:t>像素</w:t>
                  </w:r>
                  <w:r>
                    <w:rPr>
                      <w:rFonts w:ascii="仿宋_GB2312" w:hAnsi="仿宋_GB2312" w:cs="仿宋_GB2312" w:eastAsia="仿宋_GB2312"/>
                      <w:sz w:val="21"/>
                    </w:rPr>
                    <w:t>500万</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天线</w:t>
                  </w:r>
                  <w:r>
                    <w:rPr>
                      <w:rFonts w:ascii="仿宋_GB2312" w:hAnsi="仿宋_GB2312" w:cs="仿宋_GB2312" w:eastAsia="仿宋_GB2312"/>
                      <w:sz w:val="21"/>
                    </w:rPr>
                    <w:t>：</w:t>
                  </w:r>
                  <w:r>
                    <w:rPr>
                      <w:rFonts w:ascii="仿宋_GB2312" w:hAnsi="仿宋_GB2312" w:cs="仿宋_GB2312" w:eastAsia="仿宋_GB2312"/>
                      <w:sz w:val="21"/>
                    </w:rPr>
                    <w:t>内置天线</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进度款，设备供货进度达到50%，达到付款条件起7个工作日内，支付合同总金额的50.0%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其他，验收无误后，达到付款条件起7个工作日内，支付合同总金额的50.0%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按国家行业相关标准执行，质量符合法规及采购人提供参数要求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供应商未按合同供货或设备不达标、存在侵权等，采购人有权追责，按《中华人民共和国政府采购法》《中华人民共和国民法典》执行；争议先通过和解或调解解决，如不成，则向汉中市仲裁委员会申请仲裁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 、“重大税收违法案件当事人名单” 中，也未列入中国政府采购网“政府采购严重违法失信行为记录名单” 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符合招标文件要求，在指定地方签字或盖章</w:t>
            </w:r>
          </w:p>
        </w:tc>
        <w:tc>
          <w:tcPr>
            <w:tcW w:type="dxa" w:w="1661"/>
          </w:tcPr>
          <w:p>
            <w:pPr>
              <w:pStyle w:val="null3"/>
            </w:pPr>
            <w:r>
              <w:rPr>
                <w:rFonts w:ascii="仿宋_GB2312" w:hAnsi="仿宋_GB2312" w:cs="仿宋_GB2312" w:eastAsia="仿宋_GB2312"/>
              </w:rPr>
              <w:t>开标一览表 中小企业声明函 商务应答表 项目实施方案.docx 供应商应提交的相关资格证明材料(1).pdf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符合招标文件商务要求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技术参数审查</w:t>
            </w:r>
          </w:p>
        </w:tc>
        <w:tc>
          <w:tcPr>
            <w:tcW w:type="dxa" w:w="3322"/>
          </w:tcPr>
          <w:p>
            <w:pPr>
              <w:pStyle w:val="null3"/>
            </w:pPr>
            <w:r>
              <w:rPr>
                <w:rFonts w:ascii="仿宋_GB2312" w:hAnsi="仿宋_GB2312" w:cs="仿宋_GB2312" w:eastAsia="仿宋_GB2312"/>
              </w:rPr>
              <w:t>投标产品的技术指标参数（带“★”）需求为实质性要求，供应商必须响应并满足。</w:t>
            </w:r>
          </w:p>
        </w:tc>
        <w:tc>
          <w:tcPr>
            <w:tcW w:type="dxa" w:w="1661"/>
          </w:tcPr>
          <w:p>
            <w:pPr>
              <w:pStyle w:val="null3"/>
            </w:pPr>
            <w:r>
              <w:rPr>
                <w:rFonts w:ascii="仿宋_GB2312" w:hAnsi="仿宋_GB2312" w:cs="仿宋_GB2312" w:eastAsia="仿宋_GB2312"/>
              </w:rPr>
              <w:t>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提供所有所投产品的合法来源渠道证明文件(产品制造商授权或销售协议或代理协议等) ，本项满分18分，每少提供一个产品的证明文件扣3分，扣完为止。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2023年7月1日至今类似项目业绩合同复印件（以合同签订时间为准 ) 并加盖公章。每提供一个计2分，满分6分。未提供不计分。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产品设备技术指标</w:t>
            </w:r>
          </w:p>
        </w:tc>
        <w:tc>
          <w:tcPr>
            <w:tcW w:type="dxa" w:w="2492"/>
          </w:tcPr>
          <w:p>
            <w:pPr>
              <w:pStyle w:val="null3"/>
            </w:pPr>
            <w:r>
              <w:rPr>
                <w:rFonts w:ascii="仿宋_GB2312" w:hAnsi="仿宋_GB2312" w:cs="仿宋_GB2312" w:eastAsia="仿宋_GB2312"/>
              </w:rPr>
              <w:t>响应产品选型符合使用需求，产品配置完整合理，根据响应产品的技术指标对招标文件的响应程度计分。其技术指标完全满足招标文件要求计26分，部分项负偏离按以下说明扣分：1、响应技术指标出现▲号项负偏离的，每项扣1分，总分6分。2、响应技术指标出现非▲号和★号项负偏离的，每项扣0.2分，总分20分。扣完为止。注：▲号项条款偏离情况依据提供相应的指标证明文件包括但不限于制造商出具的证明文件、产品彩页、功能截图、检测报告、网上商城截图等证明文件，否则不计分。非★和▲号项条款参数依据技术偏离表。</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一、投标人需提供该项目详细供货方案，应包括①项目整体供货计划 ; ②供货周期保障措施；③不合格货物退换方案； 二 、评审标准：①完整性：方案及相关资料内容全面 , 对评审内容中的各项要求有详细描述及说明；②可实施性：方案及相关资料科学合理，可操作性强； ③针对性：方案及相关资料能紧扣本项目实际情况，满足本项目各项具体要求。 三、赋分标准(满分9分)：评审内容共三项，方案内容全面详细、步骤清晰合理、贴合本项目实际、全部满足采购要求得9分。每缺失一项内容扣3分，每项内容存在1处缺陷，扣0.5分，扣完即止。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 、投标人需针对本项目提供售后服务方案，应包括：①售后服务人员配置方案；②设备定期维护方案 ; ③售后服务计划（需说明详细售后服务点及响应时间） 二 、评审标准：①完整性：方案及相关资料内容全面，对评审内容中的各项要求有详细描述及说明；②可实施性：方案及相关资料科学合理，可操作性强；③针对性：方案及相关资料能紧扣本项目实际情况，满足本项目各项具体要求。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 、投标人需针对本项目提供培训计划，应包括：①人员培训计划； ②培训目标及效果。 二 、评审标准 : ①完整性：方案及相关资料内容全面，对评审内容中的各项要求有详细描述及说明；②可实施性：方案及相关资料科学合理，可操作性强；③针对性：方案及相关资料能紧扣本项目实际情况，满足本项目各项具体要求。 三、赋分标准(满分5分)：评审内容共二项，方案内容全面详细、步骤清晰合理、贴合本项目实际、全部满足采购要求得5分。每缺失一项内容扣2.5分，每项内容存在1处缺陷，扣0.2分，扣完即止。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、评标基准价的计算：满足招标文件实质性要求且投标报价中最低的报价为评标基准价,其报价分为满分。2 、其他投标人的报价分计算 ：投标报价得分=（评标基准价/投标报价） ×30% ×100 。3 、评审说明：评标委员会认为投标人的报价明显低于其他通过符合性审查投标人的报价,有可能影响设备供应质量或者不能诚信履约的，应当要求其在评标现场合理的时间内提供书面说明，必要时提交相关证明材料 ；投标人不能证明其报价合理性的 , 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