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版本号：LWQZFCG2026-00820260807001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渭南市南湖公园项目竣工结算审计服务项目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LWQZFCG2026-008</w:t>
      </w:r>
      <w:r>
        <w:br/>
      </w:r>
      <w:r>
        <w:br/>
      </w:r>
      <w:r>
        <w:br/>
      </w:r>
    </w:p>
    <w:p>
      <w:pPr>
        <w:pStyle w:val="null3"/>
        <w:jc w:val="center"/>
        <w:outlineLvl w:val="2"/>
      </w:pPr>
      <w:r>
        <w:rPr>
          <w:rFonts w:ascii="仿宋_GB2312" w:hAnsi="仿宋_GB2312" w:cs="仿宋_GB2312" w:eastAsia="仿宋_GB2312"/>
          <w:sz w:val="28"/>
          <w:b/>
        </w:rPr>
        <w:t>渭南市临渭区审计局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渭南市临渭区审计局</w:t>
      </w:r>
      <w:r>
        <w:rPr>
          <w:rFonts w:ascii="仿宋_GB2312" w:hAnsi="仿宋_GB2312" w:cs="仿宋_GB2312" w:eastAsia="仿宋_GB2312"/>
        </w:rPr>
        <w:t>委托，拟对</w:t>
      </w:r>
      <w:r>
        <w:rPr>
          <w:rFonts w:ascii="仿宋_GB2312" w:hAnsi="仿宋_GB2312" w:cs="仿宋_GB2312" w:eastAsia="仿宋_GB2312"/>
        </w:rPr>
        <w:t>渭南市南湖公园项目竣工结算审计服务项目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渭南市南湖公园项目竣工结算审计服务项目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本项目是为渭南市南湖公园项目送审结算提供竣工结算审计服务项目进行采购。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采购包1（渭南市南湖公园项目竣工结算审计服务项目）：属于专门面向中小企业采购。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1、营业执照：具有独立承担民事责任能力的法人、其他组织或自然人，提供合法注册的法人或者其他组织的营业执照等证明文件、自然人的身份证明；</w:t>
      </w:r>
    </w:p>
    <w:p>
      <w:pPr>
        <w:pStyle w:val="null3"/>
      </w:pPr>
      <w:r>
        <w:rPr>
          <w:rFonts w:ascii="仿宋_GB2312" w:hAnsi="仿宋_GB2312" w:cs="仿宋_GB2312" w:eastAsia="仿宋_GB2312"/>
        </w:rPr>
        <w:t>2、项目负责人：项目负责人须具备国家注册一级造价工程师资格，且在本单位注册。</w:t>
      </w:r>
    </w:p>
    <w:p>
      <w:pPr>
        <w:pStyle w:val="null3"/>
      </w:pPr>
      <w:r>
        <w:rPr>
          <w:rFonts w:ascii="仿宋_GB2312" w:hAnsi="仿宋_GB2312" w:cs="仿宋_GB2312" w:eastAsia="仿宋_GB2312"/>
        </w:rPr>
        <w:t>3、财务状况报告：供应商须提供2025年度的财务审计报告（成立时间至提交响应文件截止时间不足一年的可提供成立后任意时段的资产负债表）或投标前六个月内其基本账户银行出具的资信证明（附开户许可证或开户备案证明）；(注:依据财政部、国务院国资委、金融监管总局印发&lt;&lt;关于加强审计报告查验工作的通知&gt;&gt;(财会〔2023〕15号)审计报告须在注册会计师行业统一监管平台备案并赋予二维码。)或政府采购信用担保机构出具的投标担保函；</w:t>
      </w:r>
    </w:p>
    <w:p>
      <w:pPr>
        <w:pStyle w:val="null3"/>
      </w:pPr>
      <w:r>
        <w:rPr>
          <w:rFonts w:ascii="仿宋_GB2312" w:hAnsi="仿宋_GB2312" w:cs="仿宋_GB2312" w:eastAsia="仿宋_GB2312"/>
        </w:rPr>
        <w:t>4、税收缴纳证明：提供2025年7月1日至今任意一个月已缴纳的纳税证明或完税证明（包含增值税、企业所得税、营业税至少一种）；（依法免税的投标人应提供相关文件证明）；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5、社会保障资金缴纳证明：提供2025年7月1日至今任意一个月的社保缴费凭据或社保机构开具的社会保险参保缴费情况证明；（依法不需要缴纳社会保障资金的投标人应提供相关证明）;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6、具有履行本合同所必需的设备和专业技术能力：具有履行本合同所必需的设备和专业技术能力；</w:t>
      </w:r>
    </w:p>
    <w:p>
      <w:pPr>
        <w:pStyle w:val="null3"/>
      </w:pPr>
      <w:r>
        <w:rPr>
          <w:rFonts w:ascii="仿宋_GB2312" w:hAnsi="仿宋_GB2312" w:cs="仿宋_GB2312" w:eastAsia="仿宋_GB2312"/>
        </w:rPr>
        <w:t>7、参加政府采购活动前三年内在经营活动中没有重大违法记录：参加政府采购活动前三年内在经营活动中没有重大违法记录；</w:t>
      </w:r>
    </w:p>
    <w:p>
      <w:pPr>
        <w:pStyle w:val="null3"/>
      </w:pPr>
      <w:r>
        <w:rPr>
          <w:rFonts w:ascii="仿宋_GB2312" w:hAnsi="仿宋_GB2312" w:cs="仿宋_GB2312" w:eastAsia="仿宋_GB2312"/>
        </w:rPr>
        <w:t>8、法定代表人或负责人资格证明书：法定代表人或负责人参与投标时需提供法定代表人或负责人资格证明书；（附法定代表人或负责人身份证复印件）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9、法定代表人或负责人授权委托书：被授权人参与投标时需提供法定代表人或负责人授权委托书；（附法定代表人或负责人及被授权人身份证复印件）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10、信用查询：采购人或代理机构根据《关于在政府采购活动中查询及使用信用记录有关问题的通知》（财库〔2016〕125号）的要求，通过“信用中国”网站（www.creditchina.gov.cn）、“中国政府采购网”网站（www.ccgp.gov.cn）等渠道， 查询供应商在响应文件提交截止时间前的信用记录并保存信用记录结果网页截图，拒绝列入失信被执行人名单、重大税收违法失信主体、政府采购严重违法失信行为记录名单中的供应商参加本项目的采购活动；</w:t>
      </w:r>
    </w:p>
    <w:p>
      <w:pPr>
        <w:pStyle w:val="null3"/>
      </w:pPr>
      <w:r>
        <w:rPr>
          <w:rFonts w:ascii="仿宋_GB2312" w:hAnsi="仿宋_GB2312" w:cs="仿宋_GB2312" w:eastAsia="仿宋_GB2312"/>
        </w:rPr>
        <w:t>11、本项目不接受联合体投标：供应商应提供《非联合体投标声明》，视为独立投标。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渭南市临渭区人民街道东风大街83号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渭南市临渭区审计局经办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0913-3038813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渭南市临渭区政府采购管理股经办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渭南市临渭区审计局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渭南市临渭区审计局</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地址：渭南市临渭区财政局乐天大街123号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本项目是为渭南市南湖公园项目送审结算提供竣工结算审计服务项目采购。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9,350,000.00</w:t>
      </w:r>
    </w:p>
    <w:p>
      <w:pPr>
        <w:pStyle w:val="null3"/>
      </w:pPr>
      <w:r>
        <w:rPr>
          <w:rFonts w:ascii="仿宋_GB2312" w:hAnsi="仿宋_GB2312" w:cs="仿宋_GB2312" w:eastAsia="仿宋_GB2312"/>
        </w:rPr>
        <w:t>采购包最高限价（元）: 9,350,000.00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渭南市南湖公园项目竣工结算审计服务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标的名称：渭南市南湖公园项目竣工结算审计服务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p>
          <w:p>
            <w:pPr>
              <w:pStyle w:val="null3"/>
              <w:ind w:firstLine="480"/>
            </w:pPr>
            <w:r>
              <w:rPr>
                <w:rFonts w:ascii="仿宋_GB2312" w:hAnsi="仿宋_GB2312" w:cs="仿宋_GB2312" w:eastAsia="仿宋_GB2312"/>
              </w:rPr>
              <w:t>本项目是为渭南市南湖公园项目送审结算提供竣工结算审计服务项目采购。</w:t>
            </w:r>
          </w:p>
          <w:p>
            <w:pPr>
              <w:pStyle w:val="null3"/>
              <w:ind w:firstLine="400"/>
              <w:jc w:val="both"/>
            </w:pPr>
            <w:r>
              <w:rPr>
                <w:rFonts w:ascii="仿宋_GB2312" w:hAnsi="仿宋_GB2312" w:cs="仿宋_GB2312" w:eastAsia="仿宋_GB2312"/>
                <w:sz w:val="20"/>
              </w:rPr>
              <w:t>二、服务需求</w:t>
            </w:r>
          </w:p>
          <w:p>
            <w:pPr>
              <w:pStyle w:val="null3"/>
              <w:ind w:firstLine="400"/>
              <w:jc w:val="both"/>
            </w:pPr>
            <w:r>
              <w:rPr>
                <w:rFonts w:ascii="仿宋_GB2312" w:hAnsi="仿宋_GB2312" w:cs="仿宋_GB2312" w:eastAsia="仿宋_GB2312"/>
                <w:sz w:val="20"/>
              </w:rPr>
              <w:t>（一）总体要求</w:t>
            </w:r>
          </w:p>
          <w:p>
            <w:pPr>
              <w:pStyle w:val="null3"/>
              <w:ind w:firstLine="400"/>
              <w:jc w:val="both"/>
            </w:pPr>
            <w:r>
              <w:rPr>
                <w:rFonts w:ascii="仿宋_GB2312" w:hAnsi="仿宋_GB2312" w:cs="仿宋_GB2312" w:eastAsia="仿宋_GB2312"/>
                <w:sz w:val="20"/>
              </w:rPr>
              <w:t>供应商须具备完成本项目全部竣工结算审计工作的专业能力、人员配置、技术条件和服务保障能力，严格按照国家、省、市现行工程计价、审计管理及政府采购相关法律法规、行业规范、政策性文件开展审计工作。服务全过程须坚持独立、客观、公正、保密原则，确保审计成果真实、准确、完整、可追溯，全面满足本项目工程竣工结算审核、风险排查、档案归档、上级复核及后续整改支撑等全部工作要求，不得转包、分包、挂靠本项目服务工作。</w:t>
            </w:r>
          </w:p>
          <w:p>
            <w:pPr>
              <w:pStyle w:val="null3"/>
              <w:ind w:firstLine="400"/>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1.审查资料完整性：核查项目是否有立项批复、可研、招投标文件、施工合同、补充协议、施工图纸、竣工图、设计变更、现场签证、隐蔽工程验收记录、材料认价单、竣工结算书、工程量清单、竣工验收报告、工程款支付台账等。核查资料完整性、签章合规性、前后资料一致性，形成资料缺失、手续违规问题清单。</w:t>
            </w:r>
          </w:p>
          <w:p>
            <w:pPr>
              <w:pStyle w:val="null3"/>
              <w:ind w:firstLine="400"/>
              <w:jc w:val="both"/>
            </w:pPr>
            <w:r>
              <w:rPr>
                <w:rFonts w:ascii="仿宋_GB2312" w:hAnsi="仿宋_GB2312" w:cs="仿宋_GB2312" w:eastAsia="仿宋_GB2312"/>
                <w:sz w:val="20"/>
              </w:rPr>
              <w:t>2.审查项目全流程建设程序：核查招投标范围、合同签订、工程变更审批、签证流程、竣工验收程序是否符合陕西省、渭南市财政投资项目管理规定，排查规避招标、先施工后补手续、违规无批复变更等问题。</w:t>
            </w:r>
          </w:p>
          <w:p>
            <w:pPr>
              <w:pStyle w:val="null3"/>
              <w:ind w:firstLine="400"/>
              <w:jc w:val="both"/>
            </w:pPr>
            <w:r>
              <w:rPr>
                <w:rFonts w:ascii="仿宋_GB2312" w:hAnsi="仿宋_GB2312" w:cs="仿宋_GB2312" w:eastAsia="仿宋_GB2312"/>
                <w:sz w:val="20"/>
              </w:rPr>
              <w:t>3.审查合同履约情况：对照合同，审核范围、计价模式、工期、质量、取费、违约责任等履约情况，核查超合同范围施工、不合理索赔、重复约定计费条款等问题。</w:t>
            </w:r>
          </w:p>
          <w:p>
            <w:pPr>
              <w:pStyle w:val="null3"/>
              <w:ind w:firstLine="400"/>
              <w:jc w:val="both"/>
            </w:pPr>
            <w:r>
              <w:rPr>
                <w:rFonts w:ascii="仿宋_GB2312" w:hAnsi="仿宋_GB2312" w:cs="仿宋_GB2312" w:eastAsia="仿宋_GB2312"/>
                <w:sz w:val="20"/>
              </w:rPr>
              <w:t>4.审核有关内部控制制度建立和执行情况。</w:t>
            </w:r>
          </w:p>
          <w:p>
            <w:pPr>
              <w:pStyle w:val="null3"/>
              <w:ind w:firstLine="400"/>
              <w:jc w:val="both"/>
            </w:pPr>
            <w:r>
              <w:rPr>
                <w:rFonts w:ascii="仿宋_GB2312" w:hAnsi="仿宋_GB2312" w:cs="仿宋_GB2312" w:eastAsia="仿宋_GB2312"/>
                <w:sz w:val="20"/>
              </w:rPr>
              <w:t>5.审核建设项目经济性审计，包括项目立项、招标投标、设计、施工、监理等环节的资金、投入和工程造价控制等情况。</w:t>
            </w:r>
          </w:p>
          <w:p>
            <w:pPr>
              <w:pStyle w:val="null3"/>
              <w:ind w:firstLine="400"/>
              <w:jc w:val="both"/>
            </w:pPr>
            <w:r>
              <w:rPr>
                <w:rFonts w:ascii="仿宋_GB2312" w:hAnsi="仿宋_GB2312" w:cs="仿宋_GB2312" w:eastAsia="仿宋_GB2312"/>
                <w:sz w:val="20"/>
              </w:rPr>
              <w:t>6.审核建设项目效率性审计，包括项目立项、招标投标、设计、施工、监理等环节的管理措施、组织结构、资金利用及其执行等情况。</w:t>
            </w:r>
          </w:p>
          <w:p>
            <w:pPr>
              <w:pStyle w:val="null3"/>
              <w:ind w:firstLine="400"/>
              <w:jc w:val="both"/>
            </w:pPr>
            <w:r>
              <w:rPr>
                <w:rFonts w:ascii="仿宋_GB2312" w:hAnsi="仿宋_GB2312" w:cs="仿宋_GB2312" w:eastAsia="仿宋_GB2312"/>
                <w:sz w:val="20"/>
              </w:rPr>
              <w:t>7.供应商应具有独立承担民事责任的能力，具备类似项目审计经验，信誉良好，无不良记录。</w:t>
            </w:r>
          </w:p>
          <w:p>
            <w:pPr>
              <w:pStyle w:val="null3"/>
              <w:ind w:firstLine="400"/>
              <w:jc w:val="both"/>
            </w:pPr>
            <w:r>
              <w:rPr>
                <w:rFonts w:ascii="仿宋_GB2312" w:hAnsi="仿宋_GB2312" w:cs="仿宋_GB2312" w:eastAsia="仿宋_GB2312"/>
                <w:sz w:val="20"/>
              </w:rPr>
              <w:t>8.配合审计局完成项目过程中其他审计事项。</w:t>
            </w:r>
          </w:p>
          <w:p>
            <w:pPr>
              <w:pStyle w:val="null3"/>
              <w:ind w:firstLine="400"/>
              <w:jc w:val="both"/>
            </w:pPr>
            <w:r>
              <w:rPr>
                <w:rFonts w:ascii="仿宋_GB2312" w:hAnsi="仿宋_GB2312" w:cs="仿宋_GB2312" w:eastAsia="仿宋_GB2312"/>
                <w:sz w:val="20"/>
              </w:rPr>
              <w:t>9.出具审计成果文件。</w:t>
            </w:r>
          </w:p>
          <w:p>
            <w:pPr>
              <w:pStyle w:val="null3"/>
              <w:ind w:firstLine="400"/>
              <w:jc w:val="both"/>
            </w:pPr>
            <w:r>
              <w:rPr>
                <w:rFonts w:ascii="仿宋_GB2312" w:hAnsi="仿宋_GB2312" w:cs="仿宋_GB2312" w:eastAsia="仿宋_GB2312"/>
                <w:sz w:val="20"/>
              </w:rPr>
              <w:t>三、费用构成</w:t>
            </w:r>
          </w:p>
          <w:p>
            <w:pPr>
              <w:pStyle w:val="null3"/>
              <w:ind w:firstLine="400"/>
              <w:jc w:val="both"/>
            </w:pPr>
            <w:r>
              <w:rPr>
                <w:rFonts w:ascii="仿宋_GB2312" w:hAnsi="仿宋_GB2312" w:cs="仿宋_GB2312" w:eastAsia="仿宋_GB2312"/>
                <w:sz w:val="20"/>
              </w:rPr>
              <w:t>本项目审计服务结算总费用最高限价935.00万元（含税）。审计费用由基本审计费与审减效益费两部分组成：基本审计费固定165万元（含税）；审减效益费=中标费率×项目净审减金额；两项费用合计结算总额不得突破935.00万元限价，超出部分采购人不予支付。</w:t>
            </w:r>
          </w:p>
          <w:p>
            <w:pPr>
              <w:pStyle w:val="null3"/>
              <w:ind w:firstLine="400"/>
              <w:jc w:val="both"/>
            </w:pPr>
            <w:r>
              <w:rPr>
                <w:rFonts w:ascii="仿宋_GB2312" w:hAnsi="仿宋_GB2312" w:cs="仿宋_GB2312" w:eastAsia="仿宋_GB2312"/>
                <w:sz w:val="20"/>
              </w:rPr>
              <w:t>投标人所填报审减效益费率不得高于3%，申报费率高于3%的，投标无效。</w:t>
            </w:r>
          </w:p>
          <w:p>
            <w:pPr>
              <w:pStyle w:val="null3"/>
            </w:pPr>
            <w:r>
              <w:rPr>
                <w:rFonts w:ascii="仿宋_GB2312" w:hAnsi="仿宋_GB2312" w:cs="仿宋_GB2312" w:eastAsia="仿宋_GB2312"/>
                <w:sz w:val="20"/>
              </w:rPr>
              <w:t>本服务费为全费用包干（包含人员薪酬、差旅费、现场勘查、多级复核、成果报告编制、资料整理、税费、保密管理、后续答疑等）完成本项目全部审计服务的所有成本，采购人不另行支付任何费用。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投标人领取通知书时提供纸质文件2份，纸质版文件须是电子化交易平台系统生成的投标文件。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自合同签订之日起90天内完成项目竣工结算审计并出具审计报告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进度款，项目结算审计初稿编制完成并提交采购人，经采购人审核确认后支付基本审计费，达到付款条件起30个工作日内，支付合同总金额的18.0%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进度款，完成与项目总承包方核对工作，形成核对记录，经采购人审核确认后支付审减效益费的50%，达到付款条件起30个工作日内，支付合同总金额的41.0%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进度款，待项目出具正式报告并将资料正式移交委托方后30天内一次性支付剩余审计服务费用，达到付款条件起30个工作日内，支付合同总金额的41.0%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1、供应商报价不允许超过最高限价。 2、开标一览表及标的清单表为系统自带，因本项目报价不适用，表内无需填写，满足上传要求即可。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2025年度的财务审计报告（成立时间至提交响应文件截止时间不足一年的可提供成立后任意时段的资产负债表）或投标前六个月内其基本账户银行出具的资信证明（附开户许可证或开户备案证明）；(注:依据财政部、国务院国资委、金融监管总局印发&lt;&lt;关于加强审计报告查验工作的通知&gt;&gt;(财会〔2023〕15号)审计报告须在注册会计师行业统一监管平台备案并赋予二维码。)或政府采购信用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项目负责人须具备国家注册一级造价工程师资格，且在本单位注册。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2025年度的财务审计报告（成立时间至提交响应文件截止时间不足一年的可提供成立后任意时段的资产负债表）或投标前六个月内其基本账户银行出具的资信证明（附开户许可证或开户备案证明）；(注:依据财政部、国务院国资委、金融监管总局印发&lt;&lt;关于加强审计报告查验工作的通知&gt;&gt;(财会〔2023〕15号)审计报告须在注册会计师行业统一监管平台备案并赋予二维码。)或政府采购信用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具有履行本合同所必需的设备和专业技术能力；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人或代理机构根据《关于在政府采购活动中查询及使用信用记录有关问题的通知》（财库〔2016〕125号）的要求，通过“信用中国”网站（www.creditchina.gov.cn）、“中国政府采购网”网站（www.ccgp.gov.cn）等渠道， 查询供应商在响应文件提交截止时间前的信用记录并保存信用记录结果网页截图，拒绝列入失信被执行人名单、重大税收违法失信主体、政府采购严重违法失信行为记录名单中的供应商参加本项目的采购活动；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供应商应提供《非联合体投标声明》，视为独立投标。</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开标一览表 中小企业声明函 服务内容及服务要求应答表 合同文本.docx 投标函 残疾人福利性单位声明函 业绩证明材料.docx.docx 服务方案 标的清单 投标文件封面 资格证明材料.docx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完全理解并接受文件合同条款的要求</w:t>
            </w:r>
          </w:p>
        </w:tc>
        <w:tc>
          <w:tcPr>
            <w:tcW w:type="dxa" w:w="1661"/>
          </w:tcPr>
          <w:p>
            <w:pPr>
              <w:pStyle w:val="null3"/>
            </w:pPr>
            <w:r>
              <w:rPr>
                <w:rFonts w:ascii="仿宋_GB2312" w:hAnsi="仿宋_GB2312" w:cs="仿宋_GB2312" w:eastAsia="仿宋_GB2312"/>
              </w:rPr>
              <w:t>合同文本.docx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针对本项目详细列出审计服务总体方案，内容包括：①审计服务总体设想；②审计方法、程序、步骤及工作进度；③重难点分析与解决措施。 二、评审标准 1、完整性：方案必须全面，对评审内容中的各项要求有详细描述； 2、可实施性：切合本项目实际情况，实施步骤清晰、合理； 3、针对性：方案能够紧扣项目实际情况，内容科学合理。 三、赋分标准（满分9分） ①审计服务总体设想：每完全满足一个评审标准得1分，满分3分；②审计方法、程序、步骤及工作进度：每完全满足一个评审标准得1分，满分3分；③重难点分析与解决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针对本项目提出质量保障措施方案，内容包括：①质量控制方案；②成果质量保证措施。 二、评审标准 1、完整性：方案必须全面，对评审内容中的各项要求有详细描述； 2、可实施性：切合本项目实际情况，实施步骤清晰、合理； 3、针对性：方案能够紧扣项目实际情况，内容科学合理。 三、赋分标准（满分6分） ①质量控制方案：每完全满足一个评审标准得1分，满分3分；②成果质量保证措施：每完全满足一个评审标准得1分，满分3分；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风险控制及应急处置方案</w:t>
            </w:r>
          </w:p>
        </w:tc>
        <w:tc>
          <w:tcPr>
            <w:tcW w:type="dxa" w:w="2492"/>
          </w:tcPr>
          <w:p>
            <w:pPr>
              <w:pStyle w:val="null3"/>
            </w:pPr>
            <w:r>
              <w:rPr>
                <w:rFonts w:ascii="仿宋_GB2312" w:hAnsi="仿宋_GB2312" w:cs="仿宋_GB2312" w:eastAsia="仿宋_GB2312"/>
              </w:rPr>
              <w:t>一、评审内容 针对本项目提出风险控制及反馈机制方案，内容包括：①风险防控制度及防范措施；②突发事件处理及补救措施。 二、评审标准 1、完整性：方案必须全面，对评审内容中的各项要求有详细描述； 2、可实施性：切合本项目实际情况，实施步骤清晰、合理； 3、针对性：方案能够紧扣项目实际情况，内容科学合理。 三、赋分标准（满分6分） ①风险防控制度及防范措施：每完全满足一个评审标准得1分，满分3分；②突发事件处理及补救措施：每完全满足一个评审标准得1分，满分3分。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机构建设和管理制度</w:t>
            </w:r>
          </w:p>
        </w:tc>
        <w:tc>
          <w:tcPr>
            <w:tcW w:type="dxa" w:w="2492"/>
          </w:tcPr>
          <w:p>
            <w:pPr>
              <w:pStyle w:val="null3"/>
            </w:pPr>
            <w:r>
              <w:rPr>
                <w:rFonts w:ascii="仿宋_GB2312" w:hAnsi="仿宋_GB2312" w:cs="仿宋_GB2312" w:eastAsia="仿宋_GB2312"/>
              </w:rPr>
              <w:t>一、评审内容 针对本项目详细列出机构建设和管理制度，内容包括：①组织机构运行配备方案；②审计组织分工与配合；③管理制度（包含但不限于岗位制度、内控制度、人员管理制度等） 二、评审标准 1、完整性：方案必须全面，对评审内容中的各项要求有详细描述； 2、可实施性：切合本项目实际情况，实施步骤清晰、合理； 3、针对性：方案能够紧扣项目实际情况，内容科学合理。 三、赋分标准（满分9分） ①组织机构运行配备方案：每完全满足一个评审标准得1分，满分3分；②审计组织分工与配合：每完全满足一个评审标准得1分，满分3分；③管理制度（包含但不限于岗位制度、内控制度、人员管理制度等）：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针对本项目提出档案管理方案，内容包括：①档案资料的收集及分类；②档案资料的保存及移交。 二、评审标准 1、完整性：方案必须全面，对评审内容中的各项要求有详细描述； 2、可实施性：切合本项目实际情况，实施步骤清晰、合理； 3、针对性：方案能够紧扣项目实际情况，内容科学合理。 三、赋分标准（满分3分） ①档案资料的收集及分类：每完全满足一个评审标准得0.5分，满分1.5分；②档案资料的保存及移交：每完全满足一个评审标准得0.5分，满分1.5分。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廉洁及保密措施</w:t>
            </w:r>
          </w:p>
        </w:tc>
        <w:tc>
          <w:tcPr>
            <w:tcW w:type="dxa" w:w="2492"/>
          </w:tcPr>
          <w:p>
            <w:pPr>
              <w:pStyle w:val="null3"/>
            </w:pPr>
            <w:r>
              <w:rPr>
                <w:rFonts w:ascii="仿宋_GB2312" w:hAnsi="仿宋_GB2312" w:cs="仿宋_GB2312" w:eastAsia="仿宋_GB2312"/>
              </w:rPr>
              <w:t>一、评审内容 针对本项目提出廉洁及保密措施，内容包括：①廉洁从业风险防控措施；②保密制度及方法。 二、评审标准 1、完整性：方案必须全面，对评审内容中的各项要求有详细描述； 2、可实施性：切合本项目实际情况，实施步骤清晰、合理； 3、针对性：方案能够紧扣项目实际情况，内容科学合理。 三、赋分标准（满分3分） ①廉洁从业风险防控措施：每完全满足一个评审标准得0.5分，满分1.5分；②保密制度及方法：每完全满足一个评审标准得0.5分，满分1.5分。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项目负责人(满分9分)： 1、业绩（9分）：近三年（2023年1月1日至今）内以项目负责人身份完成过竣工结算审核项目，每提供1份体现负责人的合同业绩，得3分，最高9分；需提供证书、社保证明材料。 评审依据：须提供合同（或协议书）及审核报告，审核报告内容至少包含项目名称、审核内容、审核结果、审核人员签章等，未提供或不满足要求或所提供的资料模糊不清的不得分。供应商拟投入项目负责人须为供应商在职人员出具社保经办机构的参保缴费证明、一级造价工程师注册证书。项目负责人业绩不得与企业业绩重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团队其他人员</w:t>
            </w:r>
          </w:p>
        </w:tc>
        <w:tc>
          <w:tcPr>
            <w:tcW w:type="dxa" w:w="2492"/>
          </w:tcPr>
          <w:p>
            <w:pPr>
              <w:pStyle w:val="null3"/>
            </w:pPr>
            <w:r>
              <w:rPr>
                <w:rFonts w:ascii="仿宋_GB2312" w:hAnsi="仿宋_GB2312" w:cs="仿宋_GB2312" w:eastAsia="仿宋_GB2312"/>
              </w:rPr>
              <w:t>服务团队(满分24分)： 1、每配置1名土建专业一级注册造价工程师，得4分；2、每配置1名安装专业一级注册造价工程师，得4分；3、每配置1名水利专业一级注册造价工程师，得4分；4、每配置1名其他专业一级注册造价工程师，得4分；5、配备1名持证专职复核人员得4分，满分8分。本项合计最高24分。以上投入人员为除项目负责人外的人员。 评审要点： 供应商拟投入服务团队相关人员须为供应商在职人员；供应商须提供投入服务团队相关人员的一级或二级造价工程师注册证书，提供2025年7月1日至今任意一个月社保经办机构出具的参保缴费证明。未提供相关资料或资料不齐全或所提供的资料模糊不清或相关资料无效的不得分；同一人员不累计得分，以高分值项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供应商提供自2023年1月1日至今（以成果文件时间为准）的竣工结算审核业绩，同时附合同+审核成果文件，每提供1份合格业绩得4分，本项满分16分，超出不再累加。 评审依据：提供合同（或委托协议）和审核成果文件复印件加盖公章作为评审依据。合同（或委托协议）和审核成果文件至少提供封面和关键页,资料缺失则不予计分。同一项目拆分多份委托合同只算作一份业绩。联合体业绩、无母子公司隶属证明的公司签约业绩，不计入投标人自有业绩。仅单独编制清单、招标限价，无结算审核或全过程跟踪内容的简易型业务不计入计分业绩。企业业绩不得与项目负责人重复。</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详见附件：业绩证明材料.docx.docx</w:t>
      </w:r>
    </w:p>
    <w:p>
      <w:pPr>
        <w:pStyle w:val="null3"/>
        <w:ind w:firstLine="960"/>
      </w:pPr>
      <w:r>
        <w:rPr>
          <w:rFonts w:ascii="仿宋_GB2312" w:hAnsi="仿宋_GB2312" w:cs="仿宋_GB2312" w:eastAsia="仿宋_GB2312"/>
        </w:rPr>
        <w:t>详见附件：报价表.docx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