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版本号：BY2026-CS-10520260626001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陕西省宝鸡峡引渭灌区现代化改造项目东干四支渠应急改造工程监理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BY2026-CS-105</w:t>
      </w:r>
      <w:r>
        <w:br/>
      </w:r>
      <w:r>
        <w:br/>
      </w:r>
      <w:r>
        <w:br/>
      </w:r>
    </w:p>
    <w:p>
      <w:pPr>
        <w:pStyle w:val="null3"/>
        <w:jc w:val="center"/>
        <w:outlineLvl w:val="2"/>
      </w:pPr>
      <w:r>
        <w:rPr>
          <w:rFonts w:ascii="仿宋_GB2312" w:hAnsi="仿宋_GB2312" w:cs="仿宋_GB2312" w:eastAsia="仿宋_GB2312"/>
          <w:sz w:val="28"/>
          <w:b/>
        </w:rPr>
        <w:t>陕西省宝鸡峡引渭灌溉管理局</w:t>
      </w:r>
    </w:p>
    <w:p>
      <w:pPr>
        <w:pStyle w:val="null3"/>
        <w:jc w:val="center"/>
        <w:outlineLvl w:val="2"/>
      </w:pPr>
      <w:r>
        <w:rPr>
          <w:rFonts w:ascii="仿宋_GB2312" w:hAnsi="仿宋_GB2312" w:cs="仿宋_GB2312" w:eastAsia="仿宋_GB2312"/>
          <w:sz w:val="28"/>
          <w:b/>
        </w:rPr>
        <w:t>陕西博源招标服务有限公司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陕西博源招标服务有限公司</w:t>
      </w:r>
      <w:r>
        <w:rPr>
          <w:rFonts w:ascii="仿宋_GB2312" w:hAnsi="仿宋_GB2312" w:cs="仿宋_GB2312" w:eastAsia="仿宋_GB2312"/>
        </w:rPr>
        <w:t>（以下简称“代理机构”）受</w:t>
      </w:r>
      <w:r>
        <w:rPr>
          <w:rFonts w:ascii="仿宋_GB2312" w:hAnsi="仿宋_GB2312" w:cs="仿宋_GB2312" w:eastAsia="仿宋_GB2312"/>
        </w:rPr>
        <w:t>陕西省宝鸡峡引渭灌溉管理局</w:t>
      </w:r>
      <w:r>
        <w:rPr>
          <w:rFonts w:ascii="仿宋_GB2312" w:hAnsi="仿宋_GB2312" w:cs="仿宋_GB2312" w:eastAsia="仿宋_GB2312"/>
        </w:rPr>
        <w:t>委托，拟对</w:t>
      </w:r>
      <w:r>
        <w:rPr>
          <w:rFonts w:ascii="仿宋_GB2312" w:hAnsi="仿宋_GB2312" w:cs="仿宋_GB2312" w:eastAsia="仿宋_GB2312"/>
        </w:rPr>
        <w:t>陕西省宝鸡峡引渭灌区现代化改造项目东干四支渠应急改造工程监理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BY2026-CS-105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陕西省宝鸡峡引渭灌区现代化改造项目东干四支渠应急改造工程监理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陕西省宝鸡峡引渭灌区现代化改造项目东干四支渠应急改造工程施工期建设监理。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采购包1（陕西省宝鸡峡引渭灌区现代化改造项目东干四支渠应急改造工程监理）：属于专门面向中小企业采购。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1、法定代表人证明或法定代表人授权书：法定代表人直接参加磋商的提供法定代表人证明及其身份证；授权代表参与磋商的提供法定代表人授权书（附法定代表人及授权代表身份证）；非法人单位参照执行。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2、企业资质：供应商具有水利工程施工监理乙级（含乙级）以上资质。</w:t>
      </w:r>
    </w:p>
    <w:p>
      <w:pPr>
        <w:pStyle w:val="null3"/>
      </w:pPr>
      <w:r>
        <w:rPr>
          <w:rFonts w:ascii="仿宋_GB2312" w:hAnsi="仿宋_GB2312" w:cs="仿宋_GB2312" w:eastAsia="仿宋_GB2312"/>
        </w:rPr>
        <w:t>3、总监理工程师资格要求：拟派总监理工程师具备水利工程施工监理工程师注册证书，在本单位注册且无在监项目。</w:t>
      </w:r>
    </w:p>
    <w:p>
      <w:pPr>
        <w:pStyle w:val="null3"/>
      </w:pPr>
      <w:r>
        <w:rPr>
          <w:rFonts w:ascii="仿宋_GB2312" w:hAnsi="仿宋_GB2312" w:cs="仿宋_GB2312" w:eastAsia="仿宋_GB2312"/>
        </w:rPr>
        <w:t>4、失信行为查询：未被列入“信用中国”及“中国政府采购网”失信行为记录。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陕西省宝鸡峡引渭灌溉管理局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咸阳市联盟三路付7号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029-33158034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陕西博源招标服务有限公司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西安市碑林区环城南路西段45号时代诺利达B区6楼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来妮子、张栋栋、王洛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：029-68610892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开户名称：陕西博源招标服务有限公司</w:t>
            </w:r>
          </w:p>
          <w:p>
            <w:pPr>
              <w:pStyle w:val="null3"/>
            </w:pPr>
            <w:r>
              <w:rPr>
                <w:rFonts w:ascii="仿宋_GB2312" w:hAnsi="仿宋_GB2312" w:cs="仿宋_GB2312" w:eastAsia="仿宋_GB2312"/>
              </w:rPr>
              <w:t>开户银行：中国银行西安莲湖区支行营业部（联行号：104791005103）</w:t>
            </w:r>
          </w:p>
          <w:p>
            <w:pPr>
              <w:pStyle w:val="null3"/>
            </w:pPr>
            <w:r>
              <w:rPr>
                <w:rFonts w:ascii="仿宋_GB2312" w:hAnsi="仿宋_GB2312" w:cs="仿宋_GB2312" w:eastAsia="仿宋_GB2312"/>
              </w:rPr>
              <w:t>银行账号：103316877767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国家发展和改革委员会办公厅关于招标代理服务收费有关问题的通知》（发改办价格〔2003〕857号）及（发改办价格〔2011〕534号）规定，定额收取人民币陆仟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陕西省宝鸡峡引渭灌溉管理局</w:t>
      </w:r>
      <w:r>
        <w:rPr>
          <w:rFonts w:ascii="仿宋_GB2312" w:hAnsi="仿宋_GB2312" w:cs="仿宋_GB2312" w:eastAsia="仿宋_GB2312"/>
        </w:rPr>
        <w:t>和</w:t>
      </w:r>
      <w:r>
        <w:rPr>
          <w:rFonts w:ascii="仿宋_GB2312" w:hAnsi="仿宋_GB2312" w:cs="仿宋_GB2312" w:eastAsia="仿宋_GB2312"/>
        </w:rPr>
        <w:t>陕西博源招标服务有限公司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陕西省宝鸡峡引渭灌溉管理局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陕西博源招标服务有限公司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陕西省宝鸡峡引渭灌溉管理局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陕西博源招标服务有限公司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1.服务结束后，成交人向采购人提交验收申请。 2.采购人收到验收申请后，项目法人组织验收，验收时成交人应无条件予以配合并提供验收所需的全部资料，若成交人不配合或者未按合同要求提供服务的，采购人将拒绝验收。 3.验收程序：分阶段验收。 4.验收依据：磋商文件、响应文件、合同文本、《水利工程施工监理规范》（SL288-2014）和《水利水电建设工程验收规程》（SL/T223-2025）等有关标准、规范。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陕西博源招标服务有限公司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陕西博源招标服务有限公司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陕西博源招标服务有限公司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联系人：来妮子</w:t>
      </w:r>
    </w:p>
    <w:p>
      <w:pPr>
        <w:pStyle w:val="null3"/>
      </w:pPr>
      <w:r>
        <w:rPr>
          <w:rFonts w:ascii="仿宋_GB2312" w:hAnsi="仿宋_GB2312" w:cs="仿宋_GB2312" w:eastAsia="仿宋_GB2312"/>
        </w:rPr>
        <w:t>联系电话：029-68610892</w:t>
      </w:r>
    </w:p>
    <w:p>
      <w:pPr>
        <w:pStyle w:val="null3"/>
      </w:pPr>
      <w:r>
        <w:rPr>
          <w:rFonts w:ascii="仿宋_GB2312" w:hAnsi="仿宋_GB2312" w:cs="仿宋_GB2312" w:eastAsia="仿宋_GB2312"/>
        </w:rPr>
        <w:t>地址：西安市碑林区环城南路西段45号时代诺利达B区6楼</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陕西省宝鸡峡引渭灌区现代化改造项目东干四支渠应急改造工程施工期建设监理。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陕西省宝鸡峡引渭灌区现代化改造项目东干四支渠应急改造工程监理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标的名称：陕西省宝鸡峡引渭灌区现代化改造项目东干四支渠应急改造工程监理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工程概况</w:t>
            </w:r>
          </w:p>
          <w:p>
            <w:pPr>
              <w:pStyle w:val="null3"/>
              <w:ind w:firstLine="400"/>
            </w:pPr>
            <w:r>
              <w:rPr>
                <w:rFonts w:ascii="仿宋_GB2312" w:hAnsi="仿宋_GB2312" w:cs="仿宋_GB2312" w:eastAsia="仿宋_GB2312"/>
              </w:rPr>
              <w:t>工程名称：陕西省宝鸡峡引渭灌区现代化改造项目东干四支渠应急改造工程。</w:t>
            </w:r>
          </w:p>
          <w:p>
            <w:pPr>
              <w:pStyle w:val="null3"/>
              <w:ind w:firstLine="400"/>
            </w:pPr>
            <w:r>
              <w:rPr>
                <w:rFonts w:ascii="仿宋_GB2312" w:hAnsi="仿宋_GB2312" w:cs="仿宋_GB2312" w:eastAsia="仿宋_GB2312"/>
              </w:rPr>
              <w:t>主要建设内容：改造渠道</w:t>
            </w:r>
            <w:r>
              <w:rPr>
                <w:rFonts w:ascii="仿宋_GB2312" w:hAnsi="仿宋_GB2312" w:cs="仿宋_GB2312" w:eastAsia="仿宋_GB2312"/>
              </w:rPr>
              <w:t>2.335km（0+000～2+335），改造建筑物11座；改造渠堤巡查道路3.202km；安设防护栏单面长4.67km，安全警示牌30个。</w:t>
            </w:r>
          </w:p>
          <w:p>
            <w:pPr>
              <w:pStyle w:val="null3"/>
            </w:pPr>
            <w:r>
              <w:rPr>
                <w:rFonts w:ascii="仿宋_GB2312" w:hAnsi="仿宋_GB2312" w:cs="仿宋_GB2312" w:eastAsia="仿宋_GB2312"/>
              </w:rPr>
              <w:t>二、服务范围</w:t>
            </w:r>
          </w:p>
          <w:p>
            <w:pPr>
              <w:pStyle w:val="null3"/>
              <w:ind w:firstLine="400"/>
            </w:pPr>
            <w:r>
              <w:rPr>
                <w:rFonts w:ascii="仿宋_GB2312" w:hAnsi="仿宋_GB2312" w:cs="仿宋_GB2312" w:eastAsia="仿宋_GB2312"/>
              </w:rPr>
              <w:t>监理标工作内容包括陕西省宝鸡峡引渭灌区现代化改造项目东干四支渠应急改造工程施工期建设监理</w:t>
            </w:r>
            <w:r>
              <w:rPr>
                <w:rFonts w:ascii="仿宋_GB2312" w:hAnsi="仿宋_GB2312" w:cs="仿宋_GB2312" w:eastAsia="仿宋_GB2312"/>
              </w:rPr>
              <w:t>。</w:t>
            </w:r>
          </w:p>
          <w:p>
            <w:pPr>
              <w:pStyle w:val="null3"/>
            </w:pPr>
            <w:r>
              <w:rPr>
                <w:rFonts w:ascii="仿宋_GB2312" w:hAnsi="仿宋_GB2312" w:cs="仿宋_GB2312" w:eastAsia="仿宋_GB2312"/>
              </w:rPr>
              <w:t>三、服务要求</w:t>
            </w:r>
            <w:r>
              <w:rPr>
                <w:rFonts w:ascii="仿宋_GB2312" w:hAnsi="仿宋_GB2312" w:cs="仿宋_GB2312" w:eastAsia="仿宋_GB2312"/>
              </w:rPr>
              <w:t>：</w:t>
            </w:r>
          </w:p>
          <w:p>
            <w:pPr>
              <w:pStyle w:val="null3"/>
              <w:ind w:firstLine="400"/>
            </w:pPr>
            <w:r>
              <w:rPr>
                <w:rFonts w:ascii="仿宋_GB2312" w:hAnsi="仿宋_GB2312" w:cs="仿宋_GB2312" w:eastAsia="仿宋_GB2312"/>
              </w:rPr>
              <w:t>按照水利工程监理招标文件范本通用合同条款执行。本合同监理服务主要内容包括：</w:t>
            </w:r>
          </w:p>
          <w:p>
            <w:pPr>
              <w:pStyle w:val="null3"/>
              <w:ind w:firstLine="400"/>
            </w:pPr>
            <w:r>
              <w:rPr>
                <w:rFonts w:ascii="仿宋_GB2312" w:hAnsi="仿宋_GB2312" w:cs="仿宋_GB2312" w:eastAsia="仿宋_GB2312"/>
              </w:rPr>
              <w:t>1、设计方面：</w:t>
            </w:r>
          </w:p>
          <w:p>
            <w:pPr>
              <w:pStyle w:val="null3"/>
              <w:ind w:firstLine="400"/>
            </w:pPr>
            <w:r>
              <w:rPr>
                <w:rFonts w:ascii="仿宋_GB2312" w:hAnsi="仿宋_GB2312" w:cs="仿宋_GB2312" w:eastAsia="仿宋_GB2312"/>
              </w:rPr>
              <w:t>⑴核查并签发施工图，发现问题向委托人反映，重大问题向委托人做专题报告。</w:t>
            </w:r>
          </w:p>
          <w:p>
            <w:pPr>
              <w:pStyle w:val="null3"/>
              <w:ind w:firstLine="400"/>
            </w:pPr>
            <w:r>
              <w:rPr>
                <w:rFonts w:ascii="仿宋_GB2312" w:hAnsi="仿宋_GB2312" w:cs="仿宋_GB2312" w:eastAsia="仿宋_GB2312"/>
              </w:rPr>
              <w:t>⑵主持或与委托人联合主持设计技术交底会议，编写会议纪要。</w:t>
            </w:r>
          </w:p>
          <w:p>
            <w:pPr>
              <w:pStyle w:val="null3"/>
              <w:ind w:firstLine="400"/>
            </w:pPr>
            <w:r>
              <w:rPr>
                <w:rFonts w:ascii="仿宋_GB2312" w:hAnsi="仿宋_GB2312" w:cs="仿宋_GB2312" w:eastAsia="仿宋_GB2312"/>
              </w:rPr>
              <w:t>⑶协助委托人会同设计人对重大技术问题和优化设计进行专题讨论。</w:t>
            </w:r>
          </w:p>
          <w:p>
            <w:pPr>
              <w:pStyle w:val="null3"/>
              <w:ind w:firstLine="400"/>
            </w:pPr>
            <w:r>
              <w:rPr>
                <w:rFonts w:ascii="仿宋_GB2312" w:hAnsi="仿宋_GB2312" w:cs="仿宋_GB2312" w:eastAsia="仿宋_GB2312"/>
              </w:rPr>
              <w:t>⑷审核承包人对施工图的意见和建议，协助委托人会同设计人进行研究；</w:t>
            </w:r>
          </w:p>
          <w:p>
            <w:pPr>
              <w:pStyle w:val="null3"/>
              <w:ind w:firstLine="400"/>
            </w:pPr>
            <w:r>
              <w:rPr>
                <w:rFonts w:ascii="仿宋_GB2312" w:hAnsi="仿宋_GB2312" w:cs="仿宋_GB2312" w:eastAsia="仿宋_GB2312"/>
              </w:rPr>
              <w:t>2、施工方面：</w:t>
            </w:r>
          </w:p>
          <w:p>
            <w:pPr>
              <w:pStyle w:val="null3"/>
              <w:ind w:firstLine="400"/>
            </w:pPr>
            <w:r>
              <w:rPr>
                <w:rFonts w:ascii="仿宋_GB2312" w:hAnsi="仿宋_GB2312" w:cs="仿宋_GB2312" w:eastAsia="仿宋_GB2312"/>
              </w:rPr>
              <w:t>⑴全面管理工程施工合同，审查承包人选择的分包单位，并报委托人批准；督促委托人按工程施工合同的约定，落实必须提供的施工条件；检查承包人的开工准备工作；审核按工程施工合同文件约定应由承包人提交的设计文件；审查承包人提交的施工组织设计、施工进度计划、施工措施计划；审核工艺试验成果等。</w:t>
            </w:r>
          </w:p>
          <w:p>
            <w:pPr>
              <w:pStyle w:val="null3"/>
              <w:ind w:firstLine="400"/>
            </w:pPr>
            <w:r>
              <w:rPr>
                <w:rFonts w:ascii="仿宋_GB2312" w:hAnsi="仿宋_GB2312" w:cs="仿宋_GB2312" w:eastAsia="仿宋_GB2312"/>
              </w:rPr>
              <w:t>⑵工程进度控制。协助委托人编制控制性总进度计划，审批承包人编制的进度计划；检查实施情况，督促承包人采取措施，实现合同工期目标。当实施进度发生较大偏差时，要求承包人调整进度计划；向委托人提出调整控制性进度计划的建议意见。</w:t>
            </w:r>
          </w:p>
          <w:p>
            <w:pPr>
              <w:pStyle w:val="null3"/>
              <w:ind w:firstLine="400"/>
            </w:pPr>
            <w:r>
              <w:rPr>
                <w:rFonts w:ascii="仿宋_GB2312" w:hAnsi="仿宋_GB2312" w:cs="仿宋_GB2312" w:eastAsia="仿宋_GB2312"/>
              </w:rPr>
              <w:t>⑶施工质量控制。审查承包人的质量保证体系和措施；审查承包人的实验室条件；依据工程施工合同文件、设计文件、技术标准，对施工全过程进行检查，对重要部位、关键工序进行旁站监理；按照有关规定，对承包人进场的工程设备、建筑材料、建筑构配件、中间产品进行跟踪检测和平行检测，复核承包人自评的工程质量等级；审核承包人提出的工程质量缺陷处理方案，参与调查质量事故。</w:t>
            </w:r>
          </w:p>
          <w:p>
            <w:pPr>
              <w:pStyle w:val="null3"/>
              <w:ind w:firstLine="400"/>
            </w:pPr>
            <w:r>
              <w:rPr>
                <w:rFonts w:ascii="仿宋_GB2312" w:hAnsi="仿宋_GB2312" w:cs="仿宋_GB2312" w:eastAsia="仿宋_GB2312"/>
              </w:rPr>
              <w:t>⑷资金控制。协助委托人编制付款计划；审查承包人提交的资金流计划：核定承包人完成的工程量，审核承包人提交的支付申请，签发付款凭证；受理索赔申请，提出处理建议意见；处理工程变更。</w:t>
            </w:r>
          </w:p>
          <w:p>
            <w:pPr>
              <w:pStyle w:val="null3"/>
              <w:ind w:firstLine="400"/>
            </w:pPr>
            <w:r>
              <w:rPr>
                <w:rFonts w:ascii="仿宋_GB2312" w:hAnsi="仿宋_GB2312" w:cs="仿宋_GB2312" w:eastAsia="仿宋_GB2312"/>
              </w:rPr>
              <w:t>⑸施工安全控制。审查承包人提出的安全技术措施、专项施工方案，并检查实施情况；检查防洪度汛措施落实情况；参与安全事故调查。</w:t>
            </w:r>
          </w:p>
          <w:p>
            <w:pPr>
              <w:pStyle w:val="null3"/>
              <w:ind w:firstLine="400"/>
            </w:pPr>
            <w:r>
              <w:rPr>
                <w:rFonts w:ascii="仿宋_GB2312" w:hAnsi="仿宋_GB2312" w:cs="仿宋_GB2312" w:eastAsia="仿宋_GB2312"/>
              </w:rPr>
              <w:t>⑹协调施工合同各方之间的关系。</w:t>
            </w:r>
          </w:p>
          <w:p>
            <w:pPr>
              <w:pStyle w:val="null3"/>
              <w:ind w:firstLine="400"/>
            </w:pPr>
            <w:r>
              <w:rPr>
                <w:rFonts w:ascii="仿宋_GB2312" w:hAnsi="仿宋_GB2312" w:cs="仿宋_GB2312" w:eastAsia="仿宋_GB2312"/>
              </w:rPr>
              <w:t>⑺按有关规定参加工程验收，负责完成监理资料的汇总、整理，协助委托人检查承包人的合同执行情况；做好验收的各项准备工作或者配合工作，提供工程监理资料，提交监理工作报告。</w:t>
            </w:r>
          </w:p>
          <w:p>
            <w:pPr>
              <w:pStyle w:val="null3"/>
              <w:ind w:firstLine="400"/>
            </w:pPr>
            <w:r>
              <w:rPr>
                <w:rFonts w:ascii="仿宋_GB2312" w:hAnsi="仿宋_GB2312" w:cs="仿宋_GB2312" w:eastAsia="仿宋_GB2312"/>
              </w:rPr>
              <w:t>⑻档案管理。做好施工现场的监理记录与信息反馈，做好监理文档管理工作，合同期限届满时按照档案管理要求整理、归档并移交委托人。</w:t>
            </w:r>
          </w:p>
          <w:p>
            <w:pPr>
              <w:pStyle w:val="null3"/>
              <w:ind w:firstLine="400"/>
            </w:pPr>
            <w:r>
              <w:rPr>
                <w:rFonts w:ascii="仿宋_GB2312" w:hAnsi="仿宋_GB2312" w:cs="仿宋_GB2312" w:eastAsia="仿宋_GB2312"/>
              </w:rPr>
              <w:t>⑼监督承包人执行保修期工作计划，检查和验收尾工项目，对已移交工程中出现的质量缺陷等调查原因并提出处理意见。</w:t>
            </w:r>
          </w:p>
          <w:p>
            <w:pPr>
              <w:pStyle w:val="null3"/>
              <w:ind w:firstLine="400"/>
            </w:pPr>
            <w:r>
              <w:rPr>
                <w:rFonts w:ascii="仿宋_GB2312" w:hAnsi="仿宋_GB2312" w:cs="仿宋_GB2312" w:eastAsia="仿宋_GB2312"/>
              </w:rPr>
              <w:t>3、建设管理方面</w:t>
            </w:r>
          </w:p>
          <w:p>
            <w:pPr>
              <w:pStyle w:val="null3"/>
              <w:ind w:firstLine="400"/>
            </w:pPr>
            <w:r>
              <w:rPr>
                <w:rFonts w:ascii="仿宋_GB2312" w:hAnsi="仿宋_GB2312" w:cs="仿宋_GB2312" w:eastAsia="仿宋_GB2312"/>
              </w:rPr>
              <w:t>⑴组织项目实施，抓好项目建设管理，对建设工期、施工质量、安全生产和施工结算等负责，依法承担项目建设的质量责任和安全生产责任。</w:t>
            </w:r>
          </w:p>
          <w:p>
            <w:pPr>
              <w:pStyle w:val="null3"/>
              <w:ind w:firstLine="400"/>
            </w:pPr>
            <w:r>
              <w:rPr>
                <w:rFonts w:ascii="仿宋_GB2312" w:hAnsi="仿宋_GB2312" w:cs="仿宋_GB2312" w:eastAsia="仿宋_GB2312"/>
              </w:rPr>
              <w:t>⑵组织编报项目实施计划和资金使用计划，并定期向项目管理单位报送工程进度、质量、安全和施工结算等情况。</w:t>
            </w:r>
          </w:p>
          <w:p>
            <w:pPr>
              <w:pStyle w:val="null3"/>
              <w:ind w:firstLine="400"/>
            </w:pPr>
            <w:r>
              <w:rPr>
                <w:rFonts w:ascii="仿宋_GB2312" w:hAnsi="仿宋_GB2312" w:cs="仿宋_GB2312" w:eastAsia="仿宋_GB2312"/>
              </w:rPr>
              <w:t>⑶配合做好上级有关部门（单位）的稽察、检查、审计等工作。</w:t>
            </w:r>
          </w:p>
          <w:p>
            <w:pPr>
              <w:pStyle w:val="null3"/>
              <w:ind w:firstLine="400"/>
            </w:pPr>
            <w:r>
              <w:rPr>
                <w:rFonts w:ascii="仿宋_GB2312" w:hAnsi="仿宋_GB2312" w:cs="仿宋_GB2312" w:eastAsia="仿宋_GB2312"/>
              </w:rPr>
              <w:t>⑷按照水利工程验收相关规定，组织项目分部工程、单位工程、合同工程验收；配合参建单位做好项目阶段验收、专项验收、竣工验收各项准备工作。</w:t>
            </w:r>
          </w:p>
          <w:p>
            <w:pPr>
              <w:pStyle w:val="null3"/>
            </w:pPr>
            <w:r>
              <w:rPr>
                <w:rFonts w:ascii="仿宋_GB2312" w:hAnsi="仿宋_GB2312" w:cs="仿宋_GB2312" w:eastAsia="仿宋_GB2312"/>
              </w:rPr>
              <w:t>四、质量要求（服务标准）</w:t>
            </w:r>
          </w:p>
          <w:p>
            <w:pPr>
              <w:pStyle w:val="null3"/>
            </w:pPr>
            <w:r>
              <w:rPr>
                <w:rFonts w:ascii="仿宋_GB2312" w:hAnsi="仿宋_GB2312" w:cs="仿宋_GB2312" w:eastAsia="仿宋_GB2312"/>
              </w:rPr>
              <w:t>监理服务工作质量达到国家有关规范合格标准。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具有履行合同所必需的技术人员，要求人员为供应商在职人员，人员要求详见第六章评分标准。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具有履行合同所必须的设施设备，满足项目需求。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1.服务范围：满足采购服务要求。2.服务要求：满足采购服务要求。3.质量要求（服务标准）：监理服务工作质量达到国家有关规范合格标准。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207日历天。以监理工程开工之日起至合同工程验收。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陕西省宝鸡峡灌区咸阳市礼泉县药王洞乡。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1.服务结束后，成交人向采购人提交验收申请。 2.采购人收到验收申请后，项目法人组织验收，验收时成交人应无条件予以配合并提供验收所需的全部资料，若成交人不配合或者未按合同要求提供服务的，采购人将拒绝验收。 3.验收程序：分阶段验收。 4.验收依据：磋商文件、响应文件、合同文本、《水利工程施工监理规范》（SL288-2014）和《水利水电建设工程验收规程》（SL/T223-2025）等有关标准、规范。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预付款，合同签订工程开工后，达到付款条件起10个工作日内，支付合同总金额的40.0%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进度款，主体工程完工后，达到付款条件起10个工作日内，支付合同总金额的50.0%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进度款，合同工程完工验收合格后，达到付款条件起10个工作日内，支付合同总金额的10.0%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2.供应商未按合同要求实施项目或项目质量不能满足合同约定的，采购人有权终止合同，对采购人造成经济等损失的，采购人有权进行追责。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负责完成采购包内采购需求内的一切事项，并完成相关工作。投标总价包含供应商成交后按照合同约定提供本采购人工程正常监理服务所需费用，包括监理人员费、设施设备购置和使用费、检测试验费、建设管理服务费、管理费、利润、税金等一切费用，并考虑应承担风险。2.供应商为本项目实施涉及的商品包装和快递包装，均符合《商品包装政府采购需求标准（试行）》、《快递包装政府采购需求标准（试行）》要求。由于其包装或防护措施不妥而引起的损坏和丢失等造成的损失，供应商自行承担。3.供应商应保证对采购人提供的资料，以及对项目实施过程中知悉的秘密（包括不限于国家秘密、科研秘密、商业秘密、群众个人信息等所有秘密）履行保密义务，不得就所涉及的秘密及敏感信息以单位或者个人名义公开披露和公开发表观点。4.供应商应保证投标服务不会出现因第三方提出侵犯其专利权、商标权或其它知识产权而引发法律或经济纠纷，否则由供应商承担全部责任。任何被供应商用于未经授权的商业目的行为所造成的违约或侵权责任由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提供承诺函）；3）有依法缴纳税收和社会保障资金的良好记录税收缴纳证明：提供响应文件提交截止时间前十二个月内任意一月已缴纳的纳税证明或完税证明（包含增值税、企业所得税至少一种）复印件或扫描件加盖公章，依法免税或不需要缴纳税收的供应商应提供相关证明文件；社保缴纳证明：提供响应文件提交截止时间前十二个月内任意一月已缴存的社会保障资金缴费证明或参保证明复印件或扫描件加盖公章，依法不需要缴纳社会保障资金的供应商应提供相关证明文件；4）参加政府采购活动前三年内，在经营活动中没有重大违法记录（提供书面声明）；5）法律、行政法规规定的其他条件（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审计报告须具有注册会计师行业统一监管平台赋予的验证码）或响应文件提交截止时间前六个月内基本存款账户开户银行出具的资信证明或政府采购信用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供应商需在项目电子化交易系统中按要求提供承诺函并进行电子签章。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本采购包是专门面向中小企业预留，参与供应商由符合政策要求的中小企业承接；监狱企业及残疾人福利性单位，视同小、微型企业。</w:t>
            </w:r>
          </w:p>
        </w:tc>
        <w:tc>
          <w:tcPr>
            <w:tcW w:type="dxa" w:w="1661"/>
          </w:tcPr>
          <w:p>
            <w:pPr>
              <w:pStyle w:val="null3"/>
            </w:pPr>
            <w:r>
              <w:rPr>
                <w:rFonts w:ascii="仿宋_GB2312" w:hAnsi="仿宋_GB2312" w:cs="仿宋_GB2312" w:eastAsia="仿宋_GB2312"/>
              </w:rPr>
              <w:t>响应文件格式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供应商具有水利工程施工监理乙级（含乙级）以上资质。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总监理工程师资格要求</w:t>
            </w:r>
          </w:p>
        </w:tc>
        <w:tc>
          <w:tcPr>
            <w:tcW w:type="dxa" w:w="3322"/>
          </w:tcPr>
          <w:p>
            <w:pPr>
              <w:pStyle w:val="null3"/>
            </w:pPr>
            <w:r>
              <w:rPr>
                <w:rFonts w:ascii="仿宋_GB2312" w:hAnsi="仿宋_GB2312" w:cs="仿宋_GB2312" w:eastAsia="仿宋_GB2312"/>
              </w:rPr>
              <w:t>拟派总监理工程师具备水利工程施工监理工程师注册证书，在本单位注册且无在监项目。</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失信行为查询</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响应文件格式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监理工作程序和工作制度</w:t>
            </w:r>
          </w:p>
        </w:tc>
        <w:tc>
          <w:tcPr>
            <w:tcW w:type="dxa" w:w="2492"/>
          </w:tcPr>
          <w:p>
            <w:pPr>
              <w:pStyle w:val="null3"/>
            </w:pPr>
            <w:r>
              <w:rPr>
                <w:rFonts w:ascii="仿宋_GB2312" w:hAnsi="仿宋_GB2312" w:cs="仿宋_GB2312" w:eastAsia="仿宋_GB2312"/>
              </w:rPr>
              <w:t>针对本项目提供监理工作程序和工作制度。 1、监理工作程序和工作制度具体可行、科学合理，有清晰的监理工作流程图、监理工作准则，且可操作性、针对性强的，得3分； 2、监理工作程序和工作制度基本可行、合理，有监理工作流程图、监理工作准则，可操作性、针对性较强的，得2分； 3、监理工作程序和工作制度内容简单，可操作性或针对性一般的，得1分； 4、未提供的不得分。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针对本项目有①事前质量控制、②事中质量控制、③分阶段质量验收控制、④事后质量控制。 1、质量控制目标及措施共4项，供应商提供的方案内容完全满足采购需求，每项计2分，最高计8分； 2、提供的方案内容基本满足采购需求，每项计1分； 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针对本项目有①事前进度预控、②事中动态跟踪管控、③进度偏差纠偏与赶工保障措施、④工期风险预判与应急保障。 1、进度控制目标及措施共4项，供应商提供的方案内容完全满足采购需求，每项计2分，最高计8分； 2、提供的方案内容基本满足采购需求，每项计1分； 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资金控制措施</w:t>
            </w:r>
          </w:p>
        </w:tc>
        <w:tc>
          <w:tcPr>
            <w:tcW w:type="dxa" w:w="2492"/>
          </w:tcPr>
          <w:p>
            <w:pPr>
              <w:pStyle w:val="null3"/>
            </w:pPr>
            <w:r>
              <w:rPr>
                <w:rFonts w:ascii="仿宋_GB2312" w:hAnsi="仿宋_GB2312" w:cs="仿宋_GB2312" w:eastAsia="仿宋_GB2312"/>
              </w:rPr>
              <w:t>针对本项目有①工程变更控制措施、②现场签证控制措施、③工程计量控制措施、④完工结算管控措施。 1、投资控制目标及措施共4项，供应商提供的方案内容完全满足采购需求，每项计2分，最高计8分； 2、提供的方案内容基本满足采购需求，每项计1分； 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安全文明管理</w:t>
            </w:r>
          </w:p>
        </w:tc>
        <w:tc>
          <w:tcPr>
            <w:tcW w:type="dxa" w:w="2492"/>
          </w:tcPr>
          <w:p>
            <w:pPr>
              <w:pStyle w:val="null3"/>
            </w:pPr>
            <w:r>
              <w:rPr>
                <w:rFonts w:ascii="仿宋_GB2312" w:hAnsi="仿宋_GB2312" w:cs="仿宋_GB2312" w:eastAsia="仿宋_GB2312"/>
              </w:rPr>
              <w:t>针对本项目有①安全事前预控管理、②现场安全巡查管控、③文明施工与生态环保管控。 1、安全文明管理共3项，供应商提供的方案内容完全满足采购需求，每项计2分，最高计6分； 2、提供的方案内容基本满足采购需求，每项计1分； 3、提供的方案内容不详尽或不适用于本项目每项计0.5分；未提供不计分。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合同管理、信息管理、监理资料管理及保修阶段服务方案</w:t>
            </w:r>
          </w:p>
        </w:tc>
        <w:tc>
          <w:tcPr>
            <w:tcW w:type="dxa" w:w="2492"/>
          </w:tcPr>
          <w:p>
            <w:pPr>
              <w:pStyle w:val="null3"/>
            </w:pPr>
            <w:r>
              <w:rPr>
                <w:rFonts w:ascii="仿宋_GB2312" w:hAnsi="仿宋_GB2312" w:cs="仿宋_GB2312" w:eastAsia="仿宋_GB2312"/>
              </w:rPr>
              <w:t>针对本项目有①合同基础信息管理、②合同履行过程信息管控、③监理资料管理、④保修阶段的服务方案 1、共4项，供应商提供的方案内容完全满足采购需求，每项计1分，最高计4分； 2、提供的方案内容基本满足采购需求，每项计0.5分； 3、提供的方案内容不详尽或不适用于本项目每项计0.25分；未提供不计分。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针对本项目有①建设单位与施工单位间的协调、②与政府监管及相关单位的协调、③工程争议与问题的专项协调。 1、组织协调方案共3项，供应商提供的方案内容完全满足采购需求，每项计1分，最高计3分； 2、提供的方案内容基本满足采购需求，每项计0.5分； 3、提供的方案内容不详尽或不适用于本项目每项计0.25分；未提供不计分。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监理团队人员配备</w:t>
            </w:r>
          </w:p>
        </w:tc>
        <w:tc>
          <w:tcPr>
            <w:tcW w:type="dxa" w:w="2492"/>
          </w:tcPr>
          <w:p>
            <w:pPr>
              <w:pStyle w:val="null3"/>
            </w:pPr>
            <w:r>
              <w:rPr>
                <w:rFonts w:ascii="仿宋_GB2312" w:hAnsi="仿宋_GB2312" w:cs="仿宋_GB2312" w:eastAsia="仿宋_GB2312"/>
              </w:rPr>
              <w:t>项目团队：投入本项目人员须为投标单位在职人员，提供证明材料，否则不计分。 1、总监理工程师职称：具有“工程类”高级及以上职称计5分，需提供有效证书，未提供不计分。 2、总监理工程师从业年限：从业年限在5年以下者不得分；5年（含5年）-10年（不含），得5分；10年（含10年）以上者，得10分，需提供相关证明材料，包括但不限于资格证书（或官网验证截图）、总监理工程师聘任材料（任命文件、项目合同、验收文件等）。 3、专业监理工程师数量：每配备1名水利工程专业监理工程师得3分，最高的9分，需提供相关证书复印件，未提供不计分。 4、专业监理工程师职称：具有中级及以上职称每人得3分，最高得9分。提供有效证书，未提供不计分。 5、其他人员：配备有1名监理员或资料员得3分。（以注册证书或培训证书为准。）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供应商提供2021年6月1日至响应文件提交截止前类似项目的合同复印件，以合同签订日期为准，每提供1份合同计3分，满分9分。未提供不计分。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15×（磋商基准价/最后磋商报价）价格分计算：四舍五入，保留两位小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