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F00AE">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t>府谷镇便民服务中心标准化建设(水、暖、电改造)项目</w:t>
      </w:r>
    </w:p>
    <w:p w14:paraId="2E50ACBF">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Theme="minorEastAsia" w:hAnsiTheme="minorEastAsia" w:eastAsiaTheme="minorEastAsia" w:cstheme="minorEastAsia"/>
          <w:color w:val="auto"/>
          <w:sz w:val="35"/>
          <w:szCs w:val="35"/>
          <w:lang w:eastAsia="zh-CN"/>
        </w:rPr>
      </w:pPr>
      <w:r>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t>采购</w:t>
      </w:r>
      <w:r>
        <w:rPr>
          <w:rFonts w:hint="eastAsia" w:asciiTheme="minorEastAsia" w:hAnsiTheme="minorEastAsia" w:eastAsiaTheme="minorEastAsia" w:cstheme="minorEastAsia"/>
          <w:color w:val="auto"/>
          <w:spacing w:val="10"/>
          <w:sz w:val="35"/>
          <w:szCs w:val="35"/>
          <w14:textOutline w14:w="6537" w14:cap="sq" w14:cmpd="sng">
            <w14:solidFill>
              <w14:srgbClr w14:val="000000"/>
            </w14:solidFill>
            <w14:prstDash w14:val="solid"/>
            <w14:bevel/>
          </w14:textOutline>
        </w:rPr>
        <w:t>需求</w:t>
      </w:r>
    </w:p>
    <w:p w14:paraId="3C5B2541">
      <w:pPr>
        <w:pStyle w:val="5"/>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14:textOutline w14:w="5103" w14:cap="sq" w14:cmpd="sng">
            <w14:solidFill>
              <w14:srgbClr w14:val="000000"/>
            </w14:solidFill>
            <w14:prstDash w14:val="solid"/>
            <w14:bevel/>
          </w14:textOutline>
        </w:rPr>
        <w:t>采购项目名称：</w:t>
      </w:r>
      <w:r>
        <w:rPr>
          <w:rFonts w:hint="eastAsia" w:asciiTheme="minorEastAsia" w:hAnsiTheme="minorEastAsia" w:eastAsiaTheme="minorEastAsia" w:cstheme="minorEastAsia"/>
          <w:color w:val="auto"/>
          <w:lang w:val="en-US" w:eastAsia="zh-CN"/>
        </w:rPr>
        <w:t>府谷镇便民服务中心标准化建设(水、暖、电改造)项目</w:t>
      </w:r>
    </w:p>
    <w:p w14:paraId="1F379932">
      <w:pPr>
        <w:pStyle w:val="5"/>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14:textOutline w14:w="5103" w14:cap="sq" w14:cmpd="sng">
            <w14:solidFill>
              <w14:srgbClr w14:val="000000"/>
            </w14:solidFill>
            <w14:prstDash w14:val="solid"/>
            <w14:bevel/>
          </w14:textOutline>
        </w:rPr>
        <w:t>采购项目预算、资金构成和采购方式：</w:t>
      </w:r>
    </w:p>
    <w:p w14:paraId="6916865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1、采购项目预算：3283412.49元</w:t>
      </w:r>
    </w:p>
    <w:p w14:paraId="4A11314E">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default"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2、资金来源：县级财政配套及自筹</w:t>
      </w:r>
    </w:p>
    <w:p w14:paraId="4DA5E04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3、采购方式：</w:t>
      </w:r>
      <w:r>
        <w:rPr>
          <w:rFonts w:hint="eastAsia" w:asciiTheme="minorEastAsia" w:hAnsiTheme="minorEastAsia" w:eastAsiaTheme="minorEastAsia" w:cstheme="minorEastAsia"/>
          <w:color w:val="auto"/>
          <w:spacing w:val="-2"/>
          <w:sz w:val="28"/>
          <w:szCs w:val="28"/>
          <w:lang w:val="en-US" w:eastAsia="zh-CN"/>
        </w:rPr>
        <w:t xml:space="preserve">竞争性磋商  </w:t>
      </w:r>
      <w:r>
        <w:rPr>
          <w:rFonts w:hint="eastAsia" w:asciiTheme="minorEastAsia" w:hAnsiTheme="minorEastAsia" w:eastAsiaTheme="minorEastAsia" w:cstheme="minorEastAsia"/>
          <w:color w:val="auto"/>
          <w:spacing w:val="-2"/>
          <w:sz w:val="28"/>
          <w:szCs w:val="28"/>
          <w:lang w:val="en-US" w:eastAsia="zh-CN"/>
        </w:rPr>
        <w:t xml:space="preserve"> </w:t>
      </w:r>
    </w:p>
    <w:p w14:paraId="5C5A96E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4、工期：75日历天</w:t>
      </w:r>
    </w:p>
    <w:p w14:paraId="3DA0B29F">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14:textOutline w14:w="5103" w14:cap="sq" w14:cmpd="sng">
            <w14:solidFill>
              <w14:srgbClr w14:val="000000"/>
            </w14:solidFill>
            <w14:prstDash w14:val="solid"/>
            <w14:bevel/>
          </w14:textOutline>
        </w:rPr>
        <w:t>三、项目实施时间、地点、工程概况、履行期限及方式</w:t>
      </w:r>
    </w:p>
    <w:p w14:paraId="348A9230">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spacing w:val="-4"/>
          <w:highlight w:val="yellow"/>
          <w:lang w:eastAsia="zh-CN"/>
        </w:rPr>
      </w:pPr>
      <w:r>
        <w:rPr>
          <w:rFonts w:hint="eastAsia" w:asciiTheme="minorEastAsia" w:hAnsiTheme="minorEastAsia" w:eastAsiaTheme="minorEastAsia" w:cstheme="minorEastAsia"/>
          <w:color w:val="auto"/>
          <w:spacing w:val="-1"/>
          <w14:textOutline w14:w="5103" w14:cap="sq" w14:cmpd="sng">
            <w14:solidFill>
              <w14:srgbClr w14:val="000000"/>
            </w14:solidFill>
            <w14:prstDash w14:val="solid"/>
            <w14:bevel/>
          </w14:textOutline>
        </w:rPr>
        <w:t>（一）项</w:t>
      </w:r>
      <w:r>
        <w:rPr>
          <w:rFonts w:hint="eastAsia" w:asciiTheme="minorEastAsia" w:hAnsiTheme="minorEastAsia" w:eastAsiaTheme="minorEastAsia" w:cstheme="minorEastAsia"/>
          <w:color w:val="auto"/>
          <w:spacing w:val="-1"/>
          <w:highlight w:val="none"/>
          <w14:textOutline w14:w="5103" w14:cap="sq" w14:cmpd="sng">
            <w14:solidFill>
              <w14:srgbClr w14:val="000000"/>
            </w14:solidFill>
            <w14:prstDash w14:val="solid"/>
            <w14:bevel/>
          </w14:textOutline>
        </w:rPr>
        <w:t>目实施时间：</w:t>
      </w:r>
      <w:r>
        <w:rPr>
          <w:rFonts w:hint="eastAsia" w:asciiTheme="minorEastAsia" w:hAnsiTheme="minorEastAsia" w:eastAsiaTheme="minorEastAsia" w:cstheme="minorEastAsia"/>
          <w:color w:val="auto"/>
          <w:spacing w:val="-4"/>
          <w:highlight w:val="none"/>
          <w:lang w:eastAsia="zh-CN"/>
        </w:rPr>
        <w:t>202</w:t>
      </w:r>
      <w:r>
        <w:rPr>
          <w:rFonts w:hint="eastAsia" w:asciiTheme="minorEastAsia" w:hAnsiTheme="minorEastAsia" w:eastAsiaTheme="minorEastAsia" w:cstheme="minorEastAsia"/>
          <w:color w:val="auto"/>
          <w:spacing w:val="-4"/>
          <w:highlight w:val="none"/>
          <w:lang w:val="en-US" w:eastAsia="zh-CN"/>
        </w:rPr>
        <w:t>6</w:t>
      </w:r>
      <w:r>
        <w:rPr>
          <w:rFonts w:hint="eastAsia" w:asciiTheme="minorEastAsia" w:hAnsiTheme="minorEastAsia" w:eastAsiaTheme="minorEastAsia" w:cstheme="minorEastAsia"/>
          <w:color w:val="auto"/>
          <w:spacing w:val="-4"/>
          <w:highlight w:val="none"/>
          <w:lang w:eastAsia="zh-CN"/>
        </w:rPr>
        <w:t>年</w:t>
      </w:r>
      <w:r>
        <w:rPr>
          <w:rFonts w:hint="eastAsia" w:asciiTheme="minorEastAsia" w:hAnsiTheme="minorEastAsia" w:eastAsiaTheme="minorEastAsia" w:cstheme="minorEastAsia"/>
          <w:color w:val="auto"/>
          <w:spacing w:val="-4"/>
          <w:highlight w:val="none"/>
          <w:lang w:val="en-US" w:eastAsia="zh-CN"/>
        </w:rPr>
        <w:t>8</w:t>
      </w:r>
      <w:r>
        <w:rPr>
          <w:rFonts w:hint="eastAsia" w:asciiTheme="minorEastAsia" w:hAnsiTheme="minorEastAsia" w:eastAsiaTheme="minorEastAsia" w:cstheme="minorEastAsia"/>
          <w:color w:val="auto"/>
          <w:spacing w:val="-4"/>
          <w:highlight w:val="none"/>
          <w:lang w:eastAsia="zh-CN"/>
        </w:rPr>
        <w:t>月</w:t>
      </w:r>
    </w:p>
    <w:p w14:paraId="2B65EE6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default" w:asciiTheme="minorEastAsia" w:hAnsiTheme="minorEastAsia" w:eastAsiaTheme="minorEastAsia" w:cstheme="minorEastAsia"/>
          <w:color w:val="auto"/>
          <w:spacing w:val="-1"/>
          <w:lang w:val="en-US" w:eastAsia="zh-CN"/>
        </w:rPr>
      </w:pPr>
      <w:r>
        <w:rPr>
          <w:rFonts w:hint="eastAsia" w:asciiTheme="minorEastAsia" w:hAnsiTheme="minorEastAsia" w:eastAsiaTheme="minorEastAsia" w:cstheme="minorEastAsia"/>
          <w:color w:val="auto"/>
          <w:spacing w:val="-1"/>
          <w14:textOutline w14:w="5103" w14:cap="sq" w14:cmpd="sng">
            <w14:solidFill>
              <w14:srgbClr w14:val="000000"/>
            </w14:solidFill>
            <w14:prstDash w14:val="solid"/>
            <w14:bevel/>
          </w14:textOutline>
        </w:rPr>
        <w:t>（二）项目实施地点：</w:t>
      </w:r>
      <w:r>
        <w:rPr>
          <w:rFonts w:hint="eastAsia" w:asciiTheme="minorEastAsia" w:hAnsiTheme="minorEastAsia" w:eastAsiaTheme="minorEastAsia" w:cstheme="minorEastAsia"/>
          <w:color w:val="auto"/>
          <w:spacing w:val="-1"/>
          <w:lang w:eastAsia="zh-CN"/>
        </w:rPr>
        <w:t>府谷</w:t>
      </w:r>
      <w:r>
        <w:rPr>
          <w:rFonts w:hint="eastAsia" w:asciiTheme="minorEastAsia" w:hAnsiTheme="minorEastAsia" w:eastAsiaTheme="minorEastAsia" w:cstheme="minorEastAsia"/>
          <w:color w:val="auto"/>
          <w:spacing w:val="-1"/>
          <w:lang w:val="en-US" w:eastAsia="zh-CN"/>
        </w:rPr>
        <w:t>县府谷镇</w:t>
      </w:r>
    </w:p>
    <w:p w14:paraId="5AD877CA">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Theme="minorEastAsia" w:hAnsiTheme="minorEastAsia" w:eastAsiaTheme="minorEastAsia" w:cstheme="minorEastAsia"/>
          <w:color w:val="auto"/>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color w:val="auto"/>
          <w14:textOutline w14:w="5103" w14:cap="sq" w14:cmpd="sng">
            <w14:solidFill>
              <w14:srgbClr w14:val="000000"/>
            </w14:solidFill>
            <w14:prstDash w14:val="solid"/>
            <w14:bevel/>
          </w14:textOutline>
        </w:rPr>
        <w:t>（三）项目采购预算明细：</w:t>
      </w:r>
      <w:r>
        <w:rPr>
          <w:rFonts w:hint="eastAsia" w:asciiTheme="minorEastAsia" w:hAnsiTheme="minorEastAsia" w:eastAsiaTheme="minorEastAsia" w:cstheme="minorEastAsia"/>
          <w:color w:val="auto"/>
          <w:spacing w:val="-1"/>
          <w:lang w:val="en-US" w:eastAsia="zh-CN"/>
        </w:rPr>
        <w:t>见上传审批附件清单</w:t>
      </w:r>
    </w:p>
    <w:p w14:paraId="5BFDD28E">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Theme="minorEastAsia" w:hAnsiTheme="minorEastAsia" w:eastAsiaTheme="minorEastAsia" w:cstheme="minorEastAsia"/>
          <w:color w:val="auto"/>
          <w:spacing w:val="-1"/>
          <w:lang w:val="en-US" w:eastAsia="zh-CN"/>
        </w:rPr>
      </w:pPr>
      <w:r>
        <w:rPr>
          <w:rFonts w:hint="eastAsia" w:asciiTheme="minorEastAsia" w:hAnsiTheme="minorEastAsia" w:eastAsiaTheme="minorEastAsia" w:cstheme="minorEastAsia"/>
          <w:color w:val="auto"/>
          <w14:textOutline w14:w="5103" w14:cap="sq" w14:cmpd="sng">
            <w14:solidFill>
              <w14:srgbClr w14:val="000000"/>
            </w14:solidFill>
            <w14:prstDash w14:val="solid"/>
            <w14:bevel/>
          </w14:textOutline>
        </w:rPr>
        <w:t>（四）履行期限及方式：</w:t>
      </w:r>
      <w:r>
        <w:rPr>
          <w:rFonts w:hint="eastAsia" w:asciiTheme="minorEastAsia" w:hAnsiTheme="minorEastAsia" w:eastAsiaTheme="minorEastAsia" w:cstheme="minorEastAsia"/>
          <w:color w:val="auto"/>
          <w:spacing w:val="-1"/>
          <w:lang w:val="en-US" w:eastAsia="zh-CN"/>
        </w:rPr>
        <w:t>严格执行政府采购程序，审批结束后开始实施。</w:t>
      </w:r>
    </w:p>
    <w:p w14:paraId="16964A4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8" w:firstLineChars="200"/>
        <w:jc w:val="both"/>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14:textOutline w14:w="5103" w14:cap="sq" w14:cmpd="sng">
            <w14:solidFill>
              <w14:srgbClr w14:val="000000"/>
            </w14:solidFill>
            <w14:prstDash w14:val="solid"/>
            <w14:bevel/>
          </w14:textOutline>
        </w:rPr>
        <w:t>四、履约验收标准和方法</w:t>
      </w:r>
    </w:p>
    <w:p w14:paraId="12707AD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pacing w:val="-5"/>
          <w:lang w:val="en-US" w:eastAsia="zh-CN"/>
        </w:rPr>
      </w:pPr>
      <w:r>
        <w:rPr>
          <w:rFonts w:hint="eastAsia" w:asciiTheme="minorEastAsia" w:hAnsiTheme="minorEastAsia" w:eastAsiaTheme="minorEastAsia" w:cstheme="minorEastAsia"/>
          <w:color w:val="auto"/>
          <w:spacing w:val="-5"/>
          <w:lang w:val="en-US" w:eastAsia="zh-CN"/>
        </w:rPr>
        <w:t>1、履约验收</w:t>
      </w:r>
      <w:r>
        <w:rPr>
          <w:rFonts w:hint="eastAsia" w:asciiTheme="minorEastAsia" w:hAnsiTheme="minorEastAsia" w:eastAsiaTheme="minorEastAsia" w:cstheme="minorEastAsia"/>
          <w:color w:val="auto"/>
          <w:spacing w:val="-5"/>
          <w:highlight w:val="none"/>
          <w:lang w:val="en-US" w:eastAsia="zh-CN"/>
        </w:rPr>
        <w:t>时间：</w:t>
      </w:r>
      <w:r>
        <w:rPr>
          <w:rFonts w:hint="eastAsia" w:asciiTheme="minorEastAsia" w:hAnsiTheme="minorEastAsia" w:eastAsiaTheme="minorEastAsia" w:cstheme="minorEastAsia"/>
          <w:color w:val="auto"/>
          <w:spacing w:val="-5"/>
          <w:highlight w:val="none"/>
          <w:lang w:val="en-US" w:eastAsia="zh-CN"/>
        </w:rPr>
        <w:t>2026年11月</w:t>
      </w:r>
      <w:r>
        <w:rPr>
          <w:rFonts w:hint="eastAsia" w:asciiTheme="minorEastAsia" w:hAnsiTheme="minorEastAsia" w:eastAsiaTheme="minorEastAsia" w:cstheme="minorEastAsia"/>
          <w:color w:val="auto"/>
          <w:spacing w:val="-5"/>
          <w:highlight w:val="none"/>
          <w:lang w:val="en-US" w:eastAsia="zh-CN"/>
        </w:rPr>
        <w:t>（实际</w:t>
      </w:r>
      <w:r>
        <w:rPr>
          <w:rFonts w:hint="eastAsia" w:asciiTheme="minorEastAsia" w:hAnsiTheme="minorEastAsia" w:eastAsiaTheme="minorEastAsia" w:cstheme="minorEastAsia"/>
          <w:color w:val="auto"/>
          <w:spacing w:val="-5"/>
          <w:lang w:val="en-US" w:eastAsia="zh-CN"/>
        </w:rPr>
        <w:t>时间以施工合同为准）</w:t>
      </w:r>
    </w:p>
    <w:p w14:paraId="07CCE844">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firstLine="540" w:firstLineChars="200"/>
        <w:jc w:val="both"/>
        <w:textAlignment w:val="baseline"/>
        <w:outlineLvl w:val="0"/>
        <w:rPr>
          <w:rFonts w:hint="eastAsia" w:asciiTheme="minorEastAsia" w:hAnsiTheme="minorEastAsia" w:eastAsiaTheme="minorEastAsia" w:cstheme="minorEastAsia"/>
          <w:color w:val="auto"/>
          <w:spacing w:val="-5"/>
          <w:lang w:val="en-US" w:eastAsia="zh-CN"/>
        </w:rPr>
      </w:pPr>
      <w:r>
        <w:rPr>
          <w:rFonts w:hint="eastAsia" w:asciiTheme="minorEastAsia" w:hAnsiTheme="minorEastAsia" w:eastAsiaTheme="minorEastAsia" w:cstheme="minorEastAsia"/>
          <w:color w:val="auto"/>
          <w:spacing w:val="-5"/>
          <w:lang w:val="en-US" w:eastAsia="zh-CN"/>
        </w:rPr>
        <w:t>2、履约验收主体及内容：改造府谷镇便民服务中心(原县政府办公楼)水、暖、电，建筑总面积9800m</w:t>
      </w:r>
      <w:r>
        <w:rPr>
          <w:rFonts w:hint="eastAsia" w:asciiTheme="minorEastAsia" w:hAnsiTheme="minorEastAsia" w:eastAsiaTheme="minorEastAsia" w:cstheme="minorEastAsia"/>
          <w:color w:val="auto"/>
          <w:spacing w:val="-5"/>
          <w:vertAlign w:val="superscript"/>
          <w:lang w:val="en-US" w:eastAsia="zh-CN"/>
        </w:rPr>
        <w:t>2</w:t>
      </w:r>
      <w:r>
        <w:rPr>
          <w:rFonts w:hint="eastAsia" w:asciiTheme="minorEastAsia" w:hAnsiTheme="minorEastAsia" w:eastAsiaTheme="minorEastAsia" w:cstheme="minorEastAsia"/>
          <w:color w:val="auto"/>
          <w:spacing w:val="-5"/>
          <w:lang w:val="en-US" w:eastAsia="zh-CN"/>
        </w:rPr>
        <w:t>，主要包括土建、采暖、给排水、强电、弱电五方面内容。</w:t>
      </w:r>
    </w:p>
    <w:p w14:paraId="6B57794B">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firstLine="540" w:firstLineChars="200"/>
        <w:jc w:val="both"/>
        <w:textAlignment w:val="baseline"/>
        <w:outlineLvl w:val="0"/>
        <w:rPr>
          <w:rFonts w:hint="default"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5"/>
          <w:lang w:val="en-US" w:eastAsia="zh-CN"/>
        </w:rPr>
        <w:t>3、履约验收地点：</w:t>
      </w:r>
      <w:r>
        <w:rPr>
          <w:rFonts w:hint="eastAsia" w:asciiTheme="minorEastAsia" w:hAnsiTheme="minorEastAsia" w:eastAsiaTheme="minorEastAsia" w:cstheme="minorEastAsia"/>
          <w:color w:val="auto"/>
          <w:spacing w:val="-1"/>
          <w:lang w:eastAsia="zh-CN"/>
        </w:rPr>
        <w:t>府谷</w:t>
      </w:r>
      <w:r>
        <w:rPr>
          <w:rFonts w:hint="eastAsia" w:asciiTheme="minorEastAsia" w:hAnsiTheme="minorEastAsia" w:eastAsiaTheme="minorEastAsia" w:cstheme="minorEastAsia"/>
          <w:color w:val="auto"/>
          <w:spacing w:val="-1"/>
          <w:lang w:val="en-US" w:eastAsia="zh-CN"/>
        </w:rPr>
        <w:t>县府谷镇</w:t>
      </w:r>
    </w:p>
    <w:p w14:paraId="76492B5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pacing w:val="-5"/>
          <w:lang w:val="en-US" w:eastAsia="zh-CN"/>
        </w:rPr>
      </w:pPr>
      <w:r>
        <w:rPr>
          <w:rFonts w:hint="eastAsia" w:asciiTheme="minorEastAsia" w:hAnsiTheme="minorEastAsia" w:eastAsiaTheme="minorEastAsia" w:cstheme="minorEastAsia"/>
          <w:color w:val="auto"/>
          <w:spacing w:val="-5"/>
          <w:lang w:val="en-US" w:eastAsia="zh-CN"/>
        </w:rPr>
        <w:t>4、验收程序：供应商应当严格按合同约定的内容提供工程方案。对供应商所提供的工程施工组织相关人员进行验收，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1F73B80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pacing w:val="-5"/>
          <w:lang w:val="en-US" w:eastAsia="zh-CN"/>
        </w:rPr>
      </w:pPr>
      <w:r>
        <w:rPr>
          <w:rFonts w:hint="eastAsia" w:asciiTheme="minorEastAsia" w:hAnsiTheme="minorEastAsia" w:eastAsiaTheme="minorEastAsia" w:cstheme="minorEastAsia"/>
          <w:color w:val="auto"/>
          <w:spacing w:val="-5"/>
          <w:lang w:val="en-US" w:eastAsia="zh-CN"/>
        </w:rPr>
        <w:t>5、履约验收标准：符合国家相关施工验收规范，并达到合格标准。</w:t>
      </w:r>
    </w:p>
    <w:p w14:paraId="6396C8A9">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pacing w:val="-5"/>
          <w:lang w:val="en-US" w:eastAsia="zh-CN"/>
        </w:rPr>
      </w:pPr>
      <w:r>
        <w:rPr>
          <w:rFonts w:hint="eastAsia" w:asciiTheme="minorEastAsia" w:hAnsiTheme="minorEastAsia" w:eastAsiaTheme="minorEastAsia" w:cstheme="minorEastAsia"/>
          <w:color w:val="auto"/>
          <w:spacing w:val="-5"/>
          <w:lang w:val="en-US" w:eastAsia="zh-CN"/>
        </w:rPr>
        <w:t>6、验收方式：由采购单位组织有关专业人员按相关的国家标准、质量标准和采购文件所列的各项要求进行验收。</w:t>
      </w:r>
    </w:p>
    <w:p w14:paraId="4FFE5FF8">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spacing w:val="-1"/>
          <w:lang w:eastAsia="zh-CN"/>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1"/>
          <w:lang w:eastAsia="zh-CN"/>
          <w14:textOutline w14:w="5103" w14:cap="sq" w14:cmpd="sng">
            <w14:solidFill>
              <w14:srgbClr w14:val="000000"/>
            </w14:solidFill>
            <w14:prstDash w14:val="solid"/>
            <w14:bevel/>
          </w14:textOutline>
        </w:rPr>
        <w:t>五、对供应商的要求</w:t>
      </w:r>
    </w:p>
    <w:p w14:paraId="654B855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pacing w:val="-5"/>
          <w:lang w:eastAsia="zh-CN"/>
        </w:rPr>
      </w:pPr>
      <w:r>
        <w:rPr>
          <w:rFonts w:hint="eastAsia" w:asciiTheme="minorEastAsia" w:hAnsiTheme="minorEastAsia" w:eastAsiaTheme="minorEastAsia" w:cstheme="minorEastAsia"/>
          <w:color w:val="auto"/>
          <w:spacing w:val="-5"/>
          <w:lang w:eastAsia="zh-CN"/>
        </w:rPr>
        <w:t>基本资格条件：符合《中华人民共和国政府采购法》第二十二条的规定。</w:t>
      </w:r>
    </w:p>
    <w:p w14:paraId="7F2C1882">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40" w:firstLineChars="200"/>
        <w:jc w:val="both"/>
        <w:textAlignment w:val="baseline"/>
        <w:rPr>
          <w:rFonts w:hint="eastAsia" w:asciiTheme="minorEastAsia" w:hAnsiTheme="minorEastAsia" w:eastAsiaTheme="minorEastAsia" w:cstheme="minorEastAsia"/>
          <w:color w:val="auto"/>
          <w:spacing w:val="-5"/>
          <w:lang w:eastAsia="zh-CN"/>
        </w:rPr>
      </w:pPr>
      <w:r>
        <w:rPr>
          <w:rFonts w:hint="eastAsia" w:asciiTheme="minorEastAsia" w:hAnsiTheme="minorEastAsia" w:eastAsiaTheme="minorEastAsia" w:cstheme="minorEastAsia"/>
          <w:color w:val="auto"/>
          <w:spacing w:val="-5"/>
          <w:lang w:eastAsia="zh-CN"/>
        </w:rPr>
        <w:t>（</w:t>
      </w:r>
      <w:r>
        <w:rPr>
          <w:rFonts w:hint="eastAsia" w:asciiTheme="minorEastAsia" w:hAnsiTheme="minorEastAsia" w:eastAsiaTheme="minorEastAsia" w:cstheme="minorEastAsia"/>
          <w:color w:val="auto"/>
          <w:lang w:val="en-US" w:eastAsia="zh-CN"/>
        </w:rPr>
        <w:t>府谷镇便民服务中心标准化建设(水、暖、电改造)项目</w:t>
      </w:r>
      <w:r>
        <w:rPr>
          <w:rFonts w:hint="eastAsia" w:asciiTheme="minorEastAsia" w:hAnsiTheme="minorEastAsia" w:eastAsiaTheme="minorEastAsia" w:cstheme="minorEastAsia"/>
          <w:color w:val="auto"/>
          <w:spacing w:val="-5"/>
          <w:lang w:eastAsia="zh-CN"/>
        </w:rPr>
        <w:t>）特定资格要求如下:</w:t>
      </w:r>
    </w:p>
    <w:p w14:paraId="6A0D50A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pacing w:val="-5"/>
          <w:lang w:eastAsia="zh-CN"/>
        </w:rPr>
      </w:pPr>
      <w:r>
        <w:rPr>
          <w:rFonts w:hint="eastAsia" w:asciiTheme="minorEastAsia" w:hAnsiTheme="minorEastAsia" w:eastAsiaTheme="minorEastAsia" w:cstheme="minorEastAsia"/>
          <w:color w:val="auto"/>
          <w:spacing w:val="-5"/>
          <w:lang w:eastAsia="zh-CN"/>
        </w:rPr>
        <w:t>（具体内容详见</w:t>
      </w:r>
      <w:r>
        <w:rPr>
          <w:rFonts w:hint="eastAsia" w:asciiTheme="minorEastAsia" w:hAnsiTheme="minorEastAsia" w:eastAsiaTheme="minorEastAsia" w:cstheme="minorEastAsia"/>
          <w:color w:val="auto"/>
          <w:spacing w:val="-5"/>
          <w:lang w:val="en-US" w:eastAsia="zh-CN"/>
        </w:rPr>
        <w:t>招标</w:t>
      </w:r>
      <w:r>
        <w:rPr>
          <w:rFonts w:hint="eastAsia" w:asciiTheme="minorEastAsia" w:hAnsiTheme="minorEastAsia" w:eastAsiaTheme="minorEastAsia" w:cstheme="minorEastAsia"/>
          <w:color w:val="auto"/>
          <w:spacing w:val="-5"/>
          <w:lang w:eastAsia="zh-CN"/>
        </w:rPr>
        <w:t>公告）</w:t>
      </w:r>
    </w:p>
    <w:p w14:paraId="1D5B788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14:textOutline w14:w="5103" w14:cap="sq" w14:cmpd="sng">
            <w14:solidFill>
              <w14:srgbClr w14:val="000000"/>
            </w14:solidFill>
            <w14:prstDash w14:val="solid"/>
            <w14:bevel/>
          </w14:textOutline>
        </w:rPr>
        <w:t>六、合同模板：</w:t>
      </w:r>
    </w:p>
    <w:p w14:paraId="49DF12C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50295879">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6374B9B8">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1F9D4D6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455ED002">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61BADF3A">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1605ADDE">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1699B1D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06C8CB1D">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2C77D9A7">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0C53A956">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p>
    <w:p w14:paraId="253A55BF">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10"/>
          <w:sz w:val="35"/>
          <w:szCs w:val="35"/>
          <w:lang w:val="en-US" w:eastAsia="zh-CN"/>
          <w14:textOutline w14:w="6537" w14:cap="sq" w14:cmpd="sng">
            <w14:solidFill>
              <w14:srgbClr w14:val="000000"/>
            </w14:solidFill>
            <w14:prstDash w14:val="solid"/>
            <w14:bevel/>
          </w14:textOutline>
        </w:rPr>
        <w:t>府谷镇便民服务中心标准化建设(水、暖、电改造)项目采购合同</w:t>
      </w:r>
    </w:p>
    <w:p w14:paraId="49AEA7E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甲方（采购人）：</w:t>
      </w:r>
    </w:p>
    <w:p w14:paraId="1C83CBC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乙方（中标人）：</w:t>
      </w:r>
    </w:p>
    <w:p w14:paraId="43348BF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根据《中华人民共和国政府采购法》、《中华人民共和国民法典》 等相关法律，甲、乙双方经平等协商一致，就“府谷镇便民服务中心标准化建设(水、暖、电改造)项目”承办达成合同如下：</w:t>
      </w:r>
    </w:p>
    <w:p w14:paraId="30AD1A70">
      <w:pPr>
        <w:pStyle w:val="5"/>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14:textOutline w14:w="5103" w14:cap="sq" w14:cmpd="sng">
            <w14:solidFill>
              <w14:srgbClr w14:val="000000"/>
            </w14:solidFill>
            <w14:prstDash w14:val="solid"/>
            <w14:bevel/>
          </w14:textOutline>
        </w:rPr>
        <w:t>一、合同文件</w:t>
      </w:r>
    </w:p>
    <w:p w14:paraId="29E02F35">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rPr>
      </w:pPr>
      <w:r>
        <w:rPr>
          <w:rFonts w:hint="eastAsia" w:asciiTheme="minorEastAsia" w:hAnsiTheme="minorEastAsia" w:eastAsiaTheme="minorEastAsia" w:cstheme="minorEastAsia"/>
          <w:color w:val="auto"/>
          <w:spacing w:val="-2"/>
          <w:sz w:val="28"/>
          <w:szCs w:val="28"/>
        </w:rPr>
        <w:t>本合同所附下列文件是构成本合同不可分割的部分，组成合同的各项文件应互相解释，互为说明，解释合同文件的优先顺序如下：</w:t>
      </w:r>
    </w:p>
    <w:p w14:paraId="4BC6D09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rPr>
      </w:pPr>
      <w:r>
        <w:rPr>
          <w:rFonts w:hint="eastAsia" w:asciiTheme="minorEastAsia" w:hAnsiTheme="minorEastAsia" w:eastAsiaTheme="minorEastAsia" w:cstheme="minorEastAsia"/>
          <w:color w:val="auto"/>
          <w:spacing w:val="-2"/>
          <w:sz w:val="28"/>
          <w:szCs w:val="28"/>
        </w:rPr>
        <w:t>1. 合同条款</w:t>
      </w:r>
    </w:p>
    <w:p w14:paraId="3C9A2A8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rPr>
      </w:pPr>
      <w:r>
        <w:rPr>
          <w:rFonts w:hint="eastAsia" w:asciiTheme="minorEastAsia" w:hAnsiTheme="minorEastAsia" w:eastAsiaTheme="minorEastAsia" w:cstheme="minorEastAsia"/>
          <w:color w:val="auto"/>
          <w:spacing w:val="-2"/>
          <w:sz w:val="28"/>
          <w:szCs w:val="28"/>
        </w:rPr>
        <w:t>2. 成交通知书</w:t>
      </w:r>
    </w:p>
    <w:p w14:paraId="2991101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3. 中标人在评标过程中做出的有关澄清、说明、承诺或者补正文件</w:t>
      </w:r>
    </w:p>
    <w:p w14:paraId="011D9AD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4. 招标文件</w:t>
      </w:r>
    </w:p>
    <w:p w14:paraId="67FCB1B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5. 中标人的投标文件</w:t>
      </w:r>
    </w:p>
    <w:p w14:paraId="42AF7EA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6. 本合同附件</w:t>
      </w:r>
    </w:p>
    <w:p w14:paraId="75B4B28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同一层次的合同文件规定有矛盾的以较后时间制定的为准。</w:t>
      </w:r>
    </w:p>
    <w:p w14:paraId="7878B635">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14:textOutline w14:w="5103" w14:cap="sq" w14:cmpd="sng">
            <w14:solidFill>
              <w14:srgbClr w14:val="000000"/>
            </w14:solidFill>
            <w14:prstDash w14:val="solid"/>
            <w14:bevel/>
          </w14:textOutline>
        </w:rPr>
        <w:t>二、合同的范围和条件</w:t>
      </w:r>
    </w:p>
    <w:p w14:paraId="6D006771">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本合同的范围和条件应与上述合同文件的规定相一致。</w:t>
      </w:r>
    </w:p>
    <w:p w14:paraId="100CAA9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14:textOutline w14:w="5103" w14:cap="sq" w14:cmpd="sng">
            <w14:solidFill>
              <w14:srgbClr w14:val="000000"/>
            </w14:solidFill>
            <w14:prstDash w14:val="solid"/>
            <w14:bevel/>
          </w14:textOutline>
        </w:rPr>
        <w:t>三、工程项目</w:t>
      </w:r>
    </w:p>
    <w:p w14:paraId="1BD4D535">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9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8"/>
          <w:sz w:val="28"/>
          <w:szCs w:val="28"/>
        </w:rPr>
        <w:t>本合同所提供的工程项目内容</w:t>
      </w:r>
      <w:r>
        <w:rPr>
          <w:rFonts w:hint="eastAsia" w:asciiTheme="minorEastAsia" w:hAnsiTheme="minorEastAsia" w:eastAsiaTheme="minorEastAsia" w:cstheme="minorEastAsia"/>
          <w:color w:val="auto"/>
          <w:spacing w:val="-7"/>
          <w:sz w:val="28"/>
          <w:szCs w:val="28"/>
        </w:rPr>
        <w:t>：</w:t>
      </w:r>
      <w:r>
        <w:rPr>
          <w:rFonts w:hint="eastAsia" w:asciiTheme="minorEastAsia" w:hAnsiTheme="minorEastAsia" w:eastAsiaTheme="minorEastAsia" w:cstheme="minorEastAsia"/>
          <w:color w:val="auto"/>
          <w:spacing w:val="1"/>
          <w:sz w:val="28"/>
          <w:szCs w:val="28"/>
          <w:u w:val="single"/>
          <w:lang w:val="en-US" w:eastAsia="zh-CN"/>
        </w:rPr>
        <w:t>本项目建设地点位于府谷县府谷镇，主要内容包括:改造府谷镇便民服务中心(原县政府办公楼)水、暖、电，建筑总面积9800m</w:t>
      </w:r>
      <w:r>
        <w:rPr>
          <w:rFonts w:hint="eastAsia" w:asciiTheme="minorEastAsia" w:hAnsiTheme="minorEastAsia" w:eastAsiaTheme="minorEastAsia" w:cstheme="minorEastAsia"/>
          <w:color w:val="auto"/>
          <w:spacing w:val="1"/>
          <w:sz w:val="28"/>
          <w:szCs w:val="28"/>
          <w:u w:val="single"/>
          <w:vertAlign w:val="superscript"/>
          <w:lang w:val="en-US" w:eastAsia="zh-CN"/>
        </w:rPr>
        <w:t>2</w:t>
      </w:r>
      <w:r>
        <w:rPr>
          <w:rFonts w:hint="eastAsia" w:asciiTheme="minorEastAsia" w:hAnsiTheme="minorEastAsia" w:eastAsiaTheme="minorEastAsia" w:cstheme="minorEastAsia"/>
          <w:color w:val="auto"/>
          <w:spacing w:val="1"/>
          <w:sz w:val="28"/>
          <w:szCs w:val="28"/>
          <w:u w:val="single"/>
          <w:lang w:val="en-US" w:eastAsia="zh-CN"/>
        </w:rPr>
        <w:t>，主要包括土建、采暖、给排水、强电、弱电五方面内容</w:t>
      </w:r>
      <w:r>
        <w:rPr>
          <w:rFonts w:hint="eastAsia" w:asciiTheme="minorEastAsia" w:hAnsiTheme="minorEastAsia" w:eastAsiaTheme="minorEastAsia" w:cstheme="minorEastAsia"/>
          <w:color w:val="auto"/>
          <w:spacing w:val="-4"/>
          <w:sz w:val="28"/>
          <w:szCs w:val="28"/>
        </w:rPr>
        <w:t>。</w:t>
      </w:r>
    </w:p>
    <w:p w14:paraId="4F4D40E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5"/>
          <w:sz w:val="28"/>
          <w:szCs w:val="28"/>
          <w14:textOutline w14:w="5103" w14:cap="sq" w14:cmpd="sng">
            <w14:solidFill>
              <w14:srgbClr w14:val="000000"/>
            </w14:solidFill>
            <w14:prstDash w14:val="solid"/>
            <w14:bevel/>
          </w14:textOutline>
        </w:rPr>
        <w:t>四、合同金额</w:t>
      </w:r>
    </w:p>
    <w:p w14:paraId="710598F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5"/>
          <w:sz w:val="28"/>
          <w:szCs w:val="28"/>
        </w:rPr>
        <w:t>合同金额为人民币大写</w:t>
      </w:r>
      <w:r>
        <w:rPr>
          <w:rFonts w:hint="eastAsia" w:asciiTheme="minorEastAsia" w:hAnsiTheme="minorEastAsia" w:eastAsiaTheme="minorEastAsia" w:cstheme="minorEastAsia"/>
          <w:color w:val="auto"/>
          <w:spacing w:val="-5"/>
          <w:sz w:val="28"/>
          <w:szCs w:val="28"/>
          <w:u w:val="single" w:color="auto"/>
        </w:rPr>
        <w:t xml:space="preserve">         </w:t>
      </w:r>
      <w:r>
        <w:rPr>
          <w:rFonts w:hint="eastAsia" w:asciiTheme="minorEastAsia" w:hAnsiTheme="minorEastAsia" w:eastAsiaTheme="minorEastAsia" w:cstheme="minorEastAsia"/>
          <w:color w:val="auto"/>
          <w:spacing w:val="-118"/>
          <w:sz w:val="28"/>
          <w:szCs w:val="28"/>
        </w:rPr>
        <w:t xml:space="preserve"> </w:t>
      </w:r>
      <w:r>
        <w:rPr>
          <w:rFonts w:hint="eastAsia" w:asciiTheme="minorEastAsia" w:hAnsiTheme="minorEastAsia" w:eastAsiaTheme="minorEastAsia" w:cstheme="minorEastAsia"/>
          <w:color w:val="auto"/>
          <w:spacing w:val="-5"/>
          <w:sz w:val="28"/>
          <w:szCs w:val="28"/>
        </w:rPr>
        <w:t>元，</w:t>
      </w:r>
      <w:r>
        <w:rPr>
          <w:rFonts w:hint="eastAsia" w:asciiTheme="minorEastAsia" w:hAnsiTheme="minorEastAsia" w:eastAsiaTheme="minorEastAsia" w:cstheme="minorEastAsia"/>
          <w:color w:val="auto"/>
          <w:spacing w:val="-82"/>
          <w:sz w:val="28"/>
          <w:szCs w:val="28"/>
        </w:rPr>
        <w:t xml:space="preserve"> </w:t>
      </w:r>
      <w:r>
        <w:rPr>
          <w:rFonts w:hint="eastAsia" w:asciiTheme="minorEastAsia" w:hAnsiTheme="minorEastAsia" w:eastAsiaTheme="minorEastAsia" w:cstheme="minorEastAsia"/>
          <w:color w:val="auto"/>
          <w:spacing w:val="-5"/>
          <w:sz w:val="28"/>
          <w:szCs w:val="28"/>
        </w:rPr>
        <w:t>(￥</w:t>
      </w:r>
      <w:r>
        <w:rPr>
          <w:rFonts w:hint="eastAsia" w:asciiTheme="minorEastAsia" w:hAnsiTheme="minorEastAsia" w:eastAsiaTheme="minorEastAsia" w:cstheme="minorEastAsia"/>
          <w:color w:val="auto"/>
          <w:spacing w:val="-114"/>
          <w:sz w:val="28"/>
          <w:szCs w:val="28"/>
        </w:rPr>
        <w:t xml:space="preserve"> </w:t>
      </w:r>
      <w:r>
        <w:rPr>
          <w:rFonts w:hint="eastAsia" w:asciiTheme="minorEastAsia" w:hAnsiTheme="minorEastAsia" w:eastAsiaTheme="minorEastAsia" w:cstheme="minorEastAsia"/>
          <w:color w:val="auto"/>
          <w:sz w:val="28"/>
          <w:szCs w:val="28"/>
          <w:u w:val="single" w:color="auto"/>
        </w:rPr>
        <w:t xml:space="preserve">       </w:t>
      </w:r>
      <w:r>
        <w:rPr>
          <w:rFonts w:hint="eastAsia" w:asciiTheme="minorEastAsia" w:hAnsiTheme="minorEastAsia" w:eastAsiaTheme="minorEastAsia" w:cstheme="minorEastAsia"/>
          <w:color w:val="auto"/>
          <w:spacing w:val="-126"/>
          <w:sz w:val="28"/>
          <w:szCs w:val="28"/>
        </w:rPr>
        <w:t xml:space="preserve"> </w:t>
      </w:r>
      <w:r>
        <w:rPr>
          <w:rFonts w:hint="eastAsia" w:asciiTheme="minorEastAsia" w:hAnsiTheme="minorEastAsia" w:eastAsiaTheme="minorEastAsia" w:cstheme="minorEastAsia"/>
          <w:color w:val="auto"/>
          <w:spacing w:val="-5"/>
          <w:sz w:val="28"/>
          <w:szCs w:val="28"/>
        </w:rPr>
        <w:t>)</w:t>
      </w:r>
    </w:p>
    <w:p w14:paraId="75ED996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14:textOutline w14:w="5103" w14:cap="sq" w14:cmpd="sng">
            <w14:solidFill>
              <w14:srgbClr w14:val="000000"/>
            </w14:solidFill>
            <w14:prstDash w14:val="solid"/>
            <w14:bevel/>
          </w14:textOutline>
        </w:rPr>
        <w:t>五、付款途径</w:t>
      </w:r>
      <w:r>
        <w:rPr>
          <w:rFonts w:hint="eastAsia" w:asciiTheme="minorEastAsia" w:hAnsiTheme="minorEastAsia" w:eastAsiaTheme="minorEastAsia" w:cstheme="minorEastAsia"/>
          <w:color w:val="auto"/>
          <w:spacing w:val="-1"/>
          <w:sz w:val="28"/>
          <w:szCs w:val="28"/>
        </w:rPr>
        <w:t>：</w:t>
      </w:r>
      <w:r>
        <w:rPr>
          <w:rFonts w:hint="eastAsia" w:asciiTheme="minorEastAsia" w:hAnsiTheme="minorEastAsia" w:eastAsiaTheme="minorEastAsia" w:cstheme="minorEastAsia"/>
          <w:color w:val="auto"/>
          <w:spacing w:val="-1"/>
          <w:sz w:val="28"/>
          <w:szCs w:val="28"/>
          <w:u w:val="single" w:color="auto"/>
        </w:rPr>
        <w:t xml:space="preserve">                  </w:t>
      </w:r>
      <w:r>
        <w:rPr>
          <w:rFonts w:hint="eastAsia" w:asciiTheme="minorEastAsia" w:hAnsiTheme="minorEastAsia" w:eastAsiaTheme="minorEastAsia" w:cstheme="minorEastAsia"/>
          <w:color w:val="auto"/>
          <w:spacing w:val="-1"/>
          <w:sz w:val="28"/>
          <w:szCs w:val="28"/>
        </w:rPr>
        <w:t>。</w:t>
      </w:r>
    </w:p>
    <w:p w14:paraId="620CF0B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rPr>
          <w:rFonts w:hint="eastAsia" w:asciiTheme="minorEastAsia" w:hAnsiTheme="minorEastAsia" w:eastAsiaTheme="minorEastAsia" w:cstheme="minorEastAsia"/>
          <w:color w:val="auto"/>
          <w:spacing w:val="-1"/>
          <w:sz w:val="28"/>
          <w:szCs w:val="28"/>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4"/>
          <w:sz w:val="28"/>
          <w:szCs w:val="28"/>
          <w14:textOutline w14:w="5103" w14:cap="sq" w14:cmpd="sng">
            <w14:solidFill>
              <w14:srgbClr w14:val="000000"/>
            </w14:solidFill>
            <w14:prstDash w14:val="solid"/>
            <w14:bevel/>
          </w14:textOutline>
        </w:rPr>
        <w:t>六、</w:t>
      </w:r>
      <w:r>
        <w:rPr>
          <w:rFonts w:hint="eastAsia" w:asciiTheme="minorEastAsia" w:hAnsiTheme="minorEastAsia" w:eastAsiaTheme="minorEastAsia" w:cstheme="minorEastAsia"/>
          <w:color w:val="auto"/>
          <w:spacing w:val="-1"/>
          <w:sz w:val="28"/>
          <w:szCs w:val="28"/>
          <w14:textOutline w14:w="5103" w14:cap="sq" w14:cmpd="sng">
            <w14:solidFill>
              <w14:srgbClr w14:val="000000"/>
            </w14:solidFill>
            <w14:prstDash w14:val="solid"/>
            <w14:bevel/>
          </w14:textOutline>
        </w:rPr>
        <w:t>付款方式：</w:t>
      </w:r>
    </w:p>
    <w:p w14:paraId="5F0D6C8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1、本工程不支付工程预付款，乙方自行筹措本项目施工所需人工、材料、机械设备等全部资金，乙方不得因甲方未支付预付款擅自停工、延误工期，否则由乙方承担相应违约责任。</w:t>
      </w:r>
    </w:p>
    <w:p w14:paraId="3B94684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2、本工程全部竣工验收合格后【30】个工作日内，乙方提交完整竣工资料、工程款支付申请及等额合规增值税发票，甲方审核无误后，支付至本项目合同总价款的97%。</w:t>
      </w:r>
    </w:p>
    <w:p w14:paraId="2DD3021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3、剩余合同总价款的3%作为工程质量保证金，质量保修期自工程竣工验收合格之日起开始计算。质保期届满，乙方已全面履行保修义务，工程无质量缺陷、无相关纠纷及违约情形的，甲方在质保期满后【30】个工作日内，将质量保证金无息一次性支付给乙方。</w:t>
      </w:r>
    </w:p>
    <w:p w14:paraId="6D7F3CC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pacing w:val="-1"/>
          <w:sz w:val="28"/>
          <w:szCs w:val="28"/>
          <w:lang w:eastAsia="zh-CN"/>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2"/>
          <w:sz w:val="28"/>
          <w:szCs w:val="28"/>
          <w:lang w:val="en-US" w:eastAsia="zh-CN"/>
        </w:rPr>
        <w:t>4、乙方未按约定提供合法有效的增值税发票的，甲方有权顺延付款期限，且不承担逾期付款的违约责任。</w:t>
      </w:r>
    </w:p>
    <w:p w14:paraId="6F2D678C">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14:textOutline w14:w="5103" w14:cap="sq" w14:cmpd="sng">
            <w14:solidFill>
              <w14:srgbClr w14:val="000000"/>
            </w14:solidFill>
            <w14:prstDash w14:val="solid"/>
            <w14:bevel/>
          </w14:textOutline>
        </w:rPr>
        <w:t>七、知识产权</w:t>
      </w:r>
    </w:p>
    <w:p w14:paraId="0F0CA9EE">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pacing w:val="1"/>
          <w:sz w:val="28"/>
          <w:szCs w:val="28"/>
        </w:rPr>
      </w:pPr>
      <w:r>
        <w:rPr>
          <w:rFonts w:hint="eastAsia" w:asciiTheme="minorEastAsia" w:hAnsiTheme="minorEastAsia" w:eastAsiaTheme="minorEastAsia" w:cstheme="minorEastAsia"/>
          <w:color w:val="auto"/>
          <w:spacing w:val="1"/>
          <w:sz w:val="28"/>
          <w:szCs w:val="28"/>
        </w:rPr>
        <w:t>乙方应保证甲方所使用的服务成果免受第三方提出的侵犯其知识产权的诉讼。</w:t>
      </w:r>
    </w:p>
    <w:p w14:paraId="6FFE09C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14:textOutline w14:w="5103" w14:cap="sq" w14:cmpd="sng">
            <w14:solidFill>
              <w14:srgbClr w14:val="000000"/>
            </w14:solidFill>
            <w14:prstDash w14:val="solid"/>
            <w14:bevel/>
          </w14:textOutline>
        </w:rPr>
        <w:t>八、违约条款</w:t>
      </w:r>
    </w:p>
    <w:p w14:paraId="7EA3EF7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rPr>
        <w:t>1. 一方不按期履行合同，并经另一方提示后</w:t>
      </w:r>
      <w:r>
        <w:rPr>
          <w:rFonts w:hint="eastAsia" w:asciiTheme="minorEastAsia" w:hAnsiTheme="minorEastAsia" w:eastAsiaTheme="minorEastAsia" w:cstheme="minorEastAsia"/>
          <w:color w:val="auto"/>
          <w:spacing w:val="-133"/>
          <w:sz w:val="28"/>
          <w:szCs w:val="28"/>
        </w:rPr>
        <w:t xml:space="preserve"> </w:t>
      </w:r>
      <w:r>
        <w:rPr>
          <w:rFonts w:hint="eastAsia" w:asciiTheme="minorEastAsia" w:hAnsiTheme="minorEastAsia" w:eastAsiaTheme="minorEastAsia" w:cstheme="minorEastAsia"/>
          <w:color w:val="auto"/>
          <w:spacing w:val="2"/>
          <w:sz w:val="28"/>
          <w:szCs w:val="28"/>
          <w:u w:val="single" w:color="auto"/>
        </w:rPr>
        <w:t xml:space="preserve">  </w:t>
      </w:r>
      <w:r>
        <w:rPr>
          <w:rFonts w:hint="eastAsia" w:asciiTheme="minorEastAsia" w:hAnsiTheme="minorEastAsia" w:eastAsiaTheme="minorEastAsia" w:cstheme="minorEastAsia"/>
          <w:color w:val="auto"/>
          <w:spacing w:val="2"/>
          <w:sz w:val="28"/>
          <w:szCs w:val="28"/>
          <w:u w:val="single" w:color="auto"/>
          <w:lang w:val="en-US" w:eastAsia="zh-CN"/>
        </w:rPr>
        <w:t xml:space="preserve">  </w:t>
      </w:r>
      <w:r>
        <w:rPr>
          <w:rFonts w:hint="eastAsia" w:asciiTheme="minorEastAsia" w:hAnsiTheme="minorEastAsia" w:eastAsiaTheme="minorEastAsia" w:cstheme="minorEastAsia"/>
          <w:color w:val="auto"/>
          <w:spacing w:val="-2"/>
          <w:sz w:val="28"/>
          <w:szCs w:val="28"/>
        </w:rPr>
        <w:t>日内仍不履行合同的，守约方有权解除合同，违约方要承担相应的法律责任。</w:t>
      </w:r>
    </w:p>
    <w:p w14:paraId="598A663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2. 如因一方违约，双方未能就赔偿损失达成协议，引起诉讼或</w:t>
      </w:r>
      <w:r>
        <w:rPr>
          <w:rFonts w:hint="eastAsia" w:asciiTheme="minorEastAsia" w:hAnsiTheme="minorEastAsia" w:eastAsiaTheme="minorEastAsia" w:cstheme="minorEastAsia"/>
          <w:color w:val="auto"/>
          <w:spacing w:val="-4"/>
          <w:sz w:val="28"/>
          <w:szCs w:val="28"/>
        </w:rPr>
        <w:t>仲裁时，违约方除应赔偿对方经济损失外，还应承担因诉讼或仲裁所</w:t>
      </w:r>
      <w:r>
        <w:rPr>
          <w:rFonts w:hint="eastAsia" w:asciiTheme="minorEastAsia" w:hAnsiTheme="minorEastAsia" w:eastAsiaTheme="minorEastAsia" w:cstheme="minorEastAsia"/>
          <w:color w:val="auto"/>
          <w:spacing w:val="-1"/>
          <w:sz w:val="28"/>
          <w:szCs w:val="28"/>
        </w:rPr>
        <w:t>支付的律师代理费等相关费用。</w:t>
      </w:r>
    </w:p>
    <w:p w14:paraId="3D734031">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pacing w:val="1"/>
          <w:sz w:val="28"/>
          <w:szCs w:val="28"/>
        </w:rPr>
      </w:pPr>
      <w:r>
        <w:rPr>
          <w:rFonts w:hint="eastAsia" w:asciiTheme="minorEastAsia" w:hAnsiTheme="minorEastAsia" w:eastAsiaTheme="minorEastAsia" w:cstheme="minorEastAsia"/>
          <w:color w:val="auto"/>
          <w:spacing w:val="1"/>
          <w:sz w:val="28"/>
          <w:szCs w:val="28"/>
        </w:rPr>
        <w:t>3. 其它应承担的违约责任，以《中华人民共和国</w:t>
      </w:r>
      <w:r>
        <w:rPr>
          <w:rFonts w:hint="eastAsia" w:asciiTheme="minorEastAsia" w:hAnsiTheme="minorEastAsia" w:eastAsiaTheme="minorEastAsia" w:cstheme="minorEastAsia"/>
          <w:color w:val="auto"/>
          <w:spacing w:val="1"/>
          <w:sz w:val="28"/>
          <w:szCs w:val="28"/>
          <w:lang w:val="en-US" w:eastAsia="zh-CN"/>
        </w:rPr>
        <w:t>民法典</w:t>
      </w:r>
      <w:r>
        <w:rPr>
          <w:rFonts w:hint="eastAsia" w:asciiTheme="minorEastAsia" w:hAnsiTheme="minorEastAsia" w:eastAsiaTheme="minorEastAsia" w:cstheme="minorEastAsia"/>
          <w:color w:val="auto"/>
          <w:spacing w:val="1"/>
          <w:sz w:val="28"/>
          <w:szCs w:val="28"/>
        </w:rPr>
        <w:t>》和其它有关法律、法规规定为准，无相关规定的，双方协商解决。</w:t>
      </w:r>
    </w:p>
    <w:p w14:paraId="4780020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4. 按照本合同规定应该偿付的违约金、赔偿金等，应当在明确</w:t>
      </w:r>
      <w:r>
        <w:rPr>
          <w:rFonts w:hint="eastAsia" w:asciiTheme="minorEastAsia" w:hAnsiTheme="minorEastAsia" w:eastAsiaTheme="minorEastAsia" w:cstheme="minorEastAsia"/>
          <w:color w:val="auto"/>
          <w:spacing w:val="-1"/>
          <w:sz w:val="28"/>
          <w:szCs w:val="28"/>
        </w:rPr>
        <w:t>责任后7日内，按银行规定或双方商定的结算办法付清</w:t>
      </w:r>
      <w:r>
        <w:rPr>
          <w:rFonts w:hint="eastAsia" w:asciiTheme="minorEastAsia" w:hAnsiTheme="minorEastAsia" w:eastAsiaTheme="minorEastAsia" w:cstheme="minorEastAsia"/>
          <w:color w:val="auto"/>
          <w:spacing w:val="-2"/>
          <w:sz w:val="28"/>
          <w:szCs w:val="28"/>
        </w:rPr>
        <w:t>，否则按逾</w:t>
      </w:r>
      <w:r>
        <w:rPr>
          <w:rFonts w:hint="eastAsia" w:asciiTheme="minorEastAsia" w:hAnsiTheme="minorEastAsia" w:eastAsiaTheme="minorEastAsia" w:cstheme="minorEastAsia"/>
          <w:color w:val="auto"/>
          <w:spacing w:val="-3"/>
          <w:sz w:val="28"/>
          <w:szCs w:val="28"/>
        </w:rPr>
        <w:t>期付款处理。</w:t>
      </w:r>
    </w:p>
    <w:p w14:paraId="7B65C66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outlineLvl w:val="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14:textOutline w14:w="5103" w14:cap="sq" w14:cmpd="sng">
            <w14:solidFill>
              <w14:srgbClr w14:val="000000"/>
            </w14:solidFill>
            <w14:prstDash w14:val="solid"/>
            <w14:bevel/>
          </w14:textOutline>
        </w:rPr>
        <w:t>九、履约验收标准和方式</w:t>
      </w:r>
    </w:p>
    <w:p w14:paraId="59EC62AC">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3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7"/>
          <w:sz w:val="28"/>
          <w:szCs w:val="28"/>
        </w:rPr>
        <w:t>1.履约验收时</w:t>
      </w:r>
      <w:r>
        <w:rPr>
          <w:rFonts w:hint="eastAsia" w:asciiTheme="minorEastAsia" w:hAnsiTheme="minorEastAsia" w:eastAsiaTheme="minorEastAsia" w:cstheme="minorEastAsia"/>
          <w:color w:val="auto"/>
          <w:spacing w:val="-7"/>
          <w:sz w:val="28"/>
          <w:szCs w:val="28"/>
        </w:rPr>
        <w:t>间</w:t>
      </w:r>
      <w:r>
        <w:rPr>
          <w:rFonts w:hint="eastAsia" w:asciiTheme="minorEastAsia" w:hAnsiTheme="minorEastAsia" w:eastAsiaTheme="minorEastAsia" w:cstheme="minorEastAsia"/>
          <w:color w:val="auto"/>
          <w:spacing w:val="-7"/>
          <w:sz w:val="28"/>
          <w:szCs w:val="28"/>
          <w:highlight w:val="none"/>
        </w:rPr>
        <w:t>：</w:t>
      </w:r>
      <w:r>
        <w:rPr>
          <w:rFonts w:hint="eastAsia" w:asciiTheme="minorEastAsia" w:hAnsiTheme="minorEastAsia" w:eastAsiaTheme="minorEastAsia" w:cstheme="minorEastAsia"/>
          <w:snapToGrid/>
          <w:color w:val="auto"/>
          <w:kern w:val="2"/>
          <w:sz w:val="28"/>
          <w:szCs w:val="28"/>
          <w:highlight w:val="none"/>
          <w:u w:val="single"/>
          <w:lang w:val="en-US" w:eastAsia="zh-CN"/>
        </w:rPr>
        <w:t>2026年11月（</w:t>
      </w:r>
      <w:r>
        <w:rPr>
          <w:rFonts w:hint="eastAsia" w:asciiTheme="minorEastAsia" w:hAnsiTheme="minorEastAsia" w:eastAsiaTheme="minorEastAsia" w:cstheme="minorEastAsia"/>
          <w:snapToGrid/>
          <w:color w:val="auto"/>
          <w:kern w:val="2"/>
          <w:sz w:val="28"/>
          <w:szCs w:val="28"/>
          <w:u w:val="single"/>
          <w:lang w:val="en-US" w:eastAsia="zh-CN"/>
        </w:rPr>
        <w:t>实际时间以施工合同为准）</w:t>
      </w:r>
    </w:p>
    <w:p w14:paraId="4E43DEB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pacing w:val="1"/>
          <w:sz w:val="28"/>
          <w:szCs w:val="28"/>
          <w:lang w:val="en-US" w:eastAsia="zh-CN"/>
        </w:rPr>
      </w:pPr>
      <w:r>
        <w:rPr>
          <w:rFonts w:hint="eastAsia" w:asciiTheme="minorEastAsia" w:hAnsiTheme="minorEastAsia" w:eastAsiaTheme="minorEastAsia" w:cstheme="minorEastAsia"/>
          <w:color w:val="auto"/>
          <w:spacing w:val="1"/>
          <w:sz w:val="28"/>
          <w:szCs w:val="28"/>
        </w:rPr>
        <w:t>2.履约验收主体及内容：</w:t>
      </w:r>
      <w:r>
        <w:rPr>
          <w:rFonts w:hint="eastAsia" w:asciiTheme="minorEastAsia" w:hAnsiTheme="minorEastAsia" w:eastAsiaTheme="minorEastAsia" w:cstheme="minorEastAsia"/>
          <w:color w:val="auto"/>
          <w:spacing w:val="1"/>
          <w:sz w:val="28"/>
          <w:szCs w:val="28"/>
          <w:u w:val="single"/>
          <w:lang w:val="en-US" w:eastAsia="zh-CN"/>
        </w:rPr>
        <w:t>改造府谷镇便民服务中心(原县政府办公楼)水、暖、电，建筑总面积9800m</w:t>
      </w:r>
      <w:r>
        <w:rPr>
          <w:rFonts w:hint="eastAsia" w:asciiTheme="minorEastAsia" w:hAnsiTheme="minorEastAsia" w:eastAsiaTheme="minorEastAsia" w:cstheme="minorEastAsia"/>
          <w:color w:val="auto"/>
          <w:spacing w:val="1"/>
          <w:sz w:val="28"/>
          <w:szCs w:val="28"/>
          <w:u w:val="single"/>
          <w:vertAlign w:val="superscript"/>
          <w:lang w:val="en-US" w:eastAsia="zh-CN"/>
        </w:rPr>
        <w:t>2</w:t>
      </w:r>
      <w:r>
        <w:rPr>
          <w:rFonts w:hint="eastAsia" w:asciiTheme="minorEastAsia" w:hAnsiTheme="minorEastAsia" w:eastAsiaTheme="minorEastAsia" w:cstheme="minorEastAsia"/>
          <w:color w:val="auto"/>
          <w:spacing w:val="1"/>
          <w:sz w:val="28"/>
          <w:szCs w:val="28"/>
          <w:u w:val="single"/>
          <w:lang w:val="en-US" w:eastAsia="zh-CN"/>
        </w:rPr>
        <w:t>，主要包括土建、采暖、给排水、强电、弱电五方面内容</w:t>
      </w:r>
      <w:r>
        <w:rPr>
          <w:rFonts w:hint="eastAsia" w:asciiTheme="minorEastAsia" w:hAnsiTheme="minorEastAsia" w:eastAsiaTheme="minorEastAsia" w:cstheme="minorEastAsia"/>
          <w:color w:val="auto"/>
          <w:spacing w:val="1"/>
          <w:sz w:val="28"/>
          <w:szCs w:val="28"/>
          <w:lang w:val="en-US" w:eastAsia="zh-CN"/>
        </w:rPr>
        <w:t>。</w:t>
      </w:r>
    </w:p>
    <w:p w14:paraId="66D3C82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3.验收标准：</w:t>
      </w:r>
      <w:r>
        <w:rPr>
          <w:rFonts w:hint="eastAsia" w:asciiTheme="minorEastAsia" w:hAnsiTheme="minorEastAsia" w:eastAsiaTheme="minorEastAsia" w:cstheme="minorEastAsia"/>
          <w:color w:val="auto"/>
          <w:spacing w:val="1"/>
          <w:sz w:val="28"/>
          <w:szCs w:val="28"/>
          <w:u w:val="single" w:color="auto"/>
        </w:rPr>
        <w:t>符合国家相关施工验收规范，</w:t>
      </w:r>
      <w:r>
        <w:rPr>
          <w:rFonts w:hint="eastAsia" w:asciiTheme="minorEastAsia" w:hAnsiTheme="minorEastAsia" w:eastAsiaTheme="minorEastAsia" w:cstheme="minorEastAsia"/>
          <w:color w:val="auto"/>
          <w:sz w:val="28"/>
          <w:szCs w:val="28"/>
          <w:u w:val="single" w:color="auto"/>
        </w:rPr>
        <w:t>并达到合格标准。</w:t>
      </w:r>
    </w:p>
    <w:p w14:paraId="46997F8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pacing w:val="-2"/>
          <w:sz w:val="28"/>
          <w:szCs w:val="28"/>
        </w:rPr>
        <w:t>4.验收方式：</w:t>
      </w:r>
      <w:r>
        <w:rPr>
          <w:rFonts w:hint="eastAsia" w:asciiTheme="minorEastAsia" w:hAnsiTheme="minorEastAsia" w:eastAsiaTheme="minorEastAsia" w:cstheme="minorEastAsia"/>
          <w:color w:val="auto"/>
          <w:spacing w:val="-2"/>
          <w:sz w:val="28"/>
          <w:szCs w:val="28"/>
          <w:u w:val="single" w:color="auto"/>
        </w:rPr>
        <w:t>由采购单位组织有关专业人员按相关的国家标准</w:t>
      </w:r>
      <w:r>
        <w:rPr>
          <w:rFonts w:hint="eastAsia" w:asciiTheme="minorEastAsia" w:hAnsiTheme="minorEastAsia" w:eastAsiaTheme="minorEastAsia" w:cstheme="minorEastAsia"/>
          <w:color w:val="auto"/>
          <w:spacing w:val="-2"/>
          <w:sz w:val="28"/>
          <w:szCs w:val="28"/>
          <w:u w:val="single" w:color="auto"/>
          <w:lang w:eastAsia="zh-CN"/>
        </w:rPr>
        <w:t>。</w:t>
      </w:r>
    </w:p>
    <w:p w14:paraId="478735D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u w:val="single" w:color="auto"/>
        </w:rPr>
        <w:t>质量标准和采购文件所列的各项要求进行验收。</w:t>
      </w:r>
    </w:p>
    <w:p w14:paraId="5CE028A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pacing w:val="-2"/>
          <w:sz w:val="28"/>
          <w:szCs w:val="28"/>
        </w:rPr>
        <w:t>5.验收依据：</w:t>
      </w:r>
      <w:r>
        <w:rPr>
          <w:rFonts w:hint="eastAsia" w:asciiTheme="minorEastAsia" w:hAnsiTheme="minorEastAsia" w:eastAsiaTheme="minorEastAsia" w:cstheme="minorEastAsia"/>
          <w:color w:val="auto"/>
          <w:spacing w:val="-2"/>
          <w:sz w:val="28"/>
          <w:szCs w:val="28"/>
          <w:u w:val="single" w:color="auto"/>
        </w:rPr>
        <w:t>由采购单位组织有关专业人员按相关的国家标准</w:t>
      </w:r>
      <w:r>
        <w:rPr>
          <w:rFonts w:hint="eastAsia" w:asciiTheme="minorEastAsia" w:hAnsiTheme="minorEastAsia" w:eastAsiaTheme="minorEastAsia" w:cstheme="minorEastAsia"/>
          <w:color w:val="auto"/>
          <w:spacing w:val="-2"/>
          <w:sz w:val="28"/>
          <w:szCs w:val="28"/>
          <w:u w:val="single" w:color="auto"/>
          <w:lang w:eastAsia="zh-CN"/>
        </w:rPr>
        <w:t>。</w:t>
      </w:r>
    </w:p>
    <w:p w14:paraId="47DA5D9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u w:val="single" w:color="auto"/>
        </w:rPr>
        <w:t>质量标准和采购文件所列的各项要求进行验收。</w:t>
      </w:r>
    </w:p>
    <w:p w14:paraId="2A7B5938">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十、不可抗力条款</w:t>
      </w:r>
    </w:p>
    <w:p w14:paraId="7B6F9AC4">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74350EFB">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bookmarkStart w:id="0" w:name="_Toc223404487"/>
      <w:r>
        <w:rPr>
          <w:rFonts w:hint="eastAsia" w:asciiTheme="minorEastAsia" w:hAnsiTheme="minorEastAsia" w:eastAsiaTheme="minorEastAsia" w:cstheme="minorEastAsia"/>
          <w:b/>
          <w:bCs/>
          <w:color w:val="auto"/>
          <w:sz w:val="28"/>
          <w:szCs w:val="28"/>
        </w:rPr>
        <w:t>十</w:t>
      </w:r>
      <w:r>
        <w:rPr>
          <w:rFonts w:hint="eastAsia" w:asciiTheme="minorEastAsia" w:hAnsiTheme="minorEastAsia" w:eastAsiaTheme="minorEastAsia" w:cstheme="minorEastAsia"/>
          <w:b/>
          <w:bCs/>
          <w:color w:val="auto"/>
          <w:sz w:val="28"/>
          <w:szCs w:val="28"/>
          <w:lang w:eastAsia="zh-CN"/>
        </w:rPr>
        <w:t>一</w:t>
      </w:r>
      <w:r>
        <w:rPr>
          <w:rFonts w:hint="eastAsia" w:asciiTheme="minorEastAsia" w:hAnsiTheme="minorEastAsia" w:eastAsiaTheme="minorEastAsia" w:cstheme="minorEastAsia"/>
          <w:b/>
          <w:bCs/>
          <w:color w:val="auto"/>
          <w:sz w:val="28"/>
          <w:szCs w:val="28"/>
        </w:rPr>
        <w:t>、争议的解决方式</w:t>
      </w:r>
      <w:bookmarkEnd w:id="0"/>
    </w:p>
    <w:p w14:paraId="2AF4FD48">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本合同执行过程中如发生争议，应本着友好的原则协商解决。协商不成产生的诉讼，由甲方所在地人民法院管辖</w:t>
      </w:r>
      <w:r>
        <w:rPr>
          <w:rFonts w:hint="eastAsia" w:asciiTheme="minorEastAsia" w:hAnsiTheme="minorEastAsia" w:eastAsiaTheme="minorEastAsia" w:cstheme="minorEastAsia"/>
          <w:color w:val="auto"/>
          <w:sz w:val="28"/>
          <w:szCs w:val="28"/>
          <w:lang w:eastAsia="zh-CN"/>
        </w:rPr>
        <w:t>。</w:t>
      </w:r>
    </w:p>
    <w:p w14:paraId="3E860B27">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bCs/>
          <w:color w:val="auto"/>
          <w:sz w:val="28"/>
          <w:szCs w:val="28"/>
        </w:rPr>
      </w:pPr>
      <w:bookmarkStart w:id="1" w:name="_Toc223404488"/>
      <w:r>
        <w:rPr>
          <w:rFonts w:hint="eastAsia" w:asciiTheme="minorEastAsia" w:hAnsiTheme="minorEastAsia" w:eastAsiaTheme="minorEastAsia" w:cstheme="minorEastAsia"/>
          <w:b/>
          <w:bCs/>
          <w:color w:val="auto"/>
          <w:sz w:val="28"/>
          <w:szCs w:val="28"/>
        </w:rPr>
        <w:t>十</w:t>
      </w:r>
      <w:r>
        <w:rPr>
          <w:rFonts w:hint="eastAsia" w:asciiTheme="minorEastAsia" w:hAnsiTheme="minorEastAsia" w:eastAsiaTheme="minorEastAsia" w:cstheme="minorEastAsia"/>
          <w:b/>
          <w:bCs/>
          <w:color w:val="auto"/>
          <w:sz w:val="28"/>
          <w:szCs w:val="28"/>
          <w:lang w:eastAsia="zh-CN"/>
        </w:rPr>
        <w:t>二</w:t>
      </w:r>
      <w:r>
        <w:rPr>
          <w:rFonts w:hint="eastAsia" w:asciiTheme="minorEastAsia" w:hAnsiTheme="minorEastAsia" w:eastAsiaTheme="minorEastAsia" w:cstheme="minorEastAsia"/>
          <w:b/>
          <w:bCs/>
          <w:color w:val="auto"/>
          <w:sz w:val="28"/>
          <w:szCs w:val="28"/>
        </w:rPr>
        <w:t>、补充协议</w:t>
      </w:r>
      <w:bookmarkEnd w:id="1"/>
    </w:p>
    <w:p w14:paraId="598FED0C">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合同未尽事宜，经双方协商可签订补充协议，所签订的补充协议与本合同具有同等的法律效力，补充协议的生效应符合本合同的有关规定。</w:t>
      </w:r>
    </w:p>
    <w:p w14:paraId="6371DCB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十</w:t>
      </w:r>
      <w:r>
        <w:rPr>
          <w:rFonts w:hint="eastAsia" w:asciiTheme="minorEastAsia" w:hAnsiTheme="minorEastAsia" w:eastAsiaTheme="minorEastAsia" w:cstheme="minorEastAsia"/>
          <w:b/>
          <w:color w:val="auto"/>
          <w:sz w:val="28"/>
          <w:szCs w:val="28"/>
          <w:lang w:eastAsia="zh-CN"/>
        </w:rPr>
        <w:t>三</w:t>
      </w:r>
      <w:r>
        <w:rPr>
          <w:rFonts w:hint="eastAsia" w:asciiTheme="minorEastAsia" w:hAnsiTheme="minorEastAsia" w:eastAsiaTheme="minorEastAsia" w:cstheme="minorEastAsia"/>
          <w:b/>
          <w:color w:val="auto"/>
          <w:sz w:val="28"/>
          <w:szCs w:val="28"/>
        </w:rPr>
        <w:t>、合同生效</w:t>
      </w:r>
    </w:p>
    <w:p w14:paraId="28CB4267">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 合同双方签订后生效。</w:t>
      </w:r>
    </w:p>
    <w:p w14:paraId="3F67A401">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 本合同一式六份，甲、乙双方各执两份，采购代理机构、监管机构各一份。</w:t>
      </w:r>
    </w:p>
    <w:p w14:paraId="3E8C69DF">
      <w:pPr>
        <w:widowControl w:val="0"/>
        <w:spacing w:after="120" w:afterAutospacing="0" w:line="300" w:lineRule="auto"/>
        <w:ind w:left="0" w:leftChars="0" w:firstLine="480" w:firstLineChars="200"/>
        <w:jc w:val="both"/>
        <w:rPr>
          <w:rFonts w:ascii="Times New Roman" w:hAnsi="Times New Roman" w:eastAsia="宋体" w:cs="Times New Roman"/>
          <w:color w:val="auto"/>
          <w:sz w:val="24"/>
          <w:szCs w:val="22"/>
        </w:rPr>
      </w:pPr>
      <w:r>
        <w:rPr>
          <w:rFonts w:ascii="Times New Roman" w:hAnsi="Times New Roman" w:eastAsia="宋体" w:cs="Times New Roman"/>
          <w:color w:val="auto"/>
          <w:sz w:val="24"/>
          <w:szCs w:val="22"/>
        </w:rPr>
        <w:t>------－以下无正文-----</w:t>
      </w:r>
    </w:p>
    <w:p w14:paraId="573D7B1E">
      <w:pPr>
        <w:widowControl w:val="0"/>
        <w:spacing w:after="120" w:afterAutospacing="0" w:line="300" w:lineRule="auto"/>
        <w:ind w:left="0" w:leftChars="0" w:firstLine="482" w:firstLineChars="200"/>
        <w:jc w:val="both"/>
        <w:rPr>
          <w:rFonts w:ascii="Times New Roman" w:hAnsi="Times New Roman" w:eastAsia="宋体" w:cs="Times New Roman"/>
          <w:b/>
          <w:bCs/>
          <w:color w:val="auto"/>
          <w:sz w:val="24"/>
          <w:szCs w:val="22"/>
        </w:rPr>
      </w:pPr>
      <w:r>
        <w:rPr>
          <w:rFonts w:ascii="Times New Roman" w:hAnsi="Times New Roman" w:eastAsia="宋体" w:cs="Times New Roman"/>
          <w:b/>
          <w:bCs/>
          <w:color w:val="auto"/>
          <w:sz w:val="24"/>
          <w:szCs w:val="22"/>
        </w:rPr>
        <w:t>注：本合同为简易版本，仅供参考，使用过程中，请结合具体项目，</w:t>
      </w:r>
      <w:r>
        <w:rPr>
          <w:rFonts w:hint="eastAsia" w:ascii="Times New Roman" w:hAnsi="Times New Roman" w:eastAsia="宋体" w:cs="Times New Roman"/>
          <w:b/>
          <w:bCs/>
          <w:color w:val="auto"/>
          <w:sz w:val="24"/>
          <w:szCs w:val="22"/>
          <w:lang w:val="en-US" w:eastAsia="zh-CN"/>
        </w:rPr>
        <w:t>修改</w:t>
      </w:r>
      <w:r>
        <w:rPr>
          <w:rFonts w:ascii="Times New Roman" w:hAnsi="Times New Roman" w:eastAsia="宋体" w:cs="Times New Roman"/>
          <w:b/>
          <w:bCs/>
          <w:color w:val="auto"/>
          <w:sz w:val="24"/>
          <w:szCs w:val="22"/>
        </w:rPr>
        <w:t>充实细化。</w:t>
      </w:r>
    </w:p>
    <w:p w14:paraId="640BABE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eastAsia="zh-CN"/>
        </w:rPr>
        <w:t>十四</w:t>
      </w:r>
      <w:r>
        <w:rPr>
          <w:rFonts w:hint="eastAsia" w:asciiTheme="minorEastAsia" w:hAnsiTheme="minorEastAsia" w:eastAsiaTheme="minorEastAsia" w:cstheme="minorEastAsia"/>
          <w:b/>
          <w:color w:val="auto"/>
          <w:sz w:val="28"/>
          <w:szCs w:val="28"/>
        </w:rPr>
        <w:t>、采购单位、采购单位地址、项目联系人及联系电话</w:t>
      </w:r>
    </w:p>
    <w:p w14:paraId="0AB8596B">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rPr>
      </w:pPr>
      <w:r>
        <w:rPr>
          <w:rFonts w:hint="eastAsia" w:asciiTheme="minorEastAsia" w:hAnsiTheme="minorEastAsia" w:eastAsiaTheme="minorEastAsia" w:cstheme="minorEastAsia"/>
          <w:b w:val="0"/>
          <w:bCs/>
          <w:color w:val="auto"/>
          <w:sz w:val="28"/>
          <w:szCs w:val="28"/>
        </w:rPr>
        <w:t>1、采购单位：府谷</w:t>
      </w:r>
      <w:r>
        <w:rPr>
          <w:rFonts w:hint="eastAsia" w:asciiTheme="minorEastAsia" w:hAnsiTheme="minorEastAsia" w:eastAsiaTheme="minorEastAsia" w:cstheme="minorEastAsia"/>
          <w:b w:val="0"/>
          <w:bCs/>
          <w:color w:val="auto"/>
          <w:sz w:val="28"/>
          <w:szCs w:val="28"/>
          <w:lang w:eastAsia="zh-CN"/>
        </w:rPr>
        <w:t>县府谷镇</w:t>
      </w:r>
      <w:r>
        <w:rPr>
          <w:rFonts w:hint="eastAsia" w:asciiTheme="minorEastAsia" w:hAnsiTheme="minorEastAsia" w:eastAsiaTheme="minorEastAsia" w:cstheme="minorEastAsia"/>
          <w:b w:val="0"/>
          <w:bCs/>
          <w:color w:val="auto"/>
          <w:sz w:val="28"/>
          <w:szCs w:val="28"/>
        </w:rPr>
        <w:t>人民政府</w:t>
      </w:r>
    </w:p>
    <w:p w14:paraId="25EAAC5A">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rPr>
        <w:t>2、采购单位地址：府谷县府谷镇</w:t>
      </w:r>
    </w:p>
    <w:p w14:paraId="181911EF">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rPr>
        <w:t>3、项目联系人：白耀   联系电话：15209122728</w:t>
      </w:r>
    </w:p>
    <w:p w14:paraId="7B49B95D">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color w:val="auto"/>
          <w:sz w:val="28"/>
          <w:szCs w:val="28"/>
          <w:lang w:val="en-US" w:eastAsia="zh-CN"/>
        </w:rPr>
      </w:pPr>
    </w:p>
    <w:p w14:paraId="5661E24B">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lang w:val="en-US" w:eastAsia="zh-CN"/>
        </w:rPr>
      </w:pPr>
      <w:bookmarkStart w:id="2" w:name="_GoBack"/>
      <w:bookmarkEnd w:id="2"/>
    </w:p>
    <w:p w14:paraId="6462F2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府谷镇人民政府   </w:t>
      </w:r>
    </w:p>
    <w:p w14:paraId="6768D3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202</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lang w:val="en-US" w:eastAsia="zh-CN"/>
        </w:rPr>
        <w:t>07</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lang w:val="en-US" w:eastAsia="zh-CN"/>
        </w:rPr>
        <w:t>09</w:t>
      </w:r>
      <w:r>
        <w:rPr>
          <w:rFonts w:hint="eastAsia" w:asciiTheme="minorEastAsia" w:hAnsiTheme="minorEastAsia" w:eastAsiaTheme="minorEastAsia" w:cstheme="minorEastAsia"/>
          <w:color w:val="auto"/>
          <w:sz w:val="28"/>
          <w:szCs w:val="28"/>
        </w:rPr>
        <w:t>日</w:t>
      </w:r>
    </w:p>
    <w:sectPr>
      <w:footerReference r:id="rId5" w:type="default"/>
      <w:pgSz w:w="11906" w:h="16839"/>
      <w:pgMar w:top="1440" w:right="1440" w:bottom="1440" w:left="144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书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KSOF4C539D17">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DA87">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2C3A9B"/>
    <w:multiLevelType w:val="singleLevel"/>
    <w:tmpl w:val="7A2C3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NzE5NTVhZDc3NTM3ZTE0OTRlNDY4Mjk4MGFkYTJiMGQifQ=="/>
  </w:docVars>
  <w:rsids>
    <w:rsidRoot w:val="00000000"/>
    <w:rsid w:val="001C7BAF"/>
    <w:rsid w:val="00ED3BD8"/>
    <w:rsid w:val="015C2A92"/>
    <w:rsid w:val="01BE7323"/>
    <w:rsid w:val="02F96864"/>
    <w:rsid w:val="030B2A3C"/>
    <w:rsid w:val="047D34C5"/>
    <w:rsid w:val="04905B25"/>
    <w:rsid w:val="06FD269B"/>
    <w:rsid w:val="0A9F5D59"/>
    <w:rsid w:val="0B4B40F9"/>
    <w:rsid w:val="0CC9371C"/>
    <w:rsid w:val="0E89540F"/>
    <w:rsid w:val="10702130"/>
    <w:rsid w:val="114C0FEF"/>
    <w:rsid w:val="11C40985"/>
    <w:rsid w:val="12C97576"/>
    <w:rsid w:val="136A78D4"/>
    <w:rsid w:val="154B57D6"/>
    <w:rsid w:val="178638B3"/>
    <w:rsid w:val="17BE19D3"/>
    <w:rsid w:val="195D36E8"/>
    <w:rsid w:val="19AD1CFF"/>
    <w:rsid w:val="1FD71884"/>
    <w:rsid w:val="20A43E5C"/>
    <w:rsid w:val="20DF18A3"/>
    <w:rsid w:val="223E3E3C"/>
    <w:rsid w:val="23F15CD9"/>
    <w:rsid w:val="24653D1B"/>
    <w:rsid w:val="248F097F"/>
    <w:rsid w:val="25C73A07"/>
    <w:rsid w:val="2A6F79E4"/>
    <w:rsid w:val="2B2142FB"/>
    <w:rsid w:val="2BDB094E"/>
    <w:rsid w:val="2BDD2F99"/>
    <w:rsid w:val="2C5F50DB"/>
    <w:rsid w:val="2D0B2859"/>
    <w:rsid w:val="2D553998"/>
    <w:rsid w:val="2E3B56D4"/>
    <w:rsid w:val="2F0401BB"/>
    <w:rsid w:val="30BA0FEB"/>
    <w:rsid w:val="31335E89"/>
    <w:rsid w:val="3430772F"/>
    <w:rsid w:val="346314E0"/>
    <w:rsid w:val="35D72186"/>
    <w:rsid w:val="36C26992"/>
    <w:rsid w:val="39A1686D"/>
    <w:rsid w:val="3C950F0C"/>
    <w:rsid w:val="3CEF41BB"/>
    <w:rsid w:val="3D1A067D"/>
    <w:rsid w:val="3DF5764D"/>
    <w:rsid w:val="3EBE3EE3"/>
    <w:rsid w:val="3EE94590"/>
    <w:rsid w:val="3F22090C"/>
    <w:rsid w:val="3FF83425"/>
    <w:rsid w:val="41EB0B09"/>
    <w:rsid w:val="423F533B"/>
    <w:rsid w:val="429243EA"/>
    <w:rsid w:val="4398326B"/>
    <w:rsid w:val="44176BB3"/>
    <w:rsid w:val="4442268F"/>
    <w:rsid w:val="44801C3A"/>
    <w:rsid w:val="474451A1"/>
    <w:rsid w:val="479357EC"/>
    <w:rsid w:val="4A9C4DD7"/>
    <w:rsid w:val="4B2A1C61"/>
    <w:rsid w:val="4B44389C"/>
    <w:rsid w:val="4C726BF0"/>
    <w:rsid w:val="4CBA69CA"/>
    <w:rsid w:val="4F3B50DC"/>
    <w:rsid w:val="515B1A65"/>
    <w:rsid w:val="51F77E26"/>
    <w:rsid w:val="52CB32A1"/>
    <w:rsid w:val="534C78B7"/>
    <w:rsid w:val="57C87729"/>
    <w:rsid w:val="584C2108"/>
    <w:rsid w:val="5A505C1D"/>
    <w:rsid w:val="5C5B2C49"/>
    <w:rsid w:val="5DE84681"/>
    <w:rsid w:val="62221995"/>
    <w:rsid w:val="62F3002F"/>
    <w:rsid w:val="643E0066"/>
    <w:rsid w:val="65907AD8"/>
    <w:rsid w:val="672A7AB8"/>
    <w:rsid w:val="67762CFD"/>
    <w:rsid w:val="679B2764"/>
    <w:rsid w:val="6ADC556D"/>
    <w:rsid w:val="6BA30B82"/>
    <w:rsid w:val="705C4933"/>
    <w:rsid w:val="70F6439B"/>
    <w:rsid w:val="72FA2A34"/>
    <w:rsid w:val="76263B40"/>
    <w:rsid w:val="76AC43C0"/>
    <w:rsid w:val="771756AC"/>
    <w:rsid w:val="786D079D"/>
    <w:rsid w:val="79F10830"/>
    <w:rsid w:val="7C105077"/>
    <w:rsid w:val="7C1735ED"/>
    <w:rsid w:val="7D6F401F"/>
    <w:rsid w:val="7E431C71"/>
    <w:rsid w:val="7EC10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qFormat/>
    <w:uiPriority w:val="0"/>
    <w:pPr>
      <w:keepNext w:val="0"/>
      <w:keepLines w:val="0"/>
      <w:widowControl w:val="0"/>
      <w:spacing w:before="240" w:beforeLines="0" w:after="120" w:afterLines="0" w:line="360" w:lineRule="auto"/>
      <w:jc w:val="left"/>
      <w:outlineLvl w:val="0"/>
    </w:pPr>
    <w:rPr>
      <w:rFonts w:ascii="宋体" w:hAnsi="宋体" w:eastAsia="宋体" w:cs="宋体"/>
      <w:b/>
      <w:bCs/>
      <w:kern w:val="44"/>
      <w:sz w:val="24"/>
      <w:szCs w:val="30"/>
    </w:rPr>
  </w:style>
  <w:style w:type="paragraph" w:styleId="3">
    <w:name w:val="heading 3"/>
    <w:basedOn w:val="1"/>
    <w:qFormat/>
    <w:uiPriority w:val="1"/>
    <w:pPr>
      <w:keepNext w:val="0"/>
      <w:keepLines w:val="0"/>
      <w:widowControl w:val="0"/>
      <w:spacing w:beforeAutospacing="0" w:after="120" w:afterAutospacing="0" w:line="300" w:lineRule="auto"/>
      <w:jc w:val="left"/>
      <w:outlineLvl w:val="2"/>
    </w:pPr>
    <w:rPr>
      <w:rFonts w:ascii="Times New Roman" w:hAnsi="Times New Roman" w:eastAsia="宋体" w:cs="Times New Roman"/>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Calibri" w:hAnsi="Calibri"/>
    </w:rPr>
  </w:style>
  <w:style w:type="paragraph" w:styleId="5">
    <w:name w:val="Body Text"/>
    <w:basedOn w:val="1"/>
    <w:qFormat/>
    <w:uiPriority w:val="0"/>
    <w:rPr>
      <w:rFonts w:ascii="宋体" w:hAnsi="宋体" w:eastAsia="宋体" w:cs="宋体"/>
      <w:sz w:val="28"/>
      <w:szCs w:val="28"/>
      <w:lang w:val="en-US" w:eastAsia="en-US" w:bidi="ar-SA"/>
    </w:rPr>
  </w:style>
  <w:style w:type="paragraph" w:styleId="6">
    <w:name w:val="footer"/>
    <w:basedOn w:val="1"/>
    <w:next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正文缩进1"/>
    <w:basedOn w:val="1"/>
    <w:qFormat/>
    <w:uiPriority w:val="0"/>
    <w:pPr>
      <w:ind w:firstLine="420" w:firstLineChars="200"/>
    </w:pPr>
  </w:style>
  <w:style w:type="paragraph" w:styleId="13">
    <w:name w:val="List Paragraph"/>
    <w:basedOn w:val="1"/>
    <w:qFormat/>
    <w:uiPriority w:val="1"/>
    <w:pPr>
      <w:spacing w:before="109"/>
      <w:ind w:left="117" w:firstLine="440"/>
    </w:pPr>
    <w:rPr>
      <w:rFonts w:ascii="方正书宋_GBK" w:hAnsi="方正书宋_GBK" w:eastAsia="方正书宋_GBK" w:cs="方正书宋_GBK"/>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2401</Words>
  <Characters>2482</Characters>
  <TotalTime>5</TotalTime>
  <ScaleCrop>false</ScaleCrop>
  <LinksUpToDate>false</LinksUpToDate>
  <CharactersWithSpaces>2554</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2023-09-21T13:04:00Z</dcterms:created>
  <dc:creator>Administrator</dc:creator>
  <cp:lastModifiedBy>Y..Y..H</cp:lastModifiedBy>
  <dcterms:modified xsi:type="dcterms:W3CDTF">2026-07-10T00:54:44Z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2023-10-11T17:40:13Z</vt:filetime>
  </property>
  <property fmtid="{D5CDD505-2E9C-101B-9397-08002B2CF9AE}" pid="4" name="KSOProductBuildVer">
    <vt:lpwstr>2052-12.1.0.26895</vt:lpwstr>
  </property>
  <property fmtid="{D5CDD505-2E9C-101B-9397-08002B2CF9AE}" pid="5" name="ICV">
    <vt:lpwstr>1BF7CBDF4BF4415E8B6FF87783773B0A_13</vt:lpwstr>
  </property>
  <property fmtid="{D5CDD505-2E9C-101B-9397-08002B2CF9AE}" pid="6" name="KSOTemplateDocerSaveRecord">
    <vt:lpwstr>eyJoZGlkIjoiYTcyMDJmMWNlZTQ0OGNhYWY5OTA0MjZlZDM4NTFmNWMiLCJ1c2VySWQiOiI1MjQzMjU5MDIifQ==</vt:lpwstr>
  </property>
</Properties>
</file>