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1AAD1">
      <w:pPr>
        <w:ind w:firstLine="2640" w:firstLineChars="600"/>
        <w:rPr>
          <w:rFonts w:hint="eastAsia" w:ascii="黑体" w:hAnsi="黑体" w:eastAsia="黑体"/>
          <w:color w:val="auto"/>
          <w:sz w:val="30"/>
          <w:szCs w:val="30"/>
        </w:rPr>
      </w:pPr>
      <w:r>
        <w:rPr>
          <w:rFonts w:hint="eastAsia" w:ascii="黑体" w:hAnsi="黑体" w:eastAsia="黑体"/>
          <w:color w:val="auto"/>
          <w:sz w:val="44"/>
          <w:szCs w:val="44"/>
        </w:rPr>
        <w:t>建设工程施工合同</w:t>
      </w:r>
    </w:p>
    <w:p w14:paraId="611AFFBF">
      <w:pPr>
        <w:spacing w:line="520" w:lineRule="exact"/>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发包方：咸阳师范学院</w:t>
      </w:r>
    </w:p>
    <w:p w14:paraId="08FC3A2F">
      <w:pPr>
        <w:spacing w:line="520" w:lineRule="exact"/>
        <w:rPr>
          <w:rFonts w:hint="eastAsia" w:ascii="仿宋_GB2312" w:hAnsi="宋体" w:eastAsia="仿宋_GB2312"/>
          <w:b/>
          <w:bCs/>
          <w:color w:val="auto"/>
          <w:sz w:val="28"/>
          <w:szCs w:val="28"/>
        </w:rPr>
      </w:pPr>
      <w:r>
        <w:rPr>
          <w:rFonts w:hint="eastAsia" w:ascii="仿宋_GB2312" w:hAnsi="宋体" w:eastAsia="仿宋_GB2312"/>
          <w:color w:val="auto"/>
          <w:sz w:val="28"/>
          <w:szCs w:val="28"/>
        </w:rPr>
        <w:t>承包方：</w:t>
      </w:r>
    </w:p>
    <w:p w14:paraId="0ED81DC9">
      <w:pPr>
        <w:spacing w:line="520" w:lineRule="exact"/>
        <w:ind w:firstLine="560" w:firstLineChars="200"/>
        <w:rPr>
          <w:rFonts w:ascii="仿宋_GB2312" w:eastAsia="仿宋_GB2312"/>
          <w:color w:val="auto"/>
          <w:sz w:val="28"/>
          <w:szCs w:val="28"/>
        </w:rPr>
      </w:pPr>
      <w:r>
        <w:rPr>
          <w:rFonts w:hint="eastAsia" w:ascii="仿宋_GB2312" w:hAnsi="宋体" w:eastAsia="仿宋_GB2312"/>
          <w:color w:val="auto"/>
          <w:sz w:val="28"/>
          <w:szCs w:val="28"/>
        </w:rPr>
        <w:t>依照《中华人民共和国民法典》《中华人民共和国建筑法》及其他有关法律、行政法规，遵循平等、自愿、公平和诚实信用的原则，双方就本建设工程施工协商一致，共同达成如下协议。</w:t>
      </w:r>
    </w:p>
    <w:p w14:paraId="2094216A">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一、工程概况</w:t>
      </w:r>
    </w:p>
    <w:p w14:paraId="081B30F2">
      <w:pPr>
        <w:spacing w:line="520" w:lineRule="exact"/>
        <w:ind w:firstLine="560" w:firstLineChars="200"/>
        <w:jc w:val="left"/>
        <w:rPr>
          <w:rFonts w:hint="eastAsia" w:ascii="仿宋_GB2312" w:hAnsi="宋体" w:eastAsia="仿宋_GB2312"/>
          <w:color w:val="auto"/>
          <w:spacing w:val="-10"/>
          <w:sz w:val="28"/>
          <w:szCs w:val="28"/>
        </w:rPr>
      </w:pPr>
      <w:r>
        <w:rPr>
          <w:rFonts w:hint="eastAsia" w:ascii="仿宋_GB2312" w:hAnsi="宋体" w:eastAsia="仿宋_GB2312"/>
          <w:color w:val="auto"/>
          <w:sz w:val="28"/>
          <w:szCs w:val="28"/>
        </w:rPr>
        <w:t>1.工程名称：</w:t>
      </w:r>
      <w:r>
        <w:rPr>
          <w:rFonts w:hint="eastAsia" w:ascii="仿宋_GB2312" w:hAnsi="宋体" w:eastAsia="仿宋_GB2312"/>
          <w:color w:val="auto"/>
          <w:spacing w:val="-10"/>
          <w:sz w:val="28"/>
          <w:szCs w:val="28"/>
        </w:rPr>
        <w:t xml:space="preserve"> </w:t>
      </w:r>
      <w:bookmarkStart w:id="22" w:name="_GoBack"/>
      <w:bookmarkEnd w:id="22"/>
    </w:p>
    <w:p w14:paraId="2A62D5AC">
      <w:pPr>
        <w:spacing w:line="336" w:lineRule="auto"/>
        <w:ind w:firstLine="548" w:firstLineChars="196"/>
        <w:rPr>
          <w:rFonts w:hint="eastAsia" w:ascii="仿宋_GB2312" w:hAnsi="宋体" w:eastAsia="仿宋_GB2312"/>
          <w:color w:val="auto"/>
          <w:sz w:val="28"/>
          <w:szCs w:val="28"/>
        </w:rPr>
      </w:pPr>
      <w:r>
        <w:rPr>
          <w:rFonts w:hint="eastAsia" w:ascii="仿宋_GB2312" w:hAnsi="宋体" w:eastAsia="仿宋_GB2312"/>
          <w:color w:val="auto"/>
          <w:sz w:val="28"/>
          <w:szCs w:val="28"/>
        </w:rPr>
        <w:t>2.工程地点：咸阳师范学院    校区</w:t>
      </w:r>
    </w:p>
    <w:p w14:paraId="47A5C3FE">
      <w:pPr>
        <w:spacing w:line="336" w:lineRule="auto"/>
        <w:ind w:firstLine="548" w:firstLineChars="196"/>
        <w:rPr>
          <w:rFonts w:hint="eastAsia" w:ascii="仿宋_GB2312" w:hAnsi="宋体" w:eastAsia="仿宋_GB2312"/>
          <w:color w:val="auto"/>
          <w:sz w:val="28"/>
          <w:szCs w:val="28"/>
        </w:rPr>
      </w:pPr>
      <w:r>
        <w:rPr>
          <w:rFonts w:ascii="仿宋_GB2312" w:hAnsi="宋体" w:eastAsia="仿宋_GB2312"/>
          <w:color w:val="auto"/>
          <w:sz w:val="28"/>
          <w:szCs w:val="28"/>
        </w:rPr>
        <w:t>3</w:t>
      </w:r>
      <w:r>
        <w:rPr>
          <w:rFonts w:hint="eastAsia" w:ascii="仿宋_GB2312" w:hAnsi="宋体" w:eastAsia="仿宋_GB2312"/>
          <w:color w:val="auto"/>
          <w:sz w:val="28"/>
          <w:szCs w:val="28"/>
        </w:rPr>
        <w:t>.工程内容：</w:t>
      </w:r>
      <w:r>
        <w:rPr>
          <w:rFonts w:hint="eastAsia" w:ascii="仿宋_GB2312" w:hAnsi="仿宋" w:eastAsia="仿宋_GB2312"/>
          <w:color w:val="auto"/>
          <w:sz w:val="28"/>
          <w:szCs w:val="28"/>
        </w:rPr>
        <w:t>竞争性磋商文件中规定内容</w:t>
      </w:r>
      <w:r>
        <w:rPr>
          <w:rFonts w:hint="eastAsia" w:ascii="仿宋_GB2312" w:hAnsi="宋体" w:eastAsia="仿宋_GB2312"/>
          <w:color w:val="auto"/>
          <w:sz w:val="28"/>
          <w:szCs w:val="28"/>
        </w:rPr>
        <w:t>。</w:t>
      </w:r>
    </w:p>
    <w:p w14:paraId="1DEA34DC">
      <w:pPr>
        <w:spacing w:line="520" w:lineRule="exact"/>
        <w:ind w:firstLine="562" w:firstLineChars="200"/>
        <w:jc w:val="left"/>
        <w:rPr>
          <w:rFonts w:hint="eastAsia" w:ascii="仿宋_GB2312" w:hAnsi="宋体" w:eastAsia="仿宋_GB2312"/>
          <w:b/>
          <w:color w:val="auto"/>
          <w:sz w:val="28"/>
          <w:szCs w:val="28"/>
        </w:rPr>
      </w:pPr>
      <w:bookmarkStart w:id="0" w:name="_Toc351203482"/>
      <w:r>
        <w:rPr>
          <w:rFonts w:hint="eastAsia" w:ascii="仿宋_GB2312" w:hAnsi="宋体" w:eastAsia="仿宋_GB2312"/>
          <w:b/>
          <w:color w:val="auto"/>
          <w:sz w:val="28"/>
          <w:szCs w:val="28"/>
        </w:rPr>
        <w:t>二、工期</w:t>
      </w:r>
      <w:bookmarkEnd w:id="0"/>
      <w:r>
        <w:rPr>
          <w:rFonts w:hint="eastAsia" w:ascii="仿宋_GB2312" w:hAnsi="宋体" w:eastAsia="仿宋_GB2312"/>
          <w:b/>
          <w:color w:val="auto"/>
          <w:sz w:val="28"/>
          <w:szCs w:val="28"/>
        </w:rPr>
        <w:t>要求</w:t>
      </w:r>
    </w:p>
    <w:p w14:paraId="6A8BB826">
      <w:pPr>
        <w:spacing w:line="480" w:lineRule="exact"/>
        <w:ind w:firstLine="459"/>
        <w:rPr>
          <w:rFonts w:hint="eastAsia" w:ascii="仿宋_GB2312" w:hAnsi="仿宋" w:eastAsia="仿宋_GB2312"/>
          <w:color w:val="auto"/>
          <w:sz w:val="28"/>
          <w:szCs w:val="28"/>
        </w:rPr>
      </w:pPr>
      <w:r>
        <w:rPr>
          <w:rFonts w:hint="eastAsia" w:ascii="仿宋_GB2312" w:hAnsi="仿宋" w:eastAsia="仿宋_GB2312"/>
          <w:color w:val="auto"/>
          <w:sz w:val="28"/>
          <w:szCs w:val="28"/>
        </w:rPr>
        <w:t>1.计划开工日期：</w:t>
      </w:r>
      <w:r>
        <w:rPr>
          <w:rFonts w:hint="eastAsia" w:ascii="仿宋_GB2312" w:hAnsi="仿宋" w:eastAsia="仿宋_GB2312"/>
          <w:color w:val="auto"/>
          <w:sz w:val="28"/>
          <w:szCs w:val="28"/>
          <w:u w:val="single"/>
        </w:rPr>
        <w:t xml:space="preserve"> 202</w:t>
      </w:r>
      <w:r>
        <w:rPr>
          <w:rFonts w:ascii="仿宋_GB2312" w:hAnsi="仿宋" w:eastAsia="仿宋_GB2312"/>
          <w:color w:val="auto"/>
          <w:sz w:val="28"/>
          <w:szCs w:val="28"/>
          <w:u w:val="single"/>
        </w:rPr>
        <w:t>6</w:t>
      </w:r>
      <w:r>
        <w:rPr>
          <w:rFonts w:hint="eastAsia" w:ascii="仿宋_GB2312" w:hAnsi="仿宋" w:eastAsia="仿宋_GB2312"/>
          <w:color w:val="auto"/>
          <w:sz w:val="28"/>
          <w:szCs w:val="28"/>
          <w:u w:val="single"/>
        </w:rPr>
        <w:t>年  月  日。</w:t>
      </w:r>
    </w:p>
    <w:p w14:paraId="4D19DF72">
      <w:pPr>
        <w:spacing w:line="480" w:lineRule="exact"/>
        <w:ind w:firstLine="459"/>
        <w:rPr>
          <w:rFonts w:hint="eastAsia" w:ascii="仿宋_GB2312" w:hAnsi="仿宋" w:eastAsia="仿宋_GB2312"/>
          <w:color w:val="auto"/>
          <w:sz w:val="28"/>
          <w:szCs w:val="28"/>
        </w:rPr>
      </w:pPr>
      <w:r>
        <w:rPr>
          <w:rFonts w:hint="eastAsia" w:ascii="仿宋_GB2312" w:hAnsi="仿宋" w:eastAsia="仿宋_GB2312"/>
          <w:color w:val="auto"/>
          <w:sz w:val="28"/>
          <w:szCs w:val="28"/>
        </w:rPr>
        <w:t>2.计划竣工日期：</w:t>
      </w:r>
      <w:r>
        <w:rPr>
          <w:rFonts w:hint="eastAsia" w:ascii="仿宋_GB2312" w:hAnsi="仿宋" w:eastAsia="仿宋_GB2312"/>
          <w:color w:val="auto"/>
          <w:sz w:val="28"/>
          <w:szCs w:val="28"/>
          <w:u w:val="single"/>
        </w:rPr>
        <w:t>202</w:t>
      </w:r>
      <w:r>
        <w:rPr>
          <w:rFonts w:ascii="仿宋_GB2312" w:hAnsi="仿宋" w:eastAsia="仿宋_GB2312"/>
          <w:color w:val="auto"/>
          <w:sz w:val="28"/>
          <w:szCs w:val="28"/>
          <w:u w:val="single"/>
        </w:rPr>
        <w:t>6</w:t>
      </w:r>
      <w:r>
        <w:rPr>
          <w:rFonts w:hint="eastAsia" w:ascii="仿宋_GB2312" w:hAnsi="仿宋" w:eastAsia="仿宋_GB2312"/>
          <w:color w:val="auto"/>
          <w:sz w:val="28"/>
          <w:szCs w:val="28"/>
        </w:rPr>
        <w:t>年</w:t>
      </w:r>
      <w:r>
        <w:rPr>
          <w:rFonts w:ascii="仿宋_GB2312" w:hAnsi="仿宋" w:eastAsia="仿宋_GB2312"/>
          <w:color w:val="auto"/>
          <w:sz w:val="28"/>
          <w:szCs w:val="28"/>
          <w:u w:val="single"/>
        </w:rPr>
        <w:t xml:space="preserve">  </w:t>
      </w:r>
      <w:r>
        <w:rPr>
          <w:rFonts w:hint="eastAsia" w:ascii="仿宋_GB2312" w:hAnsi="仿宋" w:eastAsia="仿宋_GB2312"/>
          <w:color w:val="auto"/>
          <w:sz w:val="28"/>
          <w:szCs w:val="28"/>
        </w:rPr>
        <w:t>月</w:t>
      </w:r>
      <w:r>
        <w:rPr>
          <w:rFonts w:ascii="仿宋_GB2312" w:hAnsi="仿宋" w:eastAsia="仿宋_GB2312"/>
          <w:color w:val="auto"/>
          <w:sz w:val="28"/>
          <w:szCs w:val="28"/>
          <w:u w:val="single"/>
        </w:rPr>
        <w:t xml:space="preserve">   </w:t>
      </w:r>
      <w:r>
        <w:rPr>
          <w:rFonts w:hint="eastAsia" w:ascii="仿宋_GB2312" w:hAnsi="仿宋" w:eastAsia="仿宋_GB2312"/>
          <w:color w:val="auto"/>
          <w:sz w:val="28"/>
          <w:szCs w:val="28"/>
          <w:u w:val="single"/>
        </w:rPr>
        <w:t>日。</w:t>
      </w:r>
    </w:p>
    <w:p w14:paraId="7713487D">
      <w:pPr>
        <w:spacing w:line="480" w:lineRule="exact"/>
        <w:ind w:firstLine="459"/>
        <w:rPr>
          <w:rFonts w:hint="eastAsia" w:ascii="仿宋_GB2312" w:hAnsi="仿宋" w:eastAsia="仿宋_GB2312"/>
          <w:color w:val="auto"/>
          <w:sz w:val="28"/>
          <w:szCs w:val="28"/>
        </w:rPr>
      </w:pPr>
      <w:r>
        <w:rPr>
          <w:rFonts w:hint="eastAsia" w:ascii="仿宋_GB2312" w:hAnsi="仿宋" w:eastAsia="仿宋_GB2312"/>
          <w:color w:val="auto"/>
          <w:sz w:val="28"/>
          <w:szCs w:val="28"/>
        </w:rPr>
        <w:t>工期总日历天数：</w:t>
      </w:r>
      <w:r>
        <w:rPr>
          <w:rFonts w:hint="eastAsia" w:ascii="仿宋_GB2312" w:hAnsi="仿宋" w:eastAsia="仿宋_GB2312"/>
          <w:color w:val="auto"/>
          <w:sz w:val="28"/>
          <w:szCs w:val="28"/>
          <w:u w:val="single"/>
        </w:rPr>
        <w:t xml:space="preserve">   </w:t>
      </w:r>
      <w:r>
        <w:rPr>
          <w:rFonts w:hint="eastAsia" w:ascii="仿宋_GB2312" w:hAnsi="仿宋" w:eastAsia="仿宋_GB2312"/>
          <w:color w:val="auto"/>
          <w:sz w:val="28"/>
          <w:szCs w:val="28"/>
        </w:rPr>
        <w:t>天。工期总日历天数与根据前述计划开竣工日期计算的工期天数不一致的，以工期总日历天数为准，施工全程符合咸阳市环保要求。</w:t>
      </w:r>
    </w:p>
    <w:p w14:paraId="1686C426">
      <w:pPr>
        <w:spacing w:line="520" w:lineRule="exact"/>
        <w:ind w:firstLine="562" w:firstLineChars="200"/>
        <w:jc w:val="left"/>
        <w:rPr>
          <w:rFonts w:hint="eastAsia" w:ascii="仿宋_GB2312" w:hAnsi="宋体" w:eastAsia="仿宋_GB2312"/>
          <w:b/>
          <w:color w:val="auto"/>
          <w:sz w:val="28"/>
          <w:szCs w:val="28"/>
        </w:rPr>
      </w:pPr>
      <w:bookmarkStart w:id="1" w:name="_Toc351203483"/>
      <w:r>
        <w:rPr>
          <w:rFonts w:hint="eastAsia" w:ascii="仿宋_GB2312" w:hAnsi="宋体" w:eastAsia="仿宋_GB2312"/>
          <w:b/>
          <w:color w:val="auto"/>
          <w:sz w:val="28"/>
          <w:szCs w:val="28"/>
        </w:rPr>
        <w:t>三、质量标准</w:t>
      </w:r>
      <w:bookmarkEnd w:id="1"/>
      <w:r>
        <w:rPr>
          <w:rFonts w:hint="eastAsia" w:ascii="仿宋_GB2312" w:hAnsi="宋体" w:eastAsia="仿宋_GB2312"/>
          <w:b/>
          <w:color w:val="auto"/>
          <w:sz w:val="28"/>
          <w:szCs w:val="28"/>
        </w:rPr>
        <w:t>及要求</w:t>
      </w:r>
    </w:p>
    <w:p w14:paraId="50AF712E">
      <w:pPr>
        <w:spacing w:line="52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w:t>
      </w:r>
      <w:r>
        <w:rPr>
          <w:rFonts w:hint="eastAsia" w:ascii="仿宋_GB2312" w:hAnsi="仿宋" w:eastAsia="仿宋_GB2312"/>
          <w:color w:val="auto"/>
          <w:sz w:val="28"/>
          <w:szCs w:val="28"/>
        </w:rPr>
        <w:t>工程质量符合</w:t>
      </w:r>
      <w:r>
        <w:rPr>
          <w:rFonts w:hint="eastAsia" w:ascii="仿宋_GB2312" w:hAnsi="仿宋" w:eastAsia="仿宋_GB2312"/>
          <w:bCs/>
          <w:color w:val="auto"/>
          <w:sz w:val="28"/>
          <w:szCs w:val="28"/>
        </w:rPr>
        <w:t>现行国家有关工程施工质量验收规范和</w:t>
      </w:r>
      <w:r>
        <w:rPr>
          <w:rFonts w:hint="eastAsia" w:ascii="仿宋_GB2312" w:hAnsi="仿宋" w:eastAsia="仿宋_GB2312"/>
          <w:color w:val="auto"/>
          <w:sz w:val="28"/>
          <w:szCs w:val="28"/>
        </w:rPr>
        <w:t>标准，竣工验收工程</w:t>
      </w:r>
      <w:r>
        <w:rPr>
          <w:rFonts w:hint="eastAsia" w:ascii="仿宋_GB2312" w:hAnsi="宋体" w:eastAsia="仿宋_GB2312"/>
          <w:color w:val="auto"/>
          <w:sz w:val="28"/>
          <w:szCs w:val="28"/>
        </w:rPr>
        <w:t>质量达到合格标准。</w:t>
      </w:r>
    </w:p>
    <w:p w14:paraId="6AF4A5D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质保要求：根据</w:t>
      </w:r>
      <w:r>
        <w:rPr>
          <w:rFonts w:hint="eastAsia" w:ascii="仿宋_GB2312" w:hAnsi="宋体" w:eastAsia="仿宋_GB2312"/>
          <w:color w:val="auto"/>
          <w:sz w:val="28"/>
          <w:szCs w:val="28"/>
        </w:rPr>
        <w:t>《建设工程质量保证金管理办法》</w:t>
      </w:r>
      <w:r>
        <w:rPr>
          <w:rFonts w:hint="eastAsia" w:ascii="仿宋_GB2312" w:hAnsi="宋体" w:eastAsia="仿宋_GB2312"/>
          <w:color w:val="auto"/>
          <w:sz w:val="28"/>
          <w:szCs w:val="28"/>
        </w:rPr>
        <w:t>及有关规定，该项工程质保期（缺陷</w:t>
      </w:r>
      <w:r>
        <w:rPr>
          <w:rFonts w:ascii="仿宋_GB2312" w:hAnsi="宋体" w:eastAsia="仿宋_GB2312"/>
          <w:color w:val="auto"/>
          <w:sz w:val="28"/>
          <w:szCs w:val="28"/>
        </w:rPr>
        <w:t>责任</w:t>
      </w:r>
      <w:r>
        <w:rPr>
          <w:rFonts w:hint="eastAsia" w:ascii="仿宋_GB2312" w:hAnsi="宋体" w:eastAsia="仿宋_GB2312"/>
          <w:color w:val="auto"/>
          <w:sz w:val="28"/>
          <w:szCs w:val="28"/>
        </w:rPr>
        <w:t>期）为</w:t>
      </w:r>
      <w:r>
        <w:rPr>
          <w:rFonts w:ascii="仿宋_GB2312" w:hAnsi="宋体" w:eastAsia="仿宋_GB2312"/>
          <w:color w:val="auto"/>
          <w:sz w:val="28"/>
          <w:szCs w:val="28"/>
        </w:rPr>
        <w:t xml:space="preserve">  </w:t>
      </w:r>
      <w:r>
        <w:rPr>
          <w:rFonts w:hint="eastAsia" w:ascii="仿宋_GB2312" w:hAnsi="宋体" w:eastAsia="仿宋_GB2312"/>
          <w:color w:val="auto"/>
          <w:sz w:val="28"/>
          <w:szCs w:val="28"/>
        </w:rPr>
        <w:t>年。</w:t>
      </w:r>
    </w:p>
    <w:p w14:paraId="684381AC">
      <w:pPr>
        <w:spacing w:line="52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olor w:val="auto"/>
          <w:sz w:val="28"/>
          <w:szCs w:val="28"/>
        </w:rPr>
        <w:t>3.约定本工程竣工验收机构为咸阳师范学院专项采购工作小组成员相关单位。</w:t>
      </w:r>
    </w:p>
    <w:p w14:paraId="4443B57F">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四、合同价款：</w:t>
      </w:r>
    </w:p>
    <w:p w14:paraId="054E78D0">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合同总价（含税价）：</w:t>
      </w:r>
    </w:p>
    <w:p w14:paraId="6A460828">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w:t>
      </w:r>
      <w:r>
        <w:rPr>
          <w:rFonts w:hint="eastAsia" w:ascii="宋体" w:hAnsi="宋体" w:eastAsia="仿宋_GB2312"/>
          <w:color w:val="auto"/>
          <w:sz w:val="28"/>
          <w:szCs w:val="28"/>
        </w:rPr>
        <w:t>¥</w:t>
      </w:r>
      <w:r>
        <w:rPr>
          <w:rFonts w:hint="eastAsia" w:ascii="仿宋_GB2312" w:hAnsi="宋体" w:eastAsia="仿宋_GB2312"/>
          <w:color w:val="auto"/>
          <w:sz w:val="28"/>
          <w:szCs w:val="28"/>
        </w:rPr>
        <w:t xml:space="preserve">      元）。</w:t>
      </w:r>
    </w:p>
    <w:p w14:paraId="6E685B3F">
      <w:pPr>
        <w:spacing w:line="520" w:lineRule="exact"/>
        <w:ind w:firstLine="560" w:firstLineChars="200"/>
        <w:rPr>
          <w:rFonts w:ascii="仿宋_GB2312" w:eastAsia="仿宋_GB2312"/>
          <w:color w:val="auto"/>
          <w:sz w:val="28"/>
          <w:szCs w:val="28"/>
        </w:rPr>
      </w:pPr>
      <w:r>
        <w:rPr>
          <w:rFonts w:hint="eastAsia" w:ascii="仿宋_GB2312" w:hAnsi="宋体" w:eastAsia="仿宋_GB2312"/>
          <w:color w:val="auto"/>
          <w:sz w:val="28"/>
          <w:szCs w:val="28"/>
        </w:rPr>
        <w:t>1.本合同为固定综合</w:t>
      </w:r>
      <w:r>
        <w:rPr>
          <w:rFonts w:ascii="仿宋_GB2312" w:hAnsi="宋体" w:eastAsia="仿宋_GB2312"/>
          <w:color w:val="auto"/>
          <w:sz w:val="28"/>
          <w:szCs w:val="28"/>
        </w:rPr>
        <w:t>单价</w:t>
      </w:r>
      <w:r>
        <w:rPr>
          <w:rFonts w:hint="eastAsia" w:ascii="仿宋_GB2312" w:hAnsi="宋体" w:eastAsia="仿宋_GB2312"/>
          <w:color w:val="auto"/>
          <w:sz w:val="28"/>
          <w:szCs w:val="28"/>
        </w:rPr>
        <w:t>合同，结算时工程量据实结算调整。</w:t>
      </w:r>
    </w:p>
    <w:p w14:paraId="7DE20347">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在施工过程中出现的发包方同意的工程变更和签证，结算时，投标文件清单中有相同项目的，按照相同项目综合单价认定；无相同项目，但有类似项目的，参照类似项目的综合单价认定；没有相同项目也无类似项目的，由承包方按当时的政府人工调价文件及当期咸阳材料信息价（咸阳材料信息价没有的材料，由发包方组织认质认价）组价，报发包方审定。</w:t>
      </w:r>
    </w:p>
    <w:p w14:paraId="640F3E32">
      <w:pPr>
        <w:spacing w:line="520" w:lineRule="exact"/>
        <w:ind w:firstLine="560" w:firstLineChars="200"/>
        <w:jc w:val="left"/>
        <w:rPr>
          <w:rFonts w:hint="eastAsia" w:ascii="仿宋_GB2312" w:hAnsi="宋体" w:eastAsia="仿宋_GB2312"/>
          <w:color w:val="auto"/>
          <w:sz w:val="28"/>
          <w:szCs w:val="28"/>
        </w:rPr>
      </w:pPr>
      <w:r>
        <w:rPr>
          <w:rFonts w:ascii="仿宋_GB2312" w:hAnsi="宋体" w:eastAsia="仿宋_GB2312"/>
          <w:color w:val="auto"/>
          <w:sz w:val="28"/>
          <w:szCs w:val="28"/>
        </w:rPr>
        <w:t>3.</w:t>
      </w:r>
      <w:r>
        <w:rPr>
          <w:rFonts w:hint="eastAsia" w:ascii="仿宋_GB2312" w:hAnsi="宋体" w:eastAsia="仿宋_GB2312"/>
          <w:color w:val="auto"/>
          <w:sz w:val="28"/>
          <w:szCs w:val="28"/>
        </w:rPr>
        <w:t>结算时合同内量差总价、每项现场签证及设计变更总价执行商下浮率，下浮率=[（一次磋商总报价（不含专业工程暂估价、暂列金额）- 最后磋商报价（不含专业工程暂估价、暂列金额））/一次磋商总报价]*100%。</w:t>
      </w:r>
    </w:p>
    <w:p w14:paraId="06276BA3">
      <w:pPr>
        <w:spacing w:line="480" w:lineRule="exact"/>
        <w:ind w:firstLine="560" w:firstLineChars="200"/>
        <w:rPr>
          <w:rFonts w:hint="eastAsia" w:ascii="仿宋_GB2312" w:hAnsi="宋体" w:eastAsia="仿宋_GB2312"/>
          <w:color w:val="auto"/>
          <w:sz w:val="28"/>
          <w:szCs w:val="28"/>
        </w:rPr>
      </w:pPr>
      <w:r>
        <w:rPr>
          <w:rFonts w:ascii="仿宋_GB2312" w:hAnsi="仿宋" w:eastAsia="仿宋_GB2312"/>
          <w:color w:val="auto"/>
          <w:sz w:val="28"/>
          <w:szCs w:val="28"/>
        </w:rPr>
        <w:t>4</w:t>
      </w:r>
      <w:r>
        <w:rPr>
          <w:rFonts w:hint="eastAsia" w:ascii="仿宋_GB2312" w:hAnsi="仿宋" w:eastAsia="仿宋_GB2312"/>
          <w:color w:val="auto"/>
          <w:sz w:val="28"/>
          <w:szCs w:val="28"/>
        </w:rPr>
        <w:t>.</w:t>
      </w:r>
      <w:r>
        <w:rPr>
          <w:rFonts w:hint="eastAsia" w:ascii="仿宋_GB2312" w:hAnsi="仿宋" w:eastAsia="仿宋_GB2312"/>
          <w:color w:val="auto"/>
          <w:sz w:val="28"/>
          <w:szCs w:val="28"/>
        </w:rPr>
        <w:t>履约保证金：合同</w:t>
      </w:r>
      <w:r>
        <w:rPr>
          <w:rFonts w:ascii="仿宋_GB2312" w:hAnsi="仿宋" w:eastAsia="仿宋_GB2312"/>
          <w:color w:val="auto"/>
          <w:sz w:val="28"/>
          <w:szCs w:val="28"/>
        </w:rPr>
        <w:t>签订</w:t>
      </w:r>
      <w:r>
        <w:rPr>
          <w:rFonts w:hint="eastAsia" w:ascii="仿宋_GB2312" w:hAnsi="仿宋" w:eastAsia="仿宋_GB2312"/>
          <w:color w:val="auto"/>
          <w:sz w:val="28"/>
          <w:szCs w:val="28"/>
        </w:rPr>
        <w:t>前，承包方向发包方按照</w:t>
      </w:r>
      <w:r>
        <w:rPr>
          <w:rFonts w:ascii="仿宋_GB2312" w:hAnsi="仿宋" w:eastAsia="仿宋_GB2312"/>
          <w:color w:val="auto"/>
          <w:sz w:val="28"/>
          <w:szCs w:val="28"/>
        </w:rPr>
        <w:t>合同总金额的</w:t>
      </w:r>
      <w:r>
        <w:rPr>
          <w:rFonts w:hint="eastAsia" w:ascii="仿宋_GB2312" w:hAnsi="仿宋" w:eastAsia="仿宋_GB2312"/>
          <w:color w:val="auto"/>
          <w:sz w:val="28"/>
          <w:szCs w:val="28"/>
        </w:rPr>
        <w:t>5％取整</w:t>
      </w:r>
      <w:r>
        <w:rPr>
          <w:rFonts w:ascii="仿宋_GB2312" w:hAnsi="仿宋" w:eastAsia="仿宋_GB2312"/>
          <w:color w:val="auto"/>
          <w:sz w:val="28"/>
          <w:szCs w:val="28"/>
        </w:rPr>
        <w:t>缴纳</w:t>
      </w:r>
      <w:r>
        <w:rPr>
          <w:rFonts w:hint="eastAsia" w:ascii="仿宋_GB2312" w:hAnsi="仿宋" w:eastAsia="仿宋_GB2312"/>
          <w:color w:val="auto"/>
          <w:sz w:val="28"/>
          <w:szCs w:val="28"/>
        </w:rPr>
        <w:t>履约保证金（即</w:t>
      </w:r>
      <w:r>
        <w:rPr>
          <w:rFonts w:hint="eastAsia" w:ascii="宋体" w:hAnsi="宋体" w:eastAsia="仿宋_GB2312"/>
          <w:color w:val="auto"/>
          <w:sz w:val="28"/>
          <w:szCs w:val="28"/>
        </w:rPr>
        <w:t>¥</w:t>
      </w:r>
      <w:r>
        <w:rPr>
          <w:rFonts w:ascii="仿宋_GB2312" w:hAnsi="仿宋" w:eastAsia="仿宋_GB2312"/>
          <w:color w:val="auto"/>
          <w:sz w:val="28"/>
          <w:szCs w:val="28"/>
        </w:rPr>
        <w:t xml:space="preserve">    </w:t>
      </w:r>
      <w:r>
        <w:rPr>
          <w:rFonts w:hint="eastAsia" w:ascii="仿宋_GB2312" w:hAnsi="仿宋" w:eastAsia="仿宋_GB2312"/>
          <w:color w:val="auto"/>
          <w:sz w:val="28"/>
          <w:szCs w:val="28"/>
        </w:rPr>
        <w:t>元）,</w:t>
      </w:r>
      <w:r>
        <w:rPr>
          <w:rFonts w:hint="eastAsia" w:ascii="仿宋_GB2312" w:hAnsi="宋体" w:eastAsia="仿宋_GB2312" w:cs="宋体"/>
          <w:bCs/>
          <w:color w:val="auto"/>
          <w:sz w:val="28"/>
          <w:szCs w:val="28"/>
        </w:rPr>
        <w:t>竣工验收合格后予以无息退还。</w:t>
      </w:r>
    </w:p>
    <w:p w14:paraId="5B262C60">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五、工程结算</w:t>
      </w:r>
    </w:p>
    <w:p w14:paraId="74B59D50">
      <w:pPr>
        <w:spacing w:line="560" w:lineRule="exact"/>
        <w:ind w:firstLine="560" w:firstLineChars="200"/>
        <w:jc w:val="left"/>
        <w:rPr>
          <w:rFonts w:hint="eastAsia" w:ascii="仿宋_GB2312" w:hAnsi="仿宋" w:eastAsia="仿宋_GB2312"/>
          <w:color w:val="auto"/>
          <w:sz w:val="28"/>
          <w:szCs w:val="28"/>
        </w:rPr>
      </w:pPr>
      <w:r>
        <w:rPr>
          <w:rFonts w:hint="eastAsia" w:ascii="仿宋_GB2312" w:hAnsi="宋体" w:eastAsia="仿宋_GB2312"/>
          <w:color w:val="auto"/>
          <w:sz w:val="28"/>
          <w:szCs w:val="28"/>
        </w:rPr>
        <w:t>1.</w:t>
      </w:r>
      <w:r>
        <w:rPr>
          <w:rFonts w:hint="eastAsia" w:ascii="仿宋_GB2312" w:hAnsi="仿宋" w:eastAsia="仿宋_GB2312"/>
          <w:color w:val="auto"/>
          <w:sz w:val="28"/>
          <w:szCs w:val="28"/>
        </w:rPr>
        <w:t>付款周期</w:t>
      </w:r>
    </w:p>
    <w:p w14:paraId="1A887680">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关于付款周期的约定：①本项目无预付款；②整体项目验收合格，支付至合同总价的80%；③竣工结算经发包方审计后支付至审定价款的97%，剩余3%待质保期</w:t>
      </w:r>
      <w:r>
        <w:rPr>
          <w:rFonts w:hint="eastAsia" w:ascii="仿宋_GB2312" w:hAnsi="仿宋" w:eastAsia="仿宋_GB2312"/>
          <w:color w:val="auto"/>
          <w:sz w:val="28"/>
          <w:szCs w:val="28"/>
        </w:rPr>
        <w:t>（缺陷</w:t>
      </w:r>
      <w:r>
        <w:rPr>
          <w:rFonts w:ascii="仿宋_GB2312" w:hAnsi="仿宋" w:eastAsia="仿宋_GB2312"/>
          <w:color w:val="auto"/>
          <w:sz w:val="28"/>
          <w:szCs w:val="28"/>
        </w:rPr>
        <w:t>责任</w:t>
      </w:r>
      <w:r>
        <w:rPr>
          <w:rFonts w:hint="eastAsia" w:ascii="仿宋_GB2312" w:hAnsi="仿宋" w:eastAsia="仿宋_GB2312"/>
          <w:color w:val="auto"/>
          <w:sz w:val="28"/>
          <w:szCs w:val="28"/>
        </w:rPr>
        <w:t>期</w:t>
      </w:r>
      <w:r>
        <w:rPr>
          <w:rFonts w:ascii="仿宋_GB2312" w:hAnsi="仿宋" w:eastAsia="仿宋_GB2312"/>
          <w:color w:val="auto"/>
          <w:sz w:val="28"/>
          <w:szCs w:val="28"/>
        </w:rPr>
        <w:t>）</w:t>
      </w:r>
      <w:r>
        <w:rPr>
          <w:rFonts w:hint="eastAsia" w:ascii="仿宋_GB2312" w:hAnsi="仿宋" w:eastAsia="仿宋_GB2312"/>
          <w:color w:val="auto"/>
          <w:sz w:val="28"/>
          <w:szCs w:val="28"/>
        </w:rPr>
        <w:t>满后双方无异议一次性无息支付。</w:t>
      </w:r>
    </w:p>
    <w:p w14:paraId="4195F26D">
      <w:pPr>
        <w:spacing w:line="560" w:lineRule="exact"/>
        <w:ind w:firstLine="560" w:firstLineChars="200"/>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支付方式：银行转账。</w:t>
      </w:r>
    </w:p>
    <w:p w14:paraId="66D2A9E8">
      <w:pPr>
        <w:spacing w:line="560" w:lineRule="exact"/>
        <w:ind w:firstLine="560" w:firstLineChars="200"/>
        <w:rPr>
          <w:rFonts w:hint="eastAsia" w:ascii="仿宋_GB2312" w:hAnsi="宋体" w:eastAsia="仿宋_GB2312"/>
          <w:color w:val="auto"/>
          <w:sz w:val="28"/>
          <w:szCs w:val="28"/>
        </w:rPr>
      </w:pPr>
      <w:r>
        <w:rPr>
          <w:rFonts w:hint="eastAsia" w:ascii="仿宋_GB2312" w:hAnsi="宋体" w:eastAsia="仿宋_GB2312"/>
          <w:color w:val="auto"/>
          <w:sz w:val="28"/>
          <w:szCs w:val="28"/>
        </w:rPr>
        <w:t>2-1.发包方银行账户信息：</w:t>
      </w:r>
    </w:p>
    <w:p w14:paraId="3ACD2690">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户  名：咸阳师范学院</w:t>
      </w:r>
    </w:p>
    <w:p w14:paraId="6B4D30C3">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账  号：26466001040020450</w:t>
      </w:r>
    </w:p>
    <w:p w14:paraId="0B548980">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开户行：中国农业银行股份有限公司咸阳渭城区支行</w:t>
      </w:r>
    </w:p>
    <w:p w14:paraId="452BB344">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纳税人识别号：12610000435203245H</w:t>
      </w:r>
    </w:p>
    <w:p w14:paraId="38890149">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行  号：103795046607</w:t>
      </w:r>
    </w:p>
    <w:p w14:paraId="0A222ED8">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2-2.承包方银行账户信息：</w:t>
      </w:r>
    </w:p>
    <w:p w14:paraId="639B615A">
      <w:pPr>
        <w:spacing w:line="520" w:lineRule="exact"/>
        <w:ind w:left="1821" w:leftChars="267" w:hanging="1260" w:hangingChars="45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户  名：</w:t>
      </w:r>
    </w:p>
    <w:p w14:paraId="213D4761">
      <w:pPr>
        <w:spacing w:line="520" w:lineRule="exact"/>
        <w:ind w:left="1821" w:leftChars="267" w:hanging="1260" w:hangingChars="45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账  号：</w:t>
      </w:r>
    </w:p>
    <w:p w14:paraId="72C4846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开户行：</w:t>
      </w:r>
      <w:r>
        <w:rPr>
          <w:rFonts w:ascii="仿宋_GB2312" w:hAnsi="宋体" w:eastAsia="仿宋_GB2312"/>
          <w:color w:val="auto"/>
          <w:sz w:val="28"/>
          <w:szCs w:val="28"/>
        </w:rPr>
        <w:t xml:space="preserve"> </w:t>
      </w:r>
    </w:p>
    <w:p w14:paraId="5BD62A58">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 xml:space="preserve">纳税人识别号: </w:t>
      </w:r>
    </w:p>
    <w:p w14:paraId="1EE38451">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行号</w:t>
      </w:r>
      <w:r>
        <w:rPr>
          <w:rFonts w:ascii="仿宋_GB2312" w:hAnsi="宋体" w:eastAsia="仿宋_GB2312"/>
          <w:color w:val="auto"/>
          <w:sz w:val="28"/>
          <w:szCs w:val="28"/>
        </w:rPr>
        <w:t>：</w:t>
      </w:r>
    </w:p>
    <w:p w14:paraId="178B40AA">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发包方付款前，承包方应当向发包方提供符合发包方要求的等额增值税发票，如承包方不提供发票或者提供发票不符合要求的，发包方有权拒绝付款，且不承担任何违约责任。</w:t>
      </w:r>
    </w:p>
    <w:p w14:paraId="4018EB92">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承包方变更收款账户的，应提前一周书面通知发包方，否则因此造成的一切后果由其承担。</w:t>
      </w:r>
    </w:p>
    <w:p w14:paraId="7D3E66CE">
      <w:pPr>
        <w:spacing w:line="54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水电费结算：发包人指定水、电源，电源、水源至使用地点周边的电缆和水管、水表、电表由承包人负责敷设和安装，费用由承包人在总报价中自行考虑，结算时不予调整。承包人按发包人后勤保障与安全保卫处核定的实际耗水、耗电量(电费标准：0.6674元/度，水费标准：5.7元/吨)缴纳水电费。合同履行期间，水电费涨价，由承包人自行承担，通讯线路和设备由承包人自行解决并承担其费用。</w:t>
      </w:r>
    </w:p>
    <w:p w14:paraId="4276015B">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六、施工条件</w:t>
      </w:r>
    </w:p>
    <w:p w14:paraId="5D948ABA">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技术交底：由发包方在施工前组织进行。</w:t>
      </w:r>
    </w:p>
    <w:p w14:paraId="1C4119E1">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2.发包方、承包方管理人员信息：</w:t>
      </w:r>
    </w:p>
    <w:p w14:paraId="23E47538">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 xml:space="preserve">发包方项目管理：    电话：        </w:t>
      </w:r>
    </w:p>
    <w:p w14:paraId="01769EE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承包方项目经理：    电话：</w:t>
      </w:r>
    </w:p>
    <w:p w14:paraId="49942523">
      <w:pPr>
        <w:spacing w:line="520" w:lineRule="exact"/>
        <w:ind w:firstLine="560" w:firstLineChars="200"/>
        <w:jc w:val="left"/>
        <w:rPr>
          <w:rFonts w:hint="eastAsia" w:ascii="仿宋_GB2312" w:hAnsi="宋体" w:eastAsia="仿宋_GB2312" w:cs="宋体"/>
          <w:color w:val="auto"/>
          <w:sz w:val="28"/>
          <w:szCs w:val="28"/>
        </w:rPr>
      </w:pPr>
      <w:r>
        <w:rPr>
          <w:rFonts w:hint="eastAsia" w:ascii="仿宋_GB2312" w:hAnsi="宋体" w:eastAsia="仿宋_GB2312"/>
          <w:color w:val="auto"/>
          <w:sz w:val="28"/>
          <w:szCs w:val="28"/>
        </w:rPr>
        <w:t>3</w:t>
      </w:r>
      <w:r>
        <w:rPr>
          <w:rFonts w:hint="eastAsia" w:ascii="仿宋_GB2312" w:hAnsi="宋体" w:eastAsia="仿宋_GB2312" w:cs="宋体"/>
          <w:color w:val="auto"/>
          <w:sz w:val="28"/>
          <w:szCs w:val="28"/>
        </w:rPr>
        <w:t>.施工环保要求：施工全程按照咸阳市环保要求采取相应措施（安全文明措施费包含在合同总价中），如因环保不达标造成工期延误或第三方人身财产损害的，造成的后果由承包方负责，因此造成发包方承担责任的，发包方有权向承包方追偿。</w:t>
      </w:r>
    </w:p>
    <w:p w14:paraId="5435B7F4">
      <w:pPr>
        <w:spacing w:line="520" w:lineRule="exact"/>
        <w:ind w:firstLine="562" w:firstLineChars="200"/>
        <w:jc w:val="left"/>
        <w:rPr>
          <w:rFonts w:hint="eastAsia" w:ascii="仿宋_GB2312" w:hAnsi="仿宋" w:eastAsia="仿宋_GB2312"/>
          <w:b/>
          <w:color w:val="auto"/>
          <w:sz w:val="28"/>
          <w:szCs w:val="28"/>
        </w:rPr>
      </w:pPr>
      <w:r>
        <w:rPr>
          <w:rFonts w:hint="eastAsia" w:ascii="仿宋_GB2312" w:hAnsi="宋体" w:eastAsia="仿宋_GB2312"/>
          <w:b/>
          <w:color w:val="auto"/>
          <w:sz w:val="28"/>
          <w:szCs w:val="28"/>
        </w:rPr>
        <w:t>七、</w:t>
      </w:r>
      <w:bookmarkStart w:id="2" w:name="_Toc292559428"/>
      <w:bookmarkStart w:id="3" w:name="_Toc312678056"/>
      <w:bookmarkStart w:id="4" w:name="_Toc296944562"/>
      <w:bookmarkStart w:id="5" w:name="_Toc292559933"/>
      <w:bookmarkStart w:id="6" w:name="_Toc297120523"/>
      <w:bookmarkStart w:id="7" w:name="_Toc296503223"/>
      <w:bookmarkStart w:id="8" w:name="_Toc297123565"/>
      <w:bookmarkStart w:id="9" w:name="_Toc297048409"/>
      <w:bookmarkStart w:id="10" w:name="_Toc296346724"/>
      <w:bookmarkStart w:id="11" w:name="_Toc296347222"/>
      <w:bookmarkStart w:id="12" w:name="_Toc304295596"/>
      <w:bookmarkStart w:id="13" w:name="_Toc297216224"/>
      <w:bookmarkStart w:id="14" w:name="_Toc296891051"/>
      <w:bookmarkStart w:id="15" w:name="_Toc300935016"/>
      <w:bookmarkStart w:id="16" w:name="_Toc303539173"/>
      <w:bookmarkStart w:id="17" w:name="_Toc296891263"/>
      <w:r>
        <w:rPr>
          <w:rFonts w:hint="eastAsia" w:ascii="仿宋_GB2312" w:hAnsi="仿宋" w:eastAsia="仿宋_GB2312"/>
          <w:b/>
          <w:color w:val="auto"/>
          <w:sz w:val="28"/>
          <w:szCs w:val="28"/>
        </w:rPr>
        <w:t>竣工验收</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340C002">
      <w:pPr>
        <w:spacing w:line="560" w:lineRule="exact"/>
        <w:ind w:firstLine="560" w:firstLineChars="200"/>
        <w:jc w:val="left"/>
        <w:rPr>
          <w:rFonts w:hint="eastAsia" w:ascii="仿宋_GB2312" w:hAnsi="仿宋" w:eastAsia="仿宋_GB2312"/>
          <w:color w:val="auto"/>
          <w:sz w:val="28"/>
          <w:szCs w:val="28"/>
        </w:rPr>
      </w:pPr>
      <w:bookmarkStart w:id="18" w:name="_Toc280868704"/>
      <w:bookmarkStart w:id="19" w:name="_Toc280868707"/>
      <w:bookmarkStart w:id="20" w:name="_Toc280868706"/>
      <w:bookmarkStart w:id="21" w:name="_Toc280868705"/>
      <w:r>
        <w:rPr>
          <w:rFonts w:hint="eastAsia" w:ascii="仿宋_GB2312" w:hAnsi="仿宋" w:eastAsia="仿宋_GB2312"/>
          <w:color w:val="auto"/>
          <w:sz w:val="28"/>
          <w:szCs w:val="28"/>
        </w:rPr>
        <w:t>1</w:t>
      </w:r>
      <w:r>
        <w:rPr>
          <w:rFonts w:hint="eastAsia" w:ascii="仿宋_GB2312" w:hAnsi="宋体" w:eastAsia="仿宋_GB2312"/>
          <w:color w:val="auto"/>
          <w:sz w:val="28"/>
          <w:szCs w:val="28"/>
        </w:rPr>
        <w:t>.</w:t>
      </w:r>
      <w:r>
        <w:rPr>
          <w:rFonts w:hint="eastAsia" w:ascii="仿宋_GB2312" w:hAnsi="仿宋" w:eastAsia="仿宋_GB2312"/>
          <w:color w:val="auto"/>
          <w:sz w:val="28"/>
          <w:szCs w:val="28"/>
        </w:rPr>
        <w:t>竣工验收程序</w:t>
      </w:r>
    </w:p>
    <w:bookmarkEnd w:id="18"/>
    <w:p w14:paraId="0A1B40C6">
      <w:pPr>
        <w:spacing w:line="560" w:lineRule="exact"/>
        <w:ind w:firstLine="560" w:firstLineChars="200"/>
        <w:jc w:val="left"/>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工程施工完毕后，施工单位提交书面竣工报告，后勤保障与安全保卫处、项目设计公司、监理单位、施工单位及用户单位进行预验收，对漏项、不合格及遗留问题应限期解决。经整改合格后，由后勤保障与安全保卫处组织用户单位、财务与资产</w:t>
      </w:r>
      <w:r>
        <w:rPr>
          <w:rFonts w:ascii="仿宋_GB2312" w:hAnsi="仿宋" w:eastAsia="仿宋_GB2312"/>
          <w:color w:val="auto"/>
          <w:kern w:val="0"/>
          <w:sz w:val="28"/>
          <w:szCs w:val="28"/>
        </w:rPr>
        <w:t>管理</w:t>
      </w:r>
      <w:r>
        <w:rPr>
          <w:rFonts w:hint="eastAsia" w:ascii="仿宋_GB2312" w:hAnsi="仿宋" w:eastAsia="仿宋_GB2312"/>
          <w:color w:val="auto"/>
          <w:kern w:val="0"/>
          <w:sz w:val="28"/>
          <w:szCs w:val="28"/>
        </w:rPr>
        <w:t>处、审计处、</w:t>
      </w:r>
      <w:r>
        <w:rPr>
          <w:rFonts w:hint="eastAsia" w:ascii="仿宋_GB2312" w:hAnsi="仿宋" w:eastAsia="仿宋_GB2312"/>
          <w:color w:val="auto"/>
          <w:kern w:val="0"/>
          <w:sz w:val="28"/>
          <w:szCs w:val="28"/>
        </w:rPr>
        <w:t>工会</w:t>
      </w:r>
      <w:r>
        <w:rPr>
          <w:rFonts w:ascii="仿宋_GB2312" w:hAnsi="仿宋" w:eastAsia="仿宋_GB2312"/>
          <w:color w:val="auto"/>
          <w:kern w:val="0"/>
          <w:sz w:val="28"/>
          <w:szCs w:val="28"/>
        </w:rPr>
        <w:t>、</w:t>
      </w:r>
      <w:r>
        <w:rPr>
          <w:rFonts w:hint="eastAsia" w:ascii="仿宋_GB2312" w:hAnsi="仿宋" w:eastAsia="仿宋_GB2312"/>
          <w:color w:val="auto"/>
          <w:kern w:val="0"/>
          <w:sz w:val="28"/>
          <w:szCs w:val="28"/>
        </w:rPr>
        <w:t>施工单位等有关人员共同参加竣工验收。</w:t>
      </w:r>
    </w:p>
    <w:p w14:paraId="0B682A1D">
      <w:pPr>
        <w:spacing w:line="560" w:lineRule="exact"/>
        <w:ind w:firstLine="560" w:firstLineChars="200"/>
        <w:jc w:val="left"/>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验收合格，填写《咸阳师范学院工程项目竣工验收单》并签署意见。</w:t>
      </w:r>
    </w:p>
    <w:p w14:paraId="502416CE">
      <w:pPr>
        <w:spacing w:line="560" w:lineRule="exact"/>
        <w:ind w:firstLine="560" w:firstLineChars="200"/>
        <w:jc w:val="left"/>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竣工验收合格之日为实际竣工日期。施工单位已经提交竣工验收报告和相关施工资料，发包方拖延验收的，以承包人提交竣工验收报告之日为实际竣工日期。</w:t>
      </w:r>
    </w:p>
    <w:p w14:paraId="03A92E0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验收依据：</w:t>
      </w:r>
    </w:p>
    <w:p w14:paraId="57604A0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合同文本、合同附件、招标文件、投标文件。</w:t>
      </w:r>
    </w:p>
    <w:p w14:paraId="5A294F8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国家相应的标准、规范。</w:t>
      </w:r>
    </w:p>
    <w:p w14:paraId="2D26FC0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2-3</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项目施工中所涉及的设计变更和工程签证，必须按发包方的设计变更和工程签证管理办法规定程序审签，并纳入验收范围，作为验收和结算的依据。未按发包方规定程序审签的设计变更和工程签证，不能作为验收和结算的依据。</w:t>
      </w:r>
    </w:p>
    <w:p w14:paraId="5F4315E7">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八、竣工结算</w:t>
      </w:r>
    </w:p>
    <w:p w14:paraId="02667EF0">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1.竣工结算申请</w:t>
      </w:r>
    </w:p>
    <w:p w14:paraId="2655D134">
      <w:pPr>
        <w:spacing w:line="560" w:lineRule="exact"/>
        <w:ind w:firstLine="560" w:firstLineChars="200"/>
        <w:jc w:val="left"/>
        <w:rPr>
          <w:rFonts w:hint="eastAsia" w:ascii="仿宋_GB2312" w:hAnsi="仿宋" w:eastAsia="仿宋_GB2312"/>
          <w:color w:val="auto"/>
          <w:sz w:val="28"/>
          <w:szCs w:val="28"/>
          <w:u w:val="single"/>
        </w:rPr>
      </w:pPr>
      <w:r>
        <w:rPr>
          <w:rFonts w:hint="eastAsia" w:ascii="仿宋_GB2312" w:hAnsi="仿宋" w:eastAsia="仿宋_GB2312"/>
          <w:color w:val="auto"/>
          <w:sz w:val="28"/>
          <w:szCs w:val="28"/>
        </w:rPr>
        <w:t>竣工结算申请单应包括的内容：根据发包方有关要求。</w:t>
      </w:r>
    </w:p>
    <w:p w14:paraId="0A70C203">
      <w:pPr>
        <w:spacing w:line="560" w:lineRule="exact"/>
        <w:ind w:firstLine="560" w:firstLineChars="200"/>
        <w:rPr>
          <w:rFonts w:hint="eastAsia" w:ascii="仿宋_GB2312" w:hAnsi="仿宋" w:eastAsia="仿宋_GB2312"/>
          <w:color w:val="auto"/>
          <w:sz w:val="28"/>
          <w:szCs w:val="28"/>
        </w:rPr>
      </w:pPr>
      <w:r>
        <w:rPr>
          <w:rFonts w:hint="eastAsia" w:ascii="仿宋_GB2312" w:hAnsi="仿宋" w:eastAsia="仿宋_GB2312"/>
          <w:color w:val="auto"/>
          <w:sz w:val="28"/>
          <w:szCs w:val="28"/>
        </w:rPr>
        <w:t>2.竣工结算审核</w:t>
      </w:r>
    </w:p>
    <w:p w14:paraId="087EC817">
      <w:pPr>
        <w:spacing w:line="560" w:lineRule="exact"/>
        <w:ind w:firstLine="560" w:firstLineChars="200"/>
        <w:jc w:val="left"/>
        <w:rPr>
          <w:rFonts w:hint="eastAsia" w:ascii="仿宋_GB2312" w:hAnsi="仿宋" w:eastAsia="仿宋_GB2312"/>
          <w:color w:val="auto"/>
          <w:kern w:val="0"/>
          <w:sz w:val="28"/>
          <w:szCs w:val="28"/>
        </w:rPr>
      </w:pPr>
      <w:r>
        <w:rPr>
          <w:rFonts w:hint="eastAsia" w:ascii="仿宋_GB2312" w:hAnsi="仿宋" w:eastAsia="仿宋_GB2312"/>
          <w:color w:val="auto"/>
          <w:sz w:val="28"/>
          <w:szCs w:val="28"/>
        </w:rPr>
        <w:t>发包人审批竣工付款申请单的期限：工程竣工经验收合格后，承包人应在 15 日内将完整的结算资料 （含单项工程竣工图、设计变更单、施工现场签证单、材料设备认质认价单等）报送监理单位或学校项目管理部门；监理单位或学校项目管理部门应在</w:t>
      </w:r>
      <w:r>
        <w:rPr>
          <w:rFonts w:ascii="仿宋_GB2312" w:hAnsi="仿宋" w:eastAsia="仿宋_GB2312"/>
          <w:color w:val="auto"/>
          <w:sz w:val="28"/>
          <w:szCs w:val="28"/>
        </w:rPr>
        <w:t>3</w:t>
      </w:r>
      <w:r>
        <w:rPr>
          <w:rFonts w:hint="eastAsia" w:ascii="仿宋_GB2312" w:hAnsi="仿宋" w:eastAsia="仿宋_GB2312"/>
          <w:color w:val="auto"/>
          <w:sz w:val="28"/>
          <w:szCs w:val="28"/>
        </w:rPr>
        <w:t>0 日内对所送结算资料的真实性、完整性、有效性进行审核，并对造价进行初审后报送发包方</w:t>
      </w:r>
      <w:r>
        <w:rPr>
          <w:rFonts w:ascii="仿宋_GB2312" w:hAnsi="仿宋" w:eastAsia="仿宋_GB2312"/>
          <w:color w:val="auto"/>
          <w:sz w:val="28"/>
          <w:szCs w:val="28"/>
        </w:rPr>
        <w:t>审计部门</w:t>
      </w:r>
      <w:r>
        <w:rPr>
          <w:rFonts w:hint="eastAsia" w:ascii="仿宋_GB2312" w:hAnsi="仿宋" w:eastAsia="仿宋_GB2312"/>
          <w:color w:val="auto"/>
          <w:sz w:val="28"/>
          <w:szCs w:val="28"/>
        </w:rPr>
        <w:t>；发包方</w:t>
      </w:r>
      <w:r>
        <w:rPr>
          <w:rFonts w:ascii="仿宋_GB2312" w:hAnsi="仿宋" w:eastAsia="仿宋_GB2312"/>
          <w:color w:val="auto"/>
          <w:sz w:val="28"/>
          <w:szCs w:val="28"/>
        </w:rPr>
        <w:t>审计部门</w:t>
      </w:r>
      <w:r>
        <w:rPr>
          <w:rFonts w:hint="eastAsia" w:ascii="仿宋_GB2312" w:hAnsi="仿宋" w:eastAsia="仿宋_GB2312"/>
          <w:color w:val="auto"/>
          <w:sz w:val="28"/>
          <w:szCs w:val="28"/>
        </w:rPr>
        <w:t>在收到结算资料后 60 日内委托审计机构审定盖章或提出审核意见。</w:t>
      </w:r>
    </w:p>
    <w:p w14:paraId="22E24D52">
      <w:pPr>
        <w:spacing w:line="560" w:lineRule="exact"/>
        <w:ind w:firstLine="560" w:firstLineChars="200"/>
        <w:jc w:val="left"/>
        <w:rPr>
          <w:rFonts w:hint="eastAsia" w:ascii="仿宋_GB2312" w:hAnsi="仿宋" w:eastAsia="仿宋_GB2312" w:cs="仿宋"/>
          <w:color w:val="auto"/>
          <w:sz w:val="28"/>
          <w:szCs w:val="28"/>
        </w:rPr>
      </w:pPr>
      <w:r>
        <w:rPr>
          <w:rFonts w:hint="eastAsia" w:ascii="仿宋_GB2312" w:hAnsi="仿宋" w:eastAsia="仿宋_GB2312"/>
          <w:color w:val="auto"/>
          <w:sz w:val="28"/>
          <w:szCs w:val="28"/>
        </w:rPr>
        <w:t>发包人完成竣工付款的期限：承包人在竣工后30天内不报送结算资料，延误发包人审核时间，造成工程款不能及时支付，责任由承包人自负。</w:t>
      </w:r>
    </w:p>
    <w:p w14:paraId="1C921F17">
      <w:pPr>
        <w:spacing w:line="560" w:lineRule="exact"/>
        <w:ind w:firstLine="560" w:firstLineChars="200"/>
        <w:jc w:val="left"/>
        <w:rPr>
          <w:rFonts w:hint="eastAsia" w:ascii="仿宋_GB2312" w:hAnsi="仿宋" w:eastAsia="仿宋_GB2312"/>
          <w:color w:val="auto"/>
          <w:sz w:val="28"/>
          <w:szCs w:val="28"/>
        </w:rPr>
      </w:pPr>
      <w:r>
        <w:rPr>
          <w:rFonts w:hint="eastAsia" w:ascii="仿宋_GB2312" w:hAnsi="仿宋" w:eastAsia="仿宋_GB2312"/>
          <w:color w:val="auto"/>
          <w:sz w:val="28"/>
          <w:szCs w:val="28"/>
        </w:rPr>
        <w:t>关于竣工付款证书异议部分复核的方式和程序：待异议解决后一并支付。</w:t>
      </w:r>
      <w:bookmarkEnd w:id="19"/>
      <w:bookmarkEnd w:id="20"/>
      <w:bookmarkEnd w:id="21"/>
    </w:p>
    <w:p w14:paraId="79F873E9">
      <w:pPr>
        <w:spacing w:line="56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九、运输</w:t>
      </w:r>
    </w:p>
    <w:p w14:paraId="2CB0D5B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承包方负责该合同施工所涉材料的运输。确保材料安全、完整到达使用地点，运杂费用包含在总价内，包括材料从供货地点到使用地点的运输费、保险费、搬运费等。</w:t>
      </w:r>
    </w:p>
    <w:p w14:paraId="7008477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所有材料在运输、搬运、施工的过程中，造成发包方或第三方损失的，由承包方承担由此带来的全部责任并及时修复更新或采取其他相应的补救措施。</w:t>
      </w:r>
    </w:p>
    <w:p w14:paraId="4CBF1FD0">
      <w:pPr>
        <w:spacing w:line="520" w:lineRule="exact"/>
        <w:ind w:firstLine="562" w:firstLineChars="200"/>
        <w:jc w:val="left"/>
        <w:rPr>
          <w:rFonts w:hint="eastAsia" w:ascii="仿宋_GB2312" w:hAnsi="宋体" w:eastAsia="仿宋_GB2312"/>
          <w:b/>
          <w:bCs/>
          <w:color w:val="auto"/>
          <w:sz w:val="28"/>
          <w:szCs w:val="28"/>
        </w:rPr>
      </w:pPr>
      <w:r>
        <w:rPr>
          <w:rFonts w:hint="eastAsia" w:ascii="仿宋_GB2312" w:hAnsi="宋体" w:eastAsia="仿宋_GB2312"/>
          <w:b/>
          <w:bCs/>
          <w:color w:val="auto"/>
          <w:sz w:val="28"/>
          <w:szCs w:val="28"/>
        </w:rPr>
        <w:t>十、技术服务</w:t>
      </w:r>
    </w:p>
    <w:p w14:paraId="4767149C">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对技术服务的要求:符合规范。</w:t>
      </w:r>
    </w:p>
    <w:p w14:paraId="17F6AC4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技术资料：</w:t>
      </w:r>
    </w:p>
    <w:p w14:paraId="65D15F8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材料产品合格证及检验报告；</w:t>
      </w:r>
    </w:p>
    <w:p w14:paraId="5F296537">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工程竣工资料；</w:t>
      </w:r>
    </w:p>
    <w:p w14:paraId="7821887B">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2-3</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其它资料。</w:t>
      </w:r>
    </w:p>
    <w:p w14:paraId="3D3EBD28">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售后服务内容按施工保修有关规定。</w:t>
      </w:r>
    </w:p>
    <w:p w14:paraId="67B3BD45">
      <w:pPr>
        <w:spacing w:line="520" w:lineRule="exact"/>
        <w:ind w:firstLine="562" w:firstLineChars="200"/>
        <w:jc w:val="left"/>
        <w:rPr>
          <w:rFonts w:hint="eastAsia" w:ascii="仿宋_GB2312" w:hAnsi="宋体" w:eastAsia="仿宋_GB2312"/>
          <w:b/>
          <w:color w:val="auto"/>
          <w:sz w:val="28"/>
          <w:szCs w:val="28"/>
        </w:rPr>
      </w:pPr>
      <w:r>
        <w:rPr>
          <w:rFonts w:hint="eastAsia" w:ascii="仿宋_GB2312" w:hAnsi="宋体" w:eastAsia="仿宋_GB2312"/>
          <w:b/>
          <w:color w:val="auto"/>
          <w:sz w:val="28"/>
          <w:szCs w:val="28"/>
        </w:rPr>
        <w:t>十一、违约责任及成本补偿和风险分担约定</w:t>
      </w:r>
    </w:p>
    <w:p w14:paraId="2A667830">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本合同履行期间，未经发包方同意，承包方不得将合同的权利义务转让第三人。如承包方擅自转让，一经发现，承包方应按合同总价的百分之十向发包方支付违约金，并对因此给发包方造成的全部损失承担赔偿责任，同时发包方有权单方解除合同。</w:t>
      </w:r>
    </w:p>
    <w:p w14:paraId="716B03D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承包方应按本合同约定确保工程质量为合格。如本合同工程质量经检验为不合格，承包方除无条件、无偿返工维修达到质量经检验为合格外，还应按照合同总价的百分之十</w:t>
      </w:r>
      <w:r>
        <w:rPr>
          <w:rFonts w:hint="eastAsia" w:ascii="仿宋_GB2312" w:hAnsi="仿宋_GB2312" w:eastAsia="仿宋_GB2312" w:cs="仿宋_GB2312"/>
          <w:color w:val="auto"/>
          <w:sz w:val="28"/>
          <w:szCs w:val="28"/>
        </w:rPr>
        <w:t>/</w:t>
      </w:r>
      <w:r>
        <w:rPr>
          <w:rFonts w:hint="eastAsia" w:ascii="仿宋_GB2312" w:hAnsi="宋体" w:eastAsia="仿宋_GB2312"/>
          <w:color w:val="auto"/>
          <w:sz w:val="28"/>
          <w:szCs w:val="28"/>
        </w:rPr>
        <w:t>次向发包方支付违约金；如承包方返工后仍不能达到验收合格，发包方有权解除本合同。发包方可自行处理或委托第三方将项目完工，因此产生的费用以及给发包方造成的损失由承包方承担。</w:t>
      </w:r>
    </w:p>
    <w:p w14:paraId="25D392C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承包方在保证工作质量的前提下,应按时交工。如因承包方原因导致工期延误，承包方应采取措施最终使得工程交工，承包方竣工日期每延迟一日，承包方应按照合同总价的千分之三向发包方支付违约金。</w:t>
      </w:r>
    </w:p>
    <w:p w14:paraId="68324894">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3-1</w:t>
      </w:r>
      <w:r>
        <w:rPr>
          <w:rFonts w:hint="eastAsia" w:ascii="仿宋_GB2312" w:hAnsi="宋体" w:eastAsia="仿宋_GB2312" w:cs="宋体"/>
          <w:color w:val="auto"/>
          <w:sz w:val="28"/>
          <w:szCs w:val="28"/>
        </w:rPr>
        <w:t xml:space="preserve"> </w:t>
      </w:r>
      <w:r>
        <w:rPr>
          <w:rFonts w:hint="eastAsia" w:ascii="仿宋_GB2312" w:hAnsi="宋体" w:eastAsia="仿宋_GB2312"/>
          <w:color w:val="auto"/>
          <w:sz w:val="28"/>
          <w:szCs w:val="28"/>
        </w:rPr>
        <w:t>在履行合同过程中，如果承包方遇到可能妨碍按时完工和提供服务的情况，应在上述情况发生之日起三日内以书面形式将拖延的事实、可能延迟的期限和理由通知发包方。发包方在收到承包方通知后，应尽快对情况进行评价，并确定是否通知修改合同、酌情延长交工时间或对承包方收取违约金。承包方的通知每延误一日，承包方应按照合同总价的千分之三/日向发包方支付违约金，直至交工或提供服务为止。因延误支付的违约金的最高额为合同总价款的百分之五。一旦达到延误违约金的最高限额，发包方有权要求承包方支付违约金并单方解除合同，同时可自行处理或委托第三方将项目完工，因此产生的费用以及给发包方造成的损失由承包方承担。</w:t>
      </w:r>
    </w:p>
    <w:p w14:paraId="09609422">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3-2</w:t>
      </w:r>
      <w:r>
        <w:rPr>
          <w:rFonts w:hint="eastAsia" w:ascii="仿宋_GB2312" w:hAnsi="宋体" w:eastAsia="仿宋_GB2312" w:cs="宋体"/>
          <w:color w:val="auto"/>
          <w:sz w:val="28"/>
          <w:szCs w:val="28"/>
        </w:rPr>
        <w:t xml:space="preserve"> </w:t>
      </w:r>
      <w:r>
        <w:rPr>
          <w:rFonts w:hint="eastAsia" w:ascii="仿宋_GB2312" w:hAnsi="宋体" w:eastAsia="仿宋_GB2312"/>
          <w:color w:val="auto"/>
          <w:sz w:val="28"/>
          <w:szCs w:val="28"/>
        </w:rPr>
        <w:t>本合同工程保修期间，如因承包方原因出现故障妨碍使用，由承包方无条件、无偿修理。如承包方在接到发包方书面通知五个工作日之内不予维修，即由发包方组织维修，维修费发包方从承包方质保金中予以扣除。</w:t>
      </w:r>
    </w:p>
    <w:p w14:paraId="5D52C66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4</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本合同所指项目工程的质量安全、施工安全、民事劳资问题由承包方负责，与发包方无关。承包方施工过程中造成发包方或者第三方人员的人身或者财产损害的，承包方承担全部责任，发包方对此不负任何责任。</w:t>
      </w:r>
    </w:p>
    <w:p w14:paraId="63947B2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5</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承包方应遵守发包方管理制度，及时清理施工产生的垃圾，做到文明施工；承包方如无故损坏或丢失发包方财产，应照价赔偿。</w:t>
      </w:r>
    </w:p>
    <w:p w14:paraId="7D9C5F89">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6</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违约终止合同：未按合同要求施工或质量不能满足技术要求，发包方会同监督机构有权终止合同，对承包方违约行为进行追究。</w:t>
      </w:r>
    </w:p>
    <w:p w14:paraId="1ACE7336">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7</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承包方因违约支付的违约金不足以赔偿发包方损失的，应赔偿发包方全部损失，包括但不限于发包方为主张权利所产生的诉讼费、鉴定费、保全费、律师费等。</w:t>
      </w:r>
    </w:p>
    <w:p w14:paraId="41C8A92A">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8.施工期间项目经理及安全员不得离开现场，每离开1日处罚500元。</w:t>
      </w:r>
    </w:p>
    <w:p w14:paraId="26B535A0">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9.施工期间承包方应规范用电，如施工现场出现漏电或短路跳闸，造成停电，影响发包方用电的，每次罚款1000元。</w:t>
      </w:r>
    </w:p>
    <w:p w14:paraId="139DC0D2">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10.在完工验收之前，乙方应及时清理施工现场周围建筑材料和垃圾，场地整洁，否则甲方不予支付工程款。</w:t>
      </w:r>
    </w:p>
    <w:p w14:paraId="4A1E3688">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11.承包方应当确保农民工工资的按时、足额发放，否则由此引起的一切后果由承包方负责。</w:t>
      </w:r>
    </w:p>
    <w:p w14:paraId="6825DC3B">
      <w:pPr>
        <w:spacing w:line="48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12.承包方应严格按照施工图或者施工方案施工。如发包方在验收时或者结算审计时发现施工方未按照施工图或施工方案施工，并且没有相关的变更签证审批手续，发包方有权做出处罚，处罚金额根据现场情况定。</w:t>
      </w:r>
    </w:p>
    <w:p w14:paraId="2FEF3883">
      <w:pPr>
        <w:spacing w:line="520" w:lineRule="exact"/>
        <w:ind w:firstLine="562" w:firstLineChars="200"/>
        <w:jc w:val="left"/>
        <w:rPr>
          <w:rFonts w:hint="eastAsia" w:ascii="仿宋_GB2312" w:hAnsi="宋体" w:eastAsia="仿宋_GB2312"/>
          <w:b/>
          <w:bCs/>
          <w:color w:val="auto"/>
          <w:sz w:val="28"/>
          <w:szCs w:val="28"/>
        </w:rPr>
      </w:pPr>
      <w:r>
        <w:rPr>
          <w:rFonts w:hint="eastAsia" w:ascii="仿宋_GB2312" w:hAnsi="宋体" w:eastAsia="仿宋_GB2312"/>
          <w:b/>
          <w:bCs/>
          <w:color w:val="auto"/>
          <w:sz w:val="28"/>
          <w:szCs w:val="28"/>
        </w:rPr>
        <w:t>十二、合同争议的处理方式</w:t>
      </w:r>
    </w:p>
    <w:p w14:paraId="4FA221E5">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本合同履行过程中发生争议，发包方、承包方双方在不影响工程进度的前提下应及时协商解决。任何一方不愿协商或者协商不成时，双方均可向工程所在地人民法院起诉。</w:t>
      </w:r>
    </w:p>
    <w:p w14:paraId="27EAB00C">
      <w:pPr>
        <w:spacing w:line="520" w:lineRule="exact"/>
        <w:ind w:firstLine="562" w:firstLineChars="200"/>
        <w:jc w:val="left"/>
        <w:rPr>
          <w:rFonts w:hint="eastAsia" w:ascii="仿宋_GB2312" w:hAnsi="宋体" w:eastAsia="仿宋_GB2312"/>
          <w:b/>
          <w:bCs/>
          <w:color w:val="auto"/>
          <w:sz w:val="28"/>
          <w:szCs w:val="28"/>
        </w:rPr>
      </w:pPr>
      <w:r>
        <w:rPr>
          <w:rFonts w:hint="eastAsia" w:ascii="仿宋_GB2312" w:hAnsi="宋体" w:eastAsia="仿宋_GB2312"/>
          <w:b/>
          <w:bCs/>
          <w:color w:val="auto"/>
          <w:sz w:val="28"/>
          <w:szCs w:val="28"/>
        </w:rPr>
        <w:t>十三、合同生效及其它</w:t>
      </w:r>
    </w:p>
    <w:p w14:paraId="70B0CC57">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1</w:t>
      </w:r>
      <w:r>
        <w:rPr>
          <w:rFonts w:hint="eastAsia" w:ascii="仿宋_GB2312" w:hAnsi="宋体" w:eastAsia="仿宋_GB2312" w:cs="宋体"/>
          <w:color w:val="auto"/>
          <w:sz w:val="28"/>
          <w:szCs w:val="28"/>
        </w:rPr>
        <w:t>.就本合同涉及事项，双方间的招标文件、投标文件、附件，以及其他相关的书面文件等，皆为本合同的组成部分，与本合同具有同等效力。</w:t>
      </w:r>
      <w:r>
        <w:rPr>
          <w:rFonts w:hint="eastAsia" w:ascii="仿宋_GB2312" w:hAnsi="宋体" w:eastAsia="仿宋_GB2312"/>
          <w:color w:val="auto"/>
          <w:sz w:val="28"/>
          <w:szCs w:val="28"/>
        </w:rPr>
        <w:t>合同未尽事宜、由双方协商并形成书面文件，作为合同补充，与原合同具有同等法律效力。</w:t>
      </w:r>
    </w:p>
    <w:p w14:paraId="374F379B">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2</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本合同正本一式</w:t>
      </w:r>
      <w:r>
        <w:rPr>
          <w:rFonts w:hint="eastAsia" w:ascii="仿宋_GB2312" w:hAnsi="宋体" w:eastAsia="仿宋_GB2312"/>
          <w:color w:val="auto"/>
          <w:sz w:val="28"/>
          <w:szCs w:val="28"/>
          <w:u w:val="single"/>
        </w:rPr>
        <w:t xml:space="preserve"> 陆 </w:t>
      </w:r>
      <w:r>
        <w:rPr>
          <w:rFonts w:hint="eastAsia" w:ascii="仿宋_GB2312" w:hAnsi="宋体" w:eastAsia="仿宋_GB2312"/>
          <w:color w:val="auto"/>
          <w:sz w:val="28"/>
          <w:szCs w:val="28"/>
        </w:rPr>
        <w:t>份，发包方执</w:t>
      </w:r>
      <w:r>
        <w:rPr>
          <w:rFonts w:hint="eastAsia" w:ascii="仿宋_GB2312" w:hAnsi="宋体" w:eastAsia="仿宋_GB2312"/>
          <w:color w:val="auto"/>
          <w:sz w:val="28"/>
          <w:szCs w:val="28"/>
          <w:u w:val="single"/>
        </w:rPr>
        <w:t xml:space="preserve"> 伍 </w:t>
      </w:r>
      <w:r>
        <w:rPr>
          <w:rFonts w:hint="eastAsia" w:ascii="仿宋_GB2312" w:hAnsi="宋体" w:eastAsia="仿宋_GB2312"/>
          <w:color w:val="auto"/>
          <w:sz w:val="28"/>
          <w:szCs w:val="28"/>
        </w:rPr>
        <w:t>份，承包方执</w:t>
      </w:r>
      <w:r>
        <w:rPr>
          <w:rFonts w:hint="eastAsia" w:ascii="仿宋_GB2312" w:hAnsi="宋体" w:eastAsia="仿宋_GB2312"/>
          <w:color w:val="auto"/>
          <w:sz w:val="28"/>
          <w:szCs w:val="28"/>
          <w:u w:val="single"/>
        </w:rPr>
        <w:t xml:space="preserve"> 壹 </w:t>
      </w:r>
      <w:r>
        <w:rPr>
          <w:rFonts w:hint="eastAsia" w:ascii="仿宋_GB2312" w:hAnsi="宋体" w:eastAsia="仿宋_GB2312"/>
          <w:color w:val="auto"/>
          <w:sz w:val="28"/>
          <w:szCs w:val="28"/>
        </w:rPr>
        <w:t>份，具有同等法律效力。</w:t>
      </w:r>
    </w:p>
    <w:p w14:paraId="339A219D">
      <w:pPr>
        <w:spacing w:line="520" w:lineRule="exact"/>
        <w:ind w:firstLine="560" w:firstLineChars="200"/>
        <w:jc w:val="lef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s="宋体"/>
          <w:color w:val="auto"/>
          <w:sz w:val="28"/>
          <w:szCs w:val="28"/>
        </w:rPr>
        <w:t>.</w:t>
      </w:r>
      <w:r>
        <w:rPr>
          <w:rFonts w:hint="eastAsia" w:ascii="仿宋_GB2312" w:hAnsi="宋体" w:eastAsia="仿宋_GB2312"/>
          <w:color w:val="auto"/>
          <w:sz w:val="28"/>
          <w:szCs w:val="28"/>
        </w:rPr>
        <w:t>本合同经发包方、承包方双方法定代表人或双方法定代表人书面授权的代理人签字并加盖公章后生效。本合同权利义务履行完毕时效力终止。</w:t>
      </w:r>
    </w:p>
    <w:p w14:paraId="699055BA">
      <w:pPr>
        <w:spacing w:line="520" w:lineRule="exact"/>
        <w:ind w:firstLine="560" w:firstLineChars="200"/>
        <w:jc w:val="left"/>
        <w:rPr>
          <w:rFonts w:hint="eastAsia" w:ascii="仿宋_GB2312" w:hAnsi="宋体" w:eastAsia="仿宋_GB2312"/>
          <w:color w:val="auto"/>
          <w:sz w:val="28"/>
          <w:szCs w:val="28"/>
        </w:rPr>
      </w:pPr>
    </w:p>
    <w:tbl>
      <w:tblPr>
        <w:tblStyle w:val="7"/>
        <w:tblW w:w="0" w:type="auto"/>
        <w:jc w:val="center"/>
        <w:tblLayout w:type="fixed"/>
        <w:tblCellMar>
          <w:top w:w="0" w:type="dxa"/>
          <w:left w:w="108" w:type="dxa"/>
          <w:bottom w:w="0" w:type="dxa"/>
          <w:right w:w="108" w:type="dxa"/>
        </w:tblCellMar>
      </w:tblPr>
      <w:tblGrid>
        <w:gridCol w:w="4857"/>
        <w:gridCol w:w="4091"/>
      </w:tblGrid>
      <w:tr w14:paraId="1CBBE25A">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72309490">
            <w:pPr>
              <w:spacing w:line="360" w:lineRule="auto"/>
              <w:ind w:firstLine="1820" w:firstLineChars="650"/>
              <w:rPr>
                <w:rFonts w:hint="eastAsia" w:ascii="宋体" w:hAnsi="宋体"/>
                <w:color w:val="auto"/>
                <w:sz w:val="28"/>
                <w:szCs w:val="28"/>
              </w:rPr>
            </w:pPr>
            <w:r>
              <w:rPr>
                <w:rFonts w:hint="eastAsia" w:ascii="宋体" w:hAnsi="宋体"/>
                <w:color w:val="auto"/>
                <w:sz w:val="28"/>
                <w:szCs w:val="28"/>
              </w:rPr>
              <w:t>发包方</w:t>
            </w:r>
          </w:p>
        </w:tc>
        <w:tc>
          <w:tcPr>
            <w:tcW w:w="4091" w:type="dxa"/>
            <w:tcBorders>
              <w:top w:val="single" w:color="auto" w:sz="4" w:space="0"/>
              <w:left w:val="nil"/>
              <w:bottom w:val="single" w:color="auto" w:sz="4" w:space="0"/>
              <w:right w:val="single" w:color="auto" w:sz="4" w:space="0"/>
            </w:tcBorders>
            <w:vAlign w:val="center"/>
          </w:tcPr>
          <w:p w14:paraId="19263DE8">
            <w:pPr>
              <w:spacing w:line="360" w:lineRule="auto"/>
              <w:ind w:firstLine="1400" w:firstLineChars="500"/>
              <w:rPr>
                <w:rFonts w:hint="eastAsia" w:ascii="宋体" w:hAnsi="宋体"/>
                <w:color w:val="auto"/>
                <w:sz w:val="28"/>
                <w:szCs w:val="28"/>
              </w:rPr>
            </w:pPr>
            <w:r>
              <w:rPr>
                <w:rFonts w:hint="eastAsia" w:ascii="宋体" w:hAnsi="宋体"/>
                <w:color w:val="auto"/>
                <w:sz w:val="28"/>
                <w:szCs w:val="28"/>
              </w:rPr>
              <w:t>承包方</w:t>
            </w:r>
          </w:p>
        </w:tc>
      </w:tr>
      <w:tr w14:paraId="13AA2E28">
        <w:tblPrEx>
          <w:tblCellMar>
            <w:top w:w="0" w:type="dxa"/>
            <w:left w:w="108" w:type="dxa"/>
            <w:bottom w:w="0" w:type="dxa"/>
            <w:right w:w="108" w:type="dxa"/>
          </w:tblCellMar>
        </w:tblPrEx>
        <w:trPr>
          <w:trHeight w:val="1501"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7777612F">
            <w:pPr>
              <w:spacing w:line="360" w:lineRule="auto"/>
              <w:jc w:val="left"/>
              <w:rPr>
                <w:rFonts w:hint="eastAsia" w:ascii="宋体" w:hAnsi="宋体"/>
                <w:color w:val="auto"/>
                <w:sz w:val="28"/>
                <w:szCs w:val="28"/>
              </w:rPr>
            </w:pPr>
            <w:r>
              <w:rPr>
                <w:rFonts w:hint="eastAsia" w:ascii="宋体" w:hAnsi="宋体"/>
                <w:color w:val="auto"/>
                <w:sz w:val="28"/>
                <w:szCs w:val="28"/>
              </w:rPr>
              <w:t>全称：</w:t>
            </w:r>
          </w:p>
          <w:p w14:paraId="1B5D6B25">
            <w:pPr>
              <w:spacing w:line="360" w:lineRule="auto"/>
              <w:jc w:val="left"/>
              <w:rPr>
                <w:rFonts w:hint="eastAsia" w:ascii="宋体" w:hAnsi="宋体"/>
                <w:color w:val="auto"/>
                <w:sz w:val="28"/>
                <w:szCs w:val="28"/>
              </w:rPr>
            </w:pPr>
            <w:r>
              <w:rPr>
                <w:rFonts w:hint="eastAsia" w:ascii="宋体" w:hAnsi="宋体"/>
                <w:color w:val="auto"/>
                <w:sz w:val="28"/>
                <w:szCs w:val="28"/>
              </w:rPr>
              <w:t>（盖章）</w:t>
            </w:r>
          </w:p>
        </w:tc>
        <w:tc>
          <w:tcPr>
            <w:tcW w:w="4091" w:type="dxa"/>
            <w:tcBorders>
              <w:top w:val="single" w:color="auto" w:sz="4" w:space="0"/>
              <w:left w:val="nil"/>
              <w:bottom w:val="single" w:color="auto" w:sz="4" w:space="0"/>
              <w:right w:val="single" w:color="auto" w:sz="4" w:space="0"/>
            </w:tcBorders>
            <w:vAlign w:val="center"/>
          </w:tcPr>
          <w:p w14:paraId="65CB00F6">
            <w:pPr>
              <w:spacing w:line="360" w:lineRule="auto"/>
              <w:jc w:val="left"/>
              <w:rPr>
                <w:rFonts w:hint="eastAsia" w:ascii="宋体" w:hAnsi="宋体"/>
                <w:color w:val="auto"/>
                <w:sz w:val="28"/>
                <w:szCs w:val="28"/>
              </w:rPr>
            </w:pPr>
            <w:r>
              <w:rPr>
                <w:rFonts w:hint="eastAsia" w:ascii="宋体" w:hAnsi="宋体"/>
                <w:color w:val="auto"/>
                <w:sz w:val="28"/>
                <w:szCs w:val="28"/>
              </w:rPr>
              <w:t>全称：</w:t>
            </w:r>
          </w:p>
          <w:p w14:paraId="1C55B423">
            <w:pPr>
              <w:spacing w:line="360" w:lineRule="auto"/>
              <w:jc w:val="left"/>
              <w:rPr>
                <w:rFonts w:hint="eastAsia" w:ascii="宋体" w:hAnsi="宋体"/>
                <w:color w:val="auto"/>
                <w:sz w:val="28"/>
                <w:szCs w:val="28"/>
              </w:rPr>
            </w:pPr>
            <w:r>
              <w:rPr>
                <w:rFonts w:hint="eastAsia" w:ascii="宋体" w:hAnsi="宋体"/>
                <w:color w:val="auto"/>
                <w:sz w:val="28"/>
                <w:szCs w:val="28"/>
              </w:rPr>
              <w:t>（盖章）</w:t>
            </w:r>
          </w:p>
        </w:tc>
      </w:tr>
      <w:tr w14:paraId="31229F42">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40A07A84">
            <w:pPr>
              <w:spacing w:line="360" w:lineRule="auto"/>
              <w:jc w:val="left"/>
              <w:rPr>
                <w:rFonts w:hint="eastAsia" w:ascii="宋体" w:hAnsi="宋体"/>
                <w:color w:val="auto"/>
                <w:sz w:val="28"/>
                <w:szCs w:val="28"/>
              </w:rPr>
            </w:pPr>
            <w:r>
              <w:rPr>
                <w:rFonts w:hint="eastAsia" w:ascii="宋体" w:hAnsi="宋体"/>
                <w:color w:val="auto"/>
                <w:sz w:val="28"/>
                <w:szCs w:val="28"/>
              </w:rPr>
              <w:t>地址：</w:t>
            </w:r>
          </w:p>
        </w:tc>
        <w:tc>
          <w:tcPr>
            <w:tcW w:w="4091" w:type="dxa"/>
            <w:tcBorders>
              <w:top w:val="single" w:color="auto" w:sz="4" w:space="0"/>
              <w:left w:val="nil"/>
              <w:bottom w:val="single" w:color="auto" w:sz="4" w:space="0"/>
              <w:right w:val="single" w:color="auto" w:sz="4" w:space="0"/>
            </w:tcBorders>
            <w:vAlign w:val="center"/>
          </w:tcPr>
          <w:p w14:paraId="6EA5F976">
            <w:pPr>
              <w:spacing w:line="360" w:lineRule="auto"/>
              <w:jc w:val="left"/>
              <w:rPr>
                <w:rFonts w:hint="eastAsia" w:ascii="宋体" w:hAnsi="宋体"/>
                <w:color w:val="auto"/>
                <w:sz w:val="28"/>
                <w:szCs w:val="28"/>
              </w:rPr>
            </w:pPr>
            <w:r>
              <w:rPr>
                <w:rFonts w:hint="eastAsia" w:ascii="宋体" w:hAnsi="宋体"/>
                <w:color w:val="auto"/>
                <w:sz w:val="28"/>
                <w:szCs w:val="28"/>
              </w:rPr>
              <w:t>地址：</w:t>
            </w:r>
          </w:p>
        </w:tc>
      </w:tr>
      <w:tr w14:paraId="358B884C">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399147F4">
            <w:pPr>
              <w:spacing w:line="360" w:lineRule="auto"/>
              <w:jc w:val="left"/>
              <w:rPr>
                <w:rFonts w:hint="eastAsia" w:ascii="宋体" w:hAnsi="宋体"/>
                <w:color w:val="auto"/>
                <w:sz w:val="28"/>
                <w:szCs w:val="28"/>
              </w:rPr>
            </w:pPr>
            <w:r>
              <w:rPr>
                <w:rFonts w:hint="eastAsia" w:ascii="宋体" w:hAnsi="宋体"/>
                <w:color w:val="auto"/>
                <w:sz w:val="28"/>
                <w:szCs w:val="28"/>
              </w:rPr>
              <w:t>邮编：</w:t>
            </w:r>
          </w:p>
        </w:tc>
        <w:tc>
          <w:tcPr>
            <w:tcW w:w="4091" w:type="dxa"/>
            <w:tcBorders>
              <w:top w:val="single" w:color="auto" w:sz="4" w:space="0"/>
              <w:left w:val="nil"/>
              <w:bottom w:val="single" w:color="auto" w:sz="4" w:space="0"/>
              <w:right w:val="single" w:color="auto" w:sz="4" w:space="0"/>
            </w:tcBorders>
            <w:vAlign w:val="center"/>
          </w:tcPr>
          <w:p w14:paraId="03A71427">
            <w:pPr>
              <w:spacing w:line="360" w:lineRule="auto"/>
              <w:jc w:val="left"/>
              <w:rPr>
                <w:rFonts w:hint="eastAsia" w:ascii="宋体" w:hAnsi="宋体"/>
                <w:color w:val="auto"/>
                <w:sz w:val="28"/>
                <w:szCs w:val="28"/>
              </w:rPr>
            </w:pPr>
            <w:r>
              <w:rPr>
                <w:rFonts w:hint="eastAsia" w:ascii="宋体" w:hAnsi="宋体"/>
                <w:color w:val="auto"/>
                <w:sz w:val="28"/>
                <w:szCs w:val="28"/>
              </w:rPr>
              <w:t>邮编：</w:t>
            </w:r>
          </w:p>
        </w:tc>
      </w:tr>
      <w:tr w14:paraId="2F427008">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173BCE4A">
            <w:pPr>
              <w:spacing w:line="360" w:lineRule="auto"/>
              <w:jc w:val="left"/>
              <w:rPr>
                <w:rFonts w:hint="eastAsia" w:ascii="宋体" w:hAnsi="宋体"/>
                <w:color w:val="auto"/>
                <w:sz w:val="28"/>
                <w:szCs w:val="28"/>
              </w:rPr>
            </w:pPr>
            <w:r>
              <w:rPr>
                <w:rFonts w:hint="eastAsia" w:ascii="宋体" w:hAnsi="宋体"/>
                <w:color w:val="auto"/>
                <w:sz w:val="28"/>
                <w:szCs w:val="28"/>
              </w:rPr>
              <w:t>全权代表：</w:t>
            </w:r>
          </w:p>
        </w:tc>
        <w:tc>
          <w:tcPr>
            <w:tcW w:w="4091" w:type="dxa"/>
            <w:tcBorders>
              <w:top w:val="single" w:color="auto" w:sz="4" w:space="0"/>
              <w:left w:val="nil"/>
              <w:bottom w:val="single" w:color="auto" w:sz="4" w:space="0"/>
              <w:right w:val="single" w:color="auto" w:sz="4" w:space="0"/>
            </w:tcBorders>
            <w:vAlign w:val="center"/>
          </w:tcPr>
          <w:p w14:paraId="189ED4BD">
            <w:pPr>
              <w:spacing w:line="360" w:lineRule="auto"/>
              <w:jc w:val="left"/>
              <w:rPr>
                <w:rFonts w:hint="eastAsia" w:ascii="宋体" w:hAnsi="宋体"/>
                <w:color w:val="auto"/>
                <w:sz w:val="28"/>
                <w:szCs w:val="28"/>
              </w:rPr>
            </w:pPr>
            <w:r>
              <w:rPr>
                <w:rFonts w:hint="eastAsia" w:ascii="宋体" w:hAnsi="宋体"/>
                <w:color w:val="auto"/>
                <w:sz w:val="28"/>
                <w:szCs w:val="28"/>
              </w:rPr>
              <w:t>法定代表人：</w:t>
            </w:r>
          </w:p>
        </w:tc>
      </w:tr>
      <w:tr w14:paraId="03B9E5CD">
        <w:tblPrEx>
          <w:tblCellMar>
            <w:top w:w="0" w:type="dxa"/>
            <w:left w:w="108" w:type="dxa"/>
            <w:bottom w:w="0" w:type="dxa"/>
            <w:right w:w="108" w:type="dxa"/>
          </w:tblCellMar>
        </w:tblPrEx>
        <w:trPr>
          <w:trHeight w:val="526"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4BF1432C">
            <w:pPr>
              <w:spacing w:line="360" w:lineRule="auto"/>
              <w:jc w:val="left"/>
              <w:rPr>
                <w:rFonts w:hint="eastAsia" w:ascii="宋体" w:hAnsi="宋体"/>
                <w:color w:val="auto"/>
                <w:sz w:val="28"/>
                <w:szCs w:val="28"/>
              </w:rPr>
            </w:pPr>
            <w:r>
              <w:rPr>
                <w:rFonts w:hint="eastAsia" w:ascii="宋体" w:hAnsi="宋体"/>
                <w:color w:val="auto"/>
                <w:sz w:val="28"/>
                <w:szCs w:val="28"/>
              </w:rPr>
              <w:t>被授权代表：（签字）</w:t>
            </w:r>
          </w:p>
        </w:tc>
        <w:tc>
          <w:tcPr>
            <w:tcW w:w="4091" w:type="dxa"/>
            <w:tcBorders>
              <w:top w:val="single" w:color="auto" w:sz="4" w:space="0"/>
              <w:left w:val="nil"/>
              <w:bottom w:val="single" w:color="auto" w:sz="4" w:space="0"/>
              <w:right w:val="single" w:color="auto" w:sz="4" w:space="0"/>
            </w:tcBorders>
            <w:vAlign w:val="center"/>
          </w:tcPr>
          <w:p w14:paraId="6A82A37A">
            <w:pPr>
              <w:spacing w:line="360" w:lineRule="auto"/>
              <w:jc w:val="left"/>
              <w:rPr>
                <w:rFonts w:hint="eastAsia" w:ascii="宋体" w:hAnsi="宋体"/>
                <w:color w:val="auto"/>
                <w:sz w:val="28"/>
                <w:szCs w:val="28"/>
              </w:rPr>
            </w:pPr>
            <w:r>
              <w:rPr>
                <w:rFonts w:hint="eastAsia" w:ascii="宋体" w:hAnsi="宋体"/>
                <w:color w:val="auto"/>
                <w:sz w:val="28"/>
                <w:szCs w:val="28"/>
              </w:rPr>
              <w:t>被授权代表：（签字）</w:t>
            </w:r>
          </w:p>
        </w:tc>
      </w:tr>
      <w:tr w14:paraId="25EEAD80">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5D39E9DB">
            <w:pPr>
              <w:spacing w:line="360" w:lineRule="auto"/>
              <w:jc w:val="left"/>
              <w:rPr>
                <w:rFonts w:hint="eastAsia" w:ascii="宋体" w:hAnsi="宋体"/>
                <w:color w:val="auto"/>
                <w:sz w:val="28"/>
                <w:szCs w:val="28"/>
              </w:rPr>
            </w:pPr>
            <w:r>
              <w:rPr>
                <w:rFonts w:hint="eastAsia" w:ascii="宋体" w:hAnsi="宋体"/>
                <w:color w:val="auto"/>
                <w:sz w:val="28"/>
                <w:szCs w:val="28"/>
              </w:rPr>
              <w:t>电话：</w:t>
            </w:r>
          </w:p>
        </w:tc>
        <w:tc>
          <w:tcPr>
            <w:tcW w:w="4091" w:type="dxa"/>
            <w:tcBorders>
              <w:top w:val="single" w:color="auto" w:sz="4" w:space="0"/>
              <w:left w:val="nil"/>
              <w:bottom w:val="single" w:color="auto" w:sz="4" w:space="0"/>
              <w:right w:val="single" w:color="auto" w:sz="4" w:space="0"/>
            </w:tcBorders>
            <w:vAlign w:val="center"/>
          </w:tcPr>
          <w:p w14:paraId="3A3A8A0E">
            <w:pPr>
              <w:spacing w:line="360" w:lineRule="auto"/>
              <w:jc w:val="left"/>
              <w:rPr>
                <w:rFonts w:hint="eastAsia" w:ascii="宋体" w:hAnsi="宋体"/>
                <w:color w:val="auto"/>
                <w:sz w:val="28"/>
                <w:szCs w:val="28"/>
              </w:rPr>
            </w:pPr>
            <w:r>
              <w:rPr>
                <w:rFonts w:hint="eastAsia" w:ascii="宋体" w:hAnsi="宋体"/>
                <w:color w:val="auto"/>
                <w:sz w:val="28"/>
                <w:szCs w:val="28"/>
              </w:rPr>
              <w:t>电话：</w:t>
            </w:r>
          </w:p>
        </w:tc>
      </w:tr>
      <w:tr w14:paraId="0DAC8D09">
        <w:tblPrEx>
          <w:tblCellMar>
            <w:top w:w="0" w:type="dxa"/>
            <w:left w:w="108" w:type="dxa"/>
            <w:bottom w:w="0" w:type="dxa"/>
            <w:right w:w="108" w:type="dxa"/>
          </w:tblCellMar>
        </w:tblPrEx>
        <w:trPr>
          <w:trHeight w:val="544" w:hRule="atLeast"/>
          <w:jc w:val="center"/>
        </w:trPr>
        <w:tc>
          <w:tcPr>
            <w:tcW w:w="4857" w:type="dxa"/>
            <w:tcBorders>
              <w:top w:val="single" w:color="auto" w:sz="4" w:space="0"/>
              <w:left w:val="single" w:color="auto" w:sz="4" w:space="0"/>
              <w:bottom w:val="single" w:color="auto" w:sz="4" w:space="0"/>
              <w:right w:val="single" w:color="auto" w:sz="4" w:space="0"/>
            </w:tcBorders>
            <w:vAlign w:val="center"/>
          </w:tcPr>
          <w:p w14:paraId="1B5C3EFB">
            <w:pPr>
              <w:spacing w:line="360" w:lineRule="auto"/>
              <w:jc w:val="left"/>
              <w:rPr>
                <w:rFonts w:hint="eastAsia" w:ascii="宋体" w:hAnsi="宋体"/>
                <w:color w:val="auto"/>
                <w:sz w:val="28"/>
                <w:szCs w:val="28"/>
              </w:rPr>
            </w:pPr>
            <w:r>
              <w:rPr>
                <w:rFonts w:hint="eastAsia" w:ascii="宋体" w:hAnsi="宋体"/>
                <w:color w:val="auto"/>
                <w:sz w:val="28"/>
                <w:szCs w:val="28"/>
              </w:rPr>
              <w:t>传真：</w:t>
            </w:r>
          </w:p>
        </w:tc>
        <w:tc>
          <w:tcPr>
            <w:tcW w:w="4091" w:type="dxa"/>
            <w:tcBorders>
              <w:top w:val="single" w:color="auto" w:sz="4" w:space="0"/>
              <w:left w:val="nil"/>
              <w:bottom w:val="single" w:color="auto" w:sz="4" w:space="0"/>
              <w:right w:val="single" w:color="auto" w:sz="4" w:space="0"/>
            </w:tcBorders>
            <w:vAlign w:val="center"/>
          </w:tcPr>
          <w:p w14:paraId="294AE6D0">
            <w:pPr>
              <w:spacing w:line="360" w:lineRule="auto"/>
              <w:jc w:val="left"/>
              <w:rPr>
                <w:rFonts w:hint="eastAsia" w:ascii="宋体" w:hAnsi="宋体"/>
                <w:color w:val="auto"/>
                <w:sz w:val="28"/>
                <w:szCs w:val="28"/>
              </w:rPr>
            </w:pPr>
            <w:r>
              <w:rPr>
                <w:rFonts w:hint="eastAsia" w:ascii="宋体" w:hAnsi="宋体"/>
                <w:color w:val="auto"/>
                <w:sz w:val="28"/>
                <w:szCs w:val="28"/>
              </w:rPr>
              <w:t>传真：</w:t>
            </w:r>
          </w:p>
        </w:tc>
      </w:tr>
    </w:tbl>
    <w:p w14:paraId="521FB7C8">
      <w:pPr>
        <w:rPr>
          <w:color w:val="auto"/>
        </w:rPr>
      </w:pPr>
    </w:p>
    <w:p w14:paraId="3FB5F963">
      <w:pPr>
        <w:rPr>
          <w:color w:val="auto"/>
        </w:rPr>
      </w:pPr>
    </w:p>
    <w:p w14:paraId="2C3C0A60">
      <w:pPr>
        <w:spacing w:line="360" w:lineRule="auto"/>
        <w:jc w:val="center"/>
        <w:outlineLvl w:val="0"/>
        <w:rPr>
          <w:rFonts w:hint="eastAsia" w:ascii="宋体" w:hAnsi="宋体"/>
          <w:b/>
          <w:color w:val="auto"/>
          <w:sz w:val="44"/>
          <w:szCs w:val="44"/>
        </w:rPr>
      </w:pPr>
    </w:p>
    <w:p w14:paraId="05B7A507">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5ZjFiMTc4N2NkNWNlMDhmNzg4NjMzMTlkOGM2MGUifQ=="/>
  </w:docVars>
  <w:rsids>
    <w:rsidRoot w:val="00E61E0E"/>
    <w:rsid w:val="0000152A"/>
    <w:rsid w:val="0000597F"/>
    <w:rsid w:val="00005B1E"/>
    <w:rsid w:val="000073AB"/>
    <w:rsid w:val="000136D5"/>
    <w:rsid w:val="00013CB8"/>
    <w:rsid w:val="00021E36"/>
    <w:rsid w:val="00022CBB"/>
    <w:rsid w:val="000263E3"/>
    <w:rsid w:val="00026FA4"/>
    <w:rsid w:val="00027688"/>
    <w:rsid w:val="00027D6C"/>
    <w:rsid w:val="000300A7"/>
    <w:rsid w:val="00031071"/>
    <w:rsid w:val="00031218"/>
    <w:rsid w:val="0003252B"/>
    <w:rsid w:val="00032995"/>
    <w:rsid w:val="00032BBC"/>
    <w:rsid w:val="00036BE2"/>
    <w:rsid w:val="000422D3"/>
    <w:rsid w:val="000444D4"/>
    <w:rsid w:val="000463F2"/>
    <w:rsid w:val="00046A7C"/>
    <w:rsid w:val="00052B1B"/>
    <w:rsid w:val="0005401A"/>
    <w:rsid w:val="000542B1"/>
    <w:rsid w:val="00056C63"/>
    <w:rsid w:val="00057B24"/>
    <w:rsid w:val="0006426A"/>
    <w:rsid w:val="000671F8"/>
    <w:rsid w:val="00071EA5"/>
    <w:rsid w:val="00074446"/>
    <w:rsid w:val="000746AB"/>
    <w:rsid w:val="0007529F"/>
    <w:rsid w:val="00075558"/>
    <w:rsid w:val="00075820"/>
    <w:rsid w:val="000772BB"/>
    <w:rsid w:val="0007742C"/>
    <w:rsid w:val="00077D73"/>
    <w:rsid w:val="00082180"/>
    <w:rsid w:val="00084F2D"/>
    <w:rsid w:val="000863BA"/>
    <w:rsid w:val="00086953"/>
    <w:rsid w:val="00093192"/>
    <w:rsid w:val="000975FD"/>
    <w:rsid w:val="00097F1F"/>
    <w:rsid w:val="000A032B"/>
    <w:rsid w:val="000A033E"/>
    <w:rsid w:val="000A1C11"/>
    <w:rsid w:val="000A4173"/>
    <w:rsid w:val="000A7A14"/>
    <w:rsid w:val="000B17CE"/>
    <w:rsid w:val="000B3213"/>
    <w:rsid w:val="000B377D"/>
    <w:rsid w:val="000B4E0E"/>
    <w:rsid w:val="000B55AD"/>
    <w:rsid w:val="000B631F"/>
    <w:rsid w:val="000B75B5"/>
    <w:rsid w:val="000B77AF"/>
    <w:rsid w:val="000C06D4"/>
    <w:rsid w:val="000C1D61"/>
    <w:rsid w:val="000C3C22"/>
    <w:rsid w:val="000C3FAD"/>
    <w:rsid w:val="000C603F"/>
    <w:rsid w:val="000C7B18"/>
    <w:rsid w:val="000D215C"/>
    <w:rsid w:val="000D21EB"/>
    <w:rsid w:val="000D2949"/>
    <w:rsid w:val="000D30BF"/>
    <w:rsid w:val="000E00DD"/>
    <w:rsid w:val="000E1850"/>
    <w:rsid w:val="000E18AD"/>
    <w:rsid w:val="000E46A7"/>
    <w:rsid w:val="000E69BB"/>
    <w:rsid w:val="000F14FF"/>
    <w:rsid w:val="000F1CE2"/>
    <w:rsid w:val="000F7EF7"/>
    <w:rsid w:val="001034E3"/>
    <w:rsid w:val="00104867"/>
    <w:rsid w:val="00104D8E"/>
    <w:rsid w:val="001056CE"/>
    <w:rsid w:val="001064FF"/>
    <w:rsid w:val="00107722"/>
    <w:rsid w:val="00110E5C"/>
    <w:rsid w:val="00110FA5"/>
    <w:rsid w:val="00111928"/>
    <w:rsid w:val="00113A21"/>
    <w:rsid w:val="00114300"/>
    <w:rsid w:val="00114545"/>
    <w:rsid w:val="0011620B"/>
    <w:rsid w:val="0011706C"/>
    <w:rsid w:val="00117B6E"/>
    <w:rsid w:val="00120A3D"/>
    <w:rsid w:val="0012774F"/>
    <w:rsid w:val="00130C10"/>
    <w:rsid w:val="00132645"/>
    <w:rsid w:val="00132963"/>
    <w:rsid w:val="00132EB0"/>
    <w:rsid w:val="00133760"/>
    <w:rsid w:val="0013406B"/>
    <w:rsid w:val="00140DAC"/>
    <w:rsid w:val="00141010"/>
    <w:rsid w:val="0014131B"/>
    <w:rsid w:val="00141907"/>
    <w:rsid w:val="00151996"/>
    <w:rsid w:val="00152486"/>
    <w:rsid w:val="00153984"/>
    <w:rsid w:val="00160181"/>
    <w:rsid w:val="001615F0"/>
    <w:rsid w:val="00161932"/>
    <w:rsid w:val="0016219B"/>
    <w:rsid w:val="001623EF"/>
    <w:rsid w:val="0016274B"/>
    <w:rsid w:val="00162B10"/>
    <w:rsid w:val="0016357F"/>
    <w:rsid w:val="00165855"/>
    <w:rsid w:val="00165E23"/>
    <w:rsid w:val="0017067B"/>
    <w:rsid w:val="001719A3"/>
    <w:rsid w:val="0017417E"/>
    <w:rsid w:val="00177247"/>
    <w:rsid w:val="00183B13"/>
    <w:rsid w:val="0018550E"/>
    <w:rsid w:val="001934CC"/>
    <w:rsid w:val="00196602"/>
    <w:rsid w:val="001A23F6"/>
    <w:rsid w:val="001B2E69"/>
    <w:rsid w:val="001B3088"/>
    <w:rsid w:val="001B702F"/>
    <w:rsid w:val="001C3395"/>
    <w:rsid w:val="001C44F8"/>
    <w:rsid w:val="001C48D1"/>
    <w:rsid w:val="001C4AC7"/>
    <w:rsid w:val="001C4D6B"/>
    <w:rsid w:val="001D3C5A"/>
    <w:rsid w:val="001D4968"/>
    <w:rsid w:val="001D72E7"/>
    <w:rsid w:val="001D73D7"/>
    <w:rsid w:val="001E4BEB"/>
    <w:rsid w:val="001E56B9"/>
    <w:rsid w:val="001E756A"/>
    <w:rsid w:val="001E7846"/>
    <w:rsid w:val="001F0B9A"/>
    <w:rsid w:val="001F120E"/>
    <w:rsid w:val="001F25FB"/>
    <w:rsid w:val="001F314E"/>
    <w:rsid w:val="001F5CCF"/>
    <w:rsid w:val="001F665E"/>
    <w:rsid w:val="002032F9"/>
    <w:rsid w:val="002035CA"/>
    <w:rsid w:val="002067F7"/>
    <w:rsid w:val="002072C3"/>
    <w:rsid w:val="00212A78"/>
    <w:rsid w:val="00216559"/>
    <w:rsid w:val="002175EA"/>
    <w:rsid w:val="0022408F"/>
    <w:rsid w:val="00224A2A"/>
    <w:rsid w:val="00227210"/>
    <w:rsid w:val="002279CE"/>
    <w:rsid w:val="00227E1A"/>
    <w:rsid w:val="00230782"/>
    <w:rsid w:val="00231799"/>
    <w:rsid w:val="00231C2B"/>
    <w:rsid w:val="00231DBD"/>
    <w:rsid w:val="00234E63"/>
    <w:rsid w:val="00234F2E"/>
    <w:rsid w:val="00236A64"/>
    <w:rsid w:val="0024069E"/>
    <w:rsid w:val="002420FD"/>
    <w:rsid w:val="002432FC"/>
    <w:rsid w:val="00243CDB"/>
    <w:rsid w:val="00247567"/>
    <w:rsid w:val="002477B5"/>
    <w:rsid w:val="00251EC7"/>
    <w:rsid w:val="002525B1"/>
    <w:rsid w:val="00252B10"/>
    <w:rsid w:val="002532EA"/>
    <w:rsid w:val="002534D5"/>
    <w:rsid w:val="00255F74"/>
    <w:rsid w:val="00256828"/>
    <w:rsid w:val="00256CAB"/>
    <w:rsid w:val="002572DF"/>
    <w:rsid w:val="00257E66"/>
    <w:rsid w:val="00261DA5"/>
    <w:rsid w:val="00262EDA"/>
    <w:rsid w:val="00262FD3"/>
    <w:rsid w:val="00263876"/>
    <w:rsid w:val="00270215"/>
    <w:rsid w:val="00270647"/>
    <w:rsid w:val="00271536"/>
    <w:rsid w:val="002737B8"/>
    <w:rsid w:val="002756C5"/>
    <w:rsid w:val="0027603B"/>
    <w:rsid w:val="002765CA"/>
    <w:rsid w:val="00281F9C"/>
    <w:rsid w:val="00284035"/>
    <w:rsid w:val="00291995"/>
    <w:rsid w:val="002953BA"/>
    <w:rsid w:val="00296A47"/>
    <w:rsid w:val="0029703F"/>
    <w:rsid w:val="002A06B3"/>
    <w:rsid w:val="002A2E9C"/>
    <w:rsid w:val="002B072D"/>
    <w:rsid w:val="002B0D67"/>
    <w:rsid w:val="002B12DE"/>
    <w:rsid w:val="002B25B7"/>
    <w:rsid w:val="002B5CEA"/>
    <w:rsid w:val="002C2AF9"/>
    <w:rsid w:val="002C2CC0"/>
    <w:rsid w:val="002C3687"/>
    <w:rsid w:val="002C4983"/>
    <w:rsid w:val="002C7619"/>
    <w:rsid w:val="002D1E37"/>
    <w:rsid w:val="002D3FDB"/>
    <w:rsid w:val="002D5FC9"/>
    <w:rsid w:val="002D5FCB"/>
    <w:rsid w:val="002D67E8"/>
    <w:rsid w:val="002D7682"/>
    <w:rsid w:val="002E1800"/>
    <w:rsid w:val="002E3169"/>
    <w:rsid w:val="002E3197"/>
    <w:rsid w:val="002E405A"/>
    <w:rsid w:val="002E60F8"/>
    <w:rsid w:val="002E725E"/>
    <w:rsid w:val="002E7F9A"/>
    <w:rsid w:val="002F4B46"/>
    <w:rsid w:val="002F5043"/>
    <w:rsid w:val="002F7628"/>
    <w:rsid w:val="002F7B1F"/>
    <w:rsid w:val="00300104"/>
    <w:rsid w:val="003014D5"/>
    <w:rsid w:val="00303791"/>
    <w:rsid w:val="00303816"/>
    <w:rsid w:val="00310F0E"/>
    <w:rsid w:val="00312E53"/>
    <w:rsid w:val="003130F4"/>
    <w:rsid w:val="00313C99"/>
    <w:rsid w:val="00324CA4"/>
    <w:rsid w:val="00325EE4"/>
    <w:rsid w:val="00326C70"/>
    <w:rsid w:val="003276DB"/>
    <w:rsid w:val="00330DCF"/>
    <w:rsid w:val="0033293B"/>
    <w:rsid w:val="00332968"/>
    <w:rsid w:val="00334049"/>
    <w:rsid w:val="003363B4"/>
    <w:rsid w:val="00336CC2"/>
    <w:rsid w:val="003427EA"/>
    <w:rsid w:val="0034405D"/>
    <w:rsid w:val="00344170"/>
    <w:rsid w:val="0034523B"/>
    <w:rsid w:val="00346949"/>
    <w:rsid w:val="003525CD"/>
    <w:rsid w:val="00353205"/>
    <w:rsid w:val="00355F34"/>
    <w:rsid w:val="00357564"/>
    <w:rsid w:val="003608F7"/>
    <w:rsid w:val="00360D99"/>
    <w:rsid w:val="003638B2"/>
    <w:rsid w:val="00366511"/>
    <w:rsid w:val="00370B87"/>
    <w:rsid w:val="00371BA1"/>
    <w:rsid w:val="00372482"/>
    <w:rsid w:val="00373CDB"/>
    <w:rsid w:val="00373FA0"/>
    <w:rsid w:val="0037753C"/>
    <w:rsid w:val="00385CE4"/>
    <w:rsid w:val="0039094C"/>
    <w:rsid w:val="00392224"/>
    <w:rsid w:val="00393BE1"/>
    <w:rsid w:val="00397197"/>
    <w:rsid w:val="0039722B"/>
    <w:rsid w:val="003A6257"/>
    <w:rsid w:val="003A777B"/>
    <w:rsid w:val="003B16E1"/>
    <w:rsid w:val="003B2032"/>
    <w:rsid w:val="003B71DD"/>
    <w:rsid w:val="003C0946"/>
    <w:rsid w:val="003C09F2"/>
    <w:rsid w:val="003C13F1"/>
    <w:rsid w:val="003C1BB2"/>
    <w:rsid w:val="003C213C"/>
    <w:rsid w:val="003D2285"/>
    <w:rsid w:val="003D68D7"/>
    <w:rsid w:val="003D6CE3"/>
    <w:rsid w:val="003E0ABF"/>
    <w:rsid w:val="003E233E"/>
    <w:rsid w:val="003E317E"/>
    <w:rsid w:val="003E3DE0"/>
    <w:rsid w:val="003E412A"/>
    <w:rsid w:val="003E6399"/>
    <w:rsid w:val="003F0924"/>
    <w:rsid w:val="003F3217"/>
    <w:rsid w:val="003F456A"/>
    <w:rsid w:val="003F4CC9"/>
    <w:rsid w:val="004003C8"/>
    <w:rsid w:val="00402582"/>
    <w:rsid w:val="00407A54"/>
    <w:rsid w:val="00410209"/>
    <w:rsid w:val="00411FAB"/>
    <w:rsid w:val="00412C5C"/>
    <w:rsid w:val="00414B0F"/>
    <w:rsid w:val="00422CF9"/>
    <w:rsid w:val="00423549"/>
    <w:rsid w:val="0042620D"/>
    <w:rsid w:val="00426545"/>
    <w:rsid w:val="004276A4"/>
    <w:rsid w:val="00430064"/>
    <w:rsid w:val="00430776"/>
    <w:rsid w:val="004319DC"/>
    <w:rsid w:val="00433DFD"/>
    <w:rsid w:val="004379EB"/>
    <w:rsid w:val="00440021"/>
    <w:rsid w:val="00441F61"/>
    <w:rsid w:val="00442B97"/>
    <w:rsid w:val="00447B7D"/>
    <w:rsid w:val="00450069"/>
    <w:rsid w:val="00453F08"/>
    <w:rsid w:val="0045412E"/>
    <w:rsid w:val="00456A3F"/>
    <w:rsid w:val="004605F8"/>
    <w:rsid w:val="00462A02"/>
    <w:rsid w:val="004659E1"/>
    <w:rsid w:val="00467F4C"/>
    <w:rsid w:val="00471EC6"/>
    <w:rsid w:val="004736D6"/>
    <w:rsid w:val="00474036"/>
    <w:rsid w:val="00474D51"/>
    <w:rsid w:val="004763CA"/>
    <w:rsid w:val="00476567"/>
    <w:rsid w:val="0048124D"/>
    <w:rsid w:val="00484180"/>
    <w:rsid w:val="00484238"/>
    <w:rsid w:val="0048636C"/>
    <w:rsid w:val="00492290"/>
    <w:rsid w:val="0049485A"/>
    <w:rsid w:val="004A1BDB"/>
    <w:rsid w:val="004A41F9"/>
    <w:rsid w:val="004A7002"/>
    <w:rsid w:val="004B1EA0"/>
    <w:rsid w:val="004B2D76"/>
    <w:rsid w:val="004B40AE"/>
    <w:rsid w:val="004B4690"/>
    <w:rsid w:val="004B522E"/>
    <w:rsid w:val="004B5452"/>
    <w:rsid w:val="004B5A91"/>
    <w:rsid w:val="004C2CFD"/>
    <w:rsid w:val="004C3182"/>
    <w:rsid w:val="004C530A"/>
    <w:rsid w:val="004C5428"/>
    <w:rsid w:val="004C660F"/>
    <w:rsid w:val="004D1BB5"/>
    <w:rsid w:val="004D2546"/>
    <w:rsid w:val="004D25EA"/>
    <w:rsid w:val="004D33A6"/>
    <w:rsid w:val="004D3849"/>
    <w:rsid w:val="004D3BB8"/>
    <w:rsid w:val="004D6B5A"/>
    <w:rsid w:val="004E343A"/>
    <w:rsid w:val="004E3721"/>
    <w:rsid w:val="004E43B0"/>
    <w:rsid w:val="004F0346"/>
    <w:rsid w:val="004F3CD6"/>
    <w:rsid w:val="004F3D18"/>
    <w:rsid w:val="004F57BA"/>
    <w:rsid w:val="004F6ED7"/>
    <w:rsid w:val="004F76B4"/>
    <w:rsid w:val="00501ABE"/>
    <w:rsid w:val="00504538"/>
    <w:rsid w:val="005064AB"/>
    <w:rsid w:val="00512B74"/>
    <w:rsid w:val="00515C5C"/>
    <w:rsid w:val="00516D4D"/>
    <w:rsid w:val="00521B69"/>
    <w:rsid w:val="005222C3"/>
    <w:rsid w:val="00522999"/>
    <w:rsid w:val="005238BC"/>
    <w:rsid w:val="00525124"/>
    <w:rsid w:val="005315C9"/>
    <w:rsid w:val="00531D5C"/>
    <w:rsid w:val="00534A6C"/>
    <w:rsid w:val="0053788A"/>
    <w:rsid w:val="00541085"/>
    <w:rsid w:val="00542E69"/>
    <w:rsid w:val="00543742"/>
    <w:rsid w:val="00550E09"/>
    <w:rsid w:val="005514F3"/>
    <w:rsid w:val="00551D98"/>
    <w:rsid w:val="00555F3E"/>
    <w:rsid w:val="00557616"/>
    <w:rsid w:val="0056162B"/>
    <w:rsid w:val="0056187A"/>
    <w:rsid w:val="005625E9"/>
    <w:rsid w:val="00564980"/>
    <w:rsid w:val="00571DDA"/>
    <w:rsid w:val="00573996"/>
    <w:rsid w:val="00573D7A"/>
    <w:rsid w:val="005745D8"/>
    <w:rsid w:val="005801E6"/>
    <w:rsid w:val="005820C3"/>
    <w:rsid w:val="00584D4A"/>
    <w:rsid w:val="00585DBF"/>
    <w:rsid w:val="00586648"/>
    <w:rsid w:val="0059305D"/>
    <w:rsid w:val="00594B60"/>
    <w:rsid w:val="005967D8"/>
    <w:rsid w:val="00596A68"/>
    <w:rsid w:val="005A0DA6"/>
    <w:rsid w:val="005A474F"/>
    <w:rsid w:val="005A68E6"/>
    <w:rsid w:val="005A785D"/>
    <w:rsid w:val="005B07FD"/>
    <w:rsid w:val="005B246E"/>
    <w:rsid w:val="005B247C"/>
    <w:rsid w:val="005B530C"/>
    <w:rsid w:val="005B6DAB"/>
    <w:rsid w:val="005B6EFD"/>
    <w:rsid w:val="005B7D70"/>
    <w:rsid w:val="005C2989"/>
    <w:rsid w:val="005C68E3"/>
    <w:rsid w:val="005D19BD"/>
    <w:rsid w:val="005D50E4"/>
    <w:rsid w:val="005D515A"/>
    <w:rsid w:val="005E0566"/>
    <w:rsid w:val="005E1071"/>
    <w:rsid w:val="005E1572"/>
    <w:rsid w:val="005E3968"/>
    <w:rsid w:val="005E78C0"/>
    <w:rsid w:val="005F1E55"/>
    <w:rsid w:val="005F44C2"/>
    <w:rsid w:val="005F7FF7"/>
    <w:rsid w:val="00602AFF"/>
    <w:rsid w:val="0060427C"/>
    <w:rsid w:val="00605545"/>
    <w:rsid w:val="00606BBD"/>
    <w:rsid w:val="0060782F"/>
    <w:rsid w:val="00616648"/>
    <w:rsid w:val="00617A20"/>
    <w:rsid w:val="00622586"/>
    <w:rsid w:val="006259EA"/>
    <w:rsid w:val="00626C7C"/>
    <w:rsid w:val="00630D07"/>
    <w:rsid w:val="00633E4E"/>
    <w:rsid w:val="00635649"/>
    <w:rsid w:val="00637C5B"/>
    <w:rsid w:val="00641096"/>
    <w:rsid w:val="00641DFB"/>
    <w:rsid w:val="0065149E"/>
    <w:rsid w:val="00651EA0"/>
    <w:rsid w:val="006532F0"/>
    <w:rsid w:val="00654DAF"/>
    <w:rsid w:val="00654FE2"/>
    <w:rsid w:val="00660903"/>
    <w:rsid w:val="00663789"/>
    <w:rsid w:val="00665196"/>
    <w:rsid w:val="00672AA8"/>
    <w:rsid w:val="006807A8"/>
    <w:rsid w:val="00681249"/>
    <w:rsid w:val="006824AE"/>
    <w:rsid w:val="00683C7B"/>
    <w:rsid w:val="00684D9C"/>
    <w:rsid w:val="00687531"/>
    <w:rsid w:val="00691764"/>
    <w:rsid w:val="00692183"/>
    <w:rsid w:val="006A1FBD"/>
    <w:rsid w:val="006A26AF"/>
    <w:rsid w:val="006A2AD4"/>
    <w:rsid w:val="006A4791"/>
    <w:rsid w:val="006A4983"/>
    <w:rsid w:val="006A5999"/>
    <w:rsid w:val="006A6595"/>
    <w:rsid w:val="006A6F60"/>
    <w:rsid w:val="006B605A"/>
    <w:rsid w:val="006B74FE"/>
    <w:rsid w:val="006C0B05"/>
    <w:rsid w:val="006C0BB6"/>
    <w:rsid w:val="006C1D29"/>
    <w:rsid w:val="006C28D5"/>
    <w:rsid w:val="006C7729"/>
    <w:rsid w:val="006D18F1"/>
    <w:rsid w:val="006D2253"/>
    <w:rsid w:val="006D2C29"/>
    <w:rsid w:val="006D5636"/>
    <w:rsid w:val="006D67F0"/>
    <w:rsid w:val="006D71F3"/>
    <w:rsid w:val="006D77C7"/>
    <w:rsid w:val="006E2BCA"/>
    <w:rsid w:val="006E7131"/>
    <w:rsid w:val="006F03CD"/>
    <w:rsid w:val="006F22BC"/>
    <w:rsid w:val="006F30F8"/>
    <w:rsid w:val="006F4B6E"/>
    <w:rsid w:val="006F5801"/>
    <w:rsid w:val="006F5B03"/>
    <w:rsid w:val="006F5FE4"/>
    <w:rsid w:val="00704FF9"/>
    <w:rsid w:val="007078A2"/>
    <w:rsid w:val="0071234C"/>
    <w:rsid w:val="00715A60"/>
    <w:rsid w:val="0072198F"/>
    <w:rsid w:val="00723C4C"/>
    <w:rsid w:val="00726F30"/>
    <w:rsid w:val="00732266"/>
    <w:rsid w:val="00733DDD"/>
    <w:rsid w:val="007433A5"/>
    <w:rsid w:val="00745CF2"/>
    <w:rsid w:val="007463CE"/>
    <w:rsid w:val="007501C7"/>
    <w:rsid w:val="0075157F"/>
    <w:rsid w:val="00752792"/>
    <w:rsid w:val="00753E2F"/>
    <w:rsid w:val="0075544B"/>
    <w:rsid w:val="00756661"/>
    <w:rsid w:val="007612D6"/>
    <w:rsid w:val="0076275C"/>
    <w:rsid w:val="00764CEC"/>
    <w:rsid w:val="00765309"/>
    <w:rsid w:val="00765A24"/>
    <w:rsid w:val="007724A6"/>
    <w:rsid w:val="00774934"/>
    <w:rsid w:val="00775BE1"/>
    <w:rsid w:val="00776D51"/>
    <w:rsid w:val="007805E8"/>
    <w:rsid w:val="00784EE1"/>
    <w:rsid w:val="00790B81"/>
    <w:rsid w:val="007922B4"/>
    <w:rsid w:val="00795456"/>
    <w:rsid w:val="007A00E5"/>
    <w:rsid w:val="007A03CF"/>
    <w:rsid w:val="007A2896"/>
    <w:rsid w:val="007A4783"/>
    <w:rsid w:val="007A7503"/>
    <w:rsid w:val="007B0D48"/>
    <w:rsid w:val="007C0605"/>
    <w:rsid w:val="007C2465"/>
    <w:rsid w:val="007C55E9"/>
    <w:rsid w:val="007D00FE"/>
    <w:rsid w:val="007D0897"/>
    <w:rsid w:val="007D0909"/>
    <w:rsid w:val="007D16CE"/>
    <w:rsid w:val="007D1B66"/>
    <w:rsid w:val="007D21BA"/>
    <w:rsid w:val="007D4BC7"/>
    <w:rsid w:val="007D5914"/>
    <w:rsid w:val="007D6E16"/>
    <w:rsid w:val="007E223C"/>
    <w:rsid w:val="007E2C6A"/>
    <w:rsid w:val="007E2D7E"/>
    <w:rsid w:val="007E3BCD"/>
    <w:rsid w:val="007F074F"/>
    <w:rsid w:val="007F0D26"/>
    <w:rsid w:val="007F0D5F"/>
    <w:rsid w:val="007F1619"/>
    <w:rsid w:val="007F1964"/>
    <w:rsid w:val="007F7BA7"/>
    <w:rsid w:val="008017B0"/>
    <w:rsid w:val="00802098"/>
    <w:rsid w:val="0081064C"/>
    <w:rsid w:val="00812844"/>
    <w:rsid w:val="00815280"/>
    <w:rsid w:val="00816200"/>
    <w:rsid w:val="00820C8C"/>
    <w:rsid w:val="008222EE"/>
    <w:rsid w:val="00825310"/>
    <w:rsid w:val="00827944"/>
    <w:rsid w:val="00830492"/>
    <w:rsid w:val="00836A97"/>
    <w:rsid w:val="00840261"/>
    <w:rsid w:val="00844C3E"/>
    <w:rsid w:val="00851FC1"/>
    <w:rsid w:val="00852CBF"/>
    <w:rsid w:val="0085357C"/>
    <w:rsid w:val="00853FBB"/>
    <w:rsid w:val="0086069A"/>
    <w:rsid w:val="00860F1C"/>
    <w:rsid w:val="00862272"/>
    <w:rsid w:val="0086530D"/>
    <w:rsid w:val="00870532"/>
    <w:rsid w:val="00870B22"/>
    <w:rsid w:val="0087180E"/>
    <w:rsid w:val="00874036"/>
    <w:rsid w:val="00874528"/>
    <w:rsid w:val="00874790"/>
    <w:rsid w:val="00874924"/>
    <w:rsid w:val="00875AE2"/>
    <w:rsid w:val="00877282"/>
    <w:rsid w:val="00880FC7"/>
    <w:rsid w:val="00884783"/>
    <w:rsid w:val="00890189"/>
    <w:rsid w:val="008933C3"/>
    <w:rsid w:val="008958CF"/>
    <w:rsid w:val="00896C7C"/>
    <w:rsid w:val="008A288A"/>
    <w:rsid w:val="008A4DD9"/>
    <w:rsid w:val="008A6869"/>
    <w:rsid w:val="008B3ACB"/>
    <w:rsid w:val="008B58DF"/>
    <w:rsid w:val="008B61C5"/>
    <w:rsid w:val="008B6AE4"/>
    <w:rsid w:val="008B7FB4"/>
    <w:rsid w:val="008C0EE1"/>
    <w:rsid w:val="008D0E59"/>
    <w:rsid w:val="008D3171"/>
    <w:rsid w:val="008D34E9"/>
    <w:rsid w:val="008D4C99"/>
    <w:rsid w:val="008E0993"/>
    <w:rsid w:val="008E2691"/>
    <w:rsid w:val="008E4319"/>
    <w:rsid w:val="008E48A0"/>
    <w:rsid w:val="008E49F7"/>
    <w:rsid w:val="008E5A55"/>
    <w:rsid w:val="008F0CE0"/>
    <w:rsid w:val="008F2436"/>
    <w:rsid w:val="008F2720"/>
    <w:rsid w:val="008F3816"/>
    <w:rsid w:val="008F7D23"/>
    <w:rsid w:val="0090421B"/>
    <w:rsid w:val="0090429D"/>
    <w:rsid w:val="009066F9"/>
    <w:rsid w:val="00907961"/>
    <w:rsid w:val="0091310D"/>
    <w:rsid w:val="00913E61"/>
    <w:rsid w:val="009153E6"/>
    <w:rsid w:val="00917CA3"/>
    <w:rsid w:val="0092514B"/>
    <w:rsid w:val="00925D14"/>
    <w:rsid w:val="00927E1D"/>
    <w:rsid w:val="0093029B"/>
    <w:rsid w:val="00930763"/>
    <w:rsid w:val="00933426"/>
    <w:rsid w:val="0093626C"/>
    <w:rsid w:val="009362BC"/>
    <w:rsid w:val="00940E86"/>
    <w:rsid w:val="00942411"/>
    <w:rsid w:val="00942B7D"/>
    <w:rsid w:val="0095096E"/>
    <w:rsid w:val="0095160E"/>
    <w:rsid w:val="0095253F"/>
    <w:rsid w:val="00953589"/>
    <w:rsid w:val="0095392E"/>
    <w:rsid w:val="00955356"/>
    <w:rsid w:val="0095726E"/>
    <w:rsid w:val="00960C86"/>
    <w:rsid w:val="00961F43"/>
    <w:rsid w:val="00964B56"/>
    <w:rsid w:val="0096770E"/>
    <w:rsid w:val="00972436"/>
    <w:rsid w:val="0097261E"/>
    <w:rsid w:val="009810FB"/>
    <w:rsid w:val="00982487"/>
    <w:rsid w:val="00990A13"/>
    <w:rsid w:val="00992CA3"/>
    <w:rsid w:val="009A05BC"/>
    <w:rsid w:val="009A0C47"/>
    <w:rsid w:val="009A1EC7"/>
    <w:rsid w:val="009A68DD"/>
    <w:rsid w:val="009A693A"/>
    <w:rsid w:val="009B7533"/>
    <w:rsid w:val="009C01A7"/>
    <w:rsid w:val="009C01DA"/>
    <w:rsid w:val="009C1BE1"/>
    <w:rsid w:val="009C51B4"/>
    <w:rsid w:val="009C64F8"/>
    <w:rsid w:val="009C6A7F"/>
    <w:rsid w:val="009C6DF8"/>
    <w:rsid w:val="009D040D"/>
    <w:rsid w:val="009D3AC0"/>
    <w:rsid w:val="009E2327"/>
    <w:rsid w:val="009E6B6F"/>
    <w:rsid w:val="009F14A3"/>
    <w:rsid w:val="009F1B62"/>
    <w:rsid w:val="009F3FED"/>
    <w:rsid w:val="009F420B"/>
    <w:rsid w:val="009F5474"/>
    <w:rsid w:val="009F56B9"/>
    <w:rsid w:val="009F5917"/>
    <w:rsid w:val="00A008B2"/>
    <w:rsid w:val="00A03E26"/>
    <w:rsid w:val="00A10F12"/>
    <w:rsid w:val="00A11786"/>
    <w:rsid w:val="00A13057"/>
    <w:rsid w:val="00A1523B"/>
    <w:rsid w:val="00A15716"/>
    <w:rsid w:val="00A16A99"/>
    <w:rsid w:val="00A171A3"/>
    <w:rsid w:val="00A17469"/>
    <w:rsid w:val="00A24BAF"/>
    <w:rsid w:val="00A27255"/>
    <w:rsid w:val="00A32FB6"/>
    <w:rsid w:val="00A3362F"/>
    <w:rsid w:val="00A33F06"/>
    <w:rsid w:val="00A35002"/>
    <w:rsid w:val="00A40E0D"/>
    <w:rsid w:val="00A43B35"/>
    <w:rsid w:val="00A44192"/>
    <w:rsid w:val="00A45AC4"/>
    <w:rsid w:val="00A4759C"/>
    <w:rsid w:val="00A510BA"/>
    <w:rsid w:val="00A52DBD"/>
    <w:rsid w:val="00A53156"/>
    <w:rsid w:val="00A533D6"/>
    <w:rsid w:val="00A5543C"/>
    <w:rsid w:val="00A561C9"/>
    <w:rsid w:val="00A57910"/>
    <w:rsid w:val="00A60685"/>
    <w:rsid w:val="00A63C81"/>
    <w:rsid w:val="00A6520C"/>
    <w:rsid w:val="00A703B7"/>
    <w:rsid w:val="00A7285B"/>
    <w:rsid w:val="00A73CB5"/>
    <w:rsid w:val="00A74A66"/>
    <w:rsid w:val="00A76228"/>
    <w:rsid w:val="00A77A13"/>
    <w:rsid w:val="00A835DC"/>
    <w:rsid w:val="00A84192"/>
    <w:rsid w:val="00A8498F"/>
    <w:rsid w:val="00A85084"/>
    <w:rsid w:val="00A87B70"/>
    <w:rsid w:val="00A91EBE"/>
    <w:rsid w:val="00A9551B"/>
    <w:rsid w:val="00AA044C"/>
    <w:rsid w:val="00AA0952"/>
    <w:rsid w:val="00AA1DA5"/>
    <w:rsid w:val="00AA25EE"/>
    <w:rsid w:val="00AA3D6A"/>
    <w:rsid w:val="00AA4B3F"/>
    <w:rsid w:val="00AA5B79"/>
    <w:rsid w:val="00AA69B8"/>
    <w:rsid w:val="00AB0973"/>
    <w:rsid w:val="00AB2843"/>
    <w:rsid w:val="00AB4D72"/>
    <w:rsid w:val="00AC0449"/>
    <w:rsid w:val="00AC2631"/>
    <w:rsid w:val="00AC4355"/>
    <w:rsid w:val="00AC4866"/>
    <w:rsid w:val="00AC4B2E"/>
    <w:rsid w:val="00AC6738"/>
    <w:rsid w:val="00AD0349"/>
    <w:rsid w:val="00AD04CC"/>
    <w:rsid w:val="00AD0914"/>
    <w:rsid w:val="00AD0DD8"/>
    <w:rsid w:val="00AD296F"/>
    <w:rsid w:val="00AE1F2C"/>
    <w:rsid w:val="00AE6884"/>
    <w:rsid w:val="00AE7ACB"/>
    <w:rsid w:val="00AF3DE4"/>
    <w:rsid w:val="00AF5B30"/>
    <w:rsid w:val="00B00955"/>
    <w:rsid w:val="00B0404D"/>
    <w:rsid w:val="00B04CB1"/>
    <w:rsid w:val="00B05BAA"/>
    <w:rsid w:val="00B07195"/>
    <w:rsid w:val="00B10ED6"/>
    <w:rsid w:val="00B15BE1"/>
    <w:rsid w:val="00B2402B"/>
    <w:rsid w:val="00B247D1"/>
    <w:rsid w:val="00B254F7"/>
    <w:rsid w:val="00B27134"/>
    <w:rsid w:val="00B33C25"/>
    <w:rsid w:val="00B35437"/>
    <w:rsid w:val="00B35B7E"/>
    <w:rsid w:val="00B35BE6"/>
    <w:rsid w:val="00B411BB"/>
    <w:rsid w:val="00B42E03"/>
    <w:rsid w:val="00B466D1"/>
    <w:rsid w:val="00B4761B"/>
    <w:rsid w:val="00B51273"/>
    <w:rsid w:val="00B51F81"/>
    <w:rsid w:val="00B551D8"/>
    <w:rsid w:val="00B55B3F"/>
    <w:rsid w:val="00B56498"/>
    <w:rsid w:val="00B56EF5"/>
    <w:rsid w:val="00B6083C"/>
    <w:rsid w:val="00B613E3"/>
    <w:rsid w:val="00B632CF"/>
    <w:rsid w:val="00B639CE"/>
    <w:rsid w:val="00B71D26"/>
    <w:rsid w:val="00B71F1C"/>
    <w:rsid w:val="00B7269E"/>
    <w:rsid w:val="00B77A38"/>
    <w:rsid w:val="00B81F03"/>
    <w:rsid w:val="00B8311F"/>
    <w:rsid w:val="00B858B6"/>
    <w:rsid w:val="00B8793A"/>
    <w:rsid w:val="00B87A5A"/>
    <w:rsid w:val="00B90562"/>
    <w:rsid w:val="00B9060F"/>
    <w:rsid w:val="00B91755"/>
    <w:rsid w:val="00B94671"/>
    <w:rsid w:val="00B96FBE"/>
    <w:rsid w:val="00BB1566"/>
    <w:rsid w:val="00BB382B"/>
    <w:rsid w:val="00BB3D85"/>
    <w:rsid w:val="00BB4444"/>
    <w:rsid w:val="00BB4858"/>
    <w:rsid w:val="00BC160A"/>
    <w:rsid w:val="00BC2B8E"/>
    <w:rsid w:val="00BD01CA"/>
    <w:rsid w:val="00BD1575"/>
    <w:rsid w:val="00BD65C0"/>
    <w:rsid w:val="00BD685E"/>
    <w:rsid w:val="00BE30D8"/>
    <w:rsid w:val="00BE40F6"/>
    <w:rsid w:val="00BE44C5"/>
    <w:rsid w:val="00BE5C0D"/>
    <w:rsid w:val="00BE5EB6"/>
    <w:rsid w:val="00BE6764"/>
    <w:rsid w:val="00BF0E9E"/>
    <w:rsid w:val="00BF1465"/>
    <w:rsid w:val="00BF14AE"/>
    <w:rsid w:val="00BF34F1"/>
    <w:rsid w:val="00BF5AFE"/>
    <w:rsid w:val="00BF6D76"/>
    <w:rsid w:val="00C00B40"/>
    <w:rsid w:val="00C02C40"/>
    <w:rsid w:val="00C057C2"/>
    <w:rsid w:val="00C05FE3"/>
    <w:rsid w:val="00C07D94"/>
    <w:rsid w:val="00C11ABC"/>
    <w:rsid w:val="00C14D68"/>
    <w:rsid w:val="00C158D7"/>
    <w:rsid w:val="00C23024"/>
    <w:rsid w:val="00C23C0E"/>
    <w:rsid w:val="00C310DE"/>
    <w:rsid w:val="00C375F4"/>
    <w:rsid w:val="00C40D68"/>
    <w:rsid w:val="00C504DE"/>
    <w:rsid w:val="00C5362D"/>
    <w:rsid w:val="00C54C2C"/>
    <w:rsid w:val="00C54F6B"/>
    <w:rsid w:val="00C57A5D"/>
    <w:rsid w:val="00C602CB"/>
    <w:rsid w:val="00C613A5"/>
    <w:rsid w:val="00C64219"/>
    <w:rsid w:val="00C71C04"/>
    <w:rsid w:val="00C74778"/>
    <w:rsid w:val="00C74CF7"/>
    <w:rsid w:val="00C7502F"/>
    <w:rsid w:val="00C80261"/>
    <w:rsid w:val="00C81261"/>
    <w:rsid w:val="00C825C5"/>
    <w:rsid w:val="00C84512"/>
    <w:rsid w:val="00C85B80"/>
    <w:rsid w:val="00C921B4"/>
    <w:rsid w:val="00C9596E"/>
    <w:rsid w:val="00C95C4F"/>
    <w:rsid w:val="00C95EDD"/>
    <w:rsid w:val="00CA05D4"/>
    <w:rsid w:val="00CA29F6"/>
    <w:rsid w:val="00CA4206"/>
    <w:rsid w:val="00CA4221"/>
    <w:rsid w:val="00CA4386"/>
    <w:rsid w:val="00CA4C31"/>
    <w:rsid w:val="00CB2C84"/>
    <w:rsid w:val="00CB3997"/>
    <w:rsid w:val="00CB4926"/>
    <w:rsid w:val="00CB6C89"/>
    <w:rsid w:val="00CC000C"/>
    <w:rsid w:val="00CC1754"/>
    <w:rsid w:val="00CC5726"/>
    <w:rsid w:val="00CC74F0"/>
    <w:rsid w:val="00CC78AF"/>
    <w:rsid w:val="00CD1182"/>
    <w:rsid w:val="00CD1460"/>
    <w:rsid w:val="00CD4C15"/>
    <w:rsid w:val="00CD6FFB"/>
    <w:rsid w:val="00CD75B6"/>
    <w:rsid w:val="00CE2D2C"/>
    <w:rsid w:val="00CE36B4"/>
    <w:rsid w:val="00CE6115"/>
    <w:rsid w:val="00CF00C3"/>
    <w:rsid w:val="00CF0275"/>
    <w:rsid w:val="00CF2B81"/>
    <w:rsid w:val="00CF3FBE"/>
    <w:rsid w:val="00CF7E60"/>
    <w:rsid w:val="00D0574E"/>
    <w:rsid w:val="00D10EC8"/>
    <w:rsid w:val="00D13DDC"/>
    <w:rsid w:val="00D14124"/>
    <w:rsid w:val="00D168EF"/>
    <w:rsid w:val="00D16A55"/>
    <w:rsid w:val="00D20EA8"/>
    <w:rsid w:val="00D2188C"/>
    <w:rsid w:val="00D21EB3"/>
    <w:rsid w:val="00D22F0A"/>
    <w:rsid w:val="00D25EC8"/>
    <w:rsid w:val="00D2671E"/>
    <w:rsid w:val="00D271AF"/>
    <w:rsid w:val="00D322E0"/>
    <w:rsid w:val="00D3641A"/>
    <w:rsid w:val="00D379C9"/>
    <w:rsid w:val="00D40526"/>
    <w:rsid w:val="00D40697"/>
    <w:rsid w:val="00D448A0"/>
    <w:rsid w:val="00D50D2A"/>
    <w:rsid w:val="00D52A3B"/>
    <w:rsid w:val="00D54619"/>
    <w:rsid w:val="00D551B4"/>
    <w:rsid w:val="00D616AC"/>
    <w:rsid w:val="00D63E8E"/>
    <w:rsid w:val="00D6432E"/>
    <w:rsid w:val="00D658C4"/>
    <w:rsid w:val="00D67CC5"/>
    <w:rsid w:val="00D72F33"/>
    <w:rsid w:val="00D73466"/>
    <w:rsid w:val="00D73C0A"/>
    <w:rsid w:val="00D74F95"/>
    <w:rsid w:val="00D75188"/>
    <w:rsid w:val="00D8307A"/>
    <w:rsid w:val="00D83214"/>
    <w:rsid w:val="00D832EA"/>
    <w:rsid w:val="00D915E2"/>
    <w:rsid w:val="00D929C1"/>
    <w:rsid w:val="00D93BDF"/>
    <w:rsid w:val="00D9415F"/>
    <w:rsid w:val="00D97E61"/>
    <w:rsid w:val="00DB0E15"/>
    <w:rsid w:val="00DB30EE"/>
    <w:rsid w:val="00DC0391"/>
    <w:rsid w:val="00DC0C59"/>
    <w:rsid w:val="00DC1756"/>
    <w:rsid w:val="00DC2F6E"/>
    <w:rsid w:val="00DC5B15"/>
    <w:rsid w:val="00DC6E1C"/>
    <w:rsid w:val="00DD4C3A"/>
    <w:rsid w:val="00DE077A"/>
    <w:rsid w:val="00DE4A83"/>
    <w:rsid w:val="00DE612A"/>
    <w:rsid w:val="00DF18F5"/>
    <w:rsid w:val="00DF1A51"/>
    <w:rsid w:val="00DF1E24"/>
    <w:rsid w:val="00DF51E9"/>
    <w:rsid w:val="00E01F46"/>
    <w:rsid w:val="00E054AF"/>
    <w:rsid w:val="00E11A83"/>
    <w:rsid w:val="00E141C5"/>
    <w:rsid w:val="00E154F1"/>
    <w:rsid w:val="00E171F8"/>
    <w:rsid w:val="00E20394"/>
    <w:rsid w:val="00E2048F"/>
    <w:rsid w:val="00E22A4E"/>
    <w:rsid w:val="00E24AA3"/>
    <w:rsid w:val="00E2544F"/>
    <w:rsid w:val="00E25866"/>
    <w:rsid w:val="00E262AE"/>
    <w:rsid w:val="00E30015"/>
    <w:rsid w:val="00E31B53"/>
    <w:rsid w:val="00E33D25"/>
    <w:rsid w:val="00E40AD6"/>
    <w:rsid w:val="00E41E6C"/>
    <w:rsid w:val="00E4203C"/>
    <w:rsid w:val="00E431F1"/>
    <w:rsid w:val="00E4541B"/>
    <w:rsid w:val="00E479BE"/>
    <w:rsid w:val="00E54D13"/>
    <w:rsid w:val="00E609B5"/>
    <w:rsid w:val="00E60FDA"/>
    <w:rsid w:val="00E61E0E"/>
    <w:rsid w:val="00E62EAE"/>
    <w:rsid w:val="00E646A9"/>
    <w:rsid w:val="00E65DCB"/>
    <w:rsid w:val="00E66F0E"/>
    <w:rsid w:val="00E81DF9"/>
    <w:rsid w:val="00E82F3E"/>
    <w:rsid w:val="00E8323D"/>
    <w:rsid w:val="00E836A8"/>
    <w:rsid w:val="00E84152"/>
    <w:rsid w:val="00E8429A"/>
    <w:rsid w:val="00E8683E"/>
    <w:rsid w:val="00E8757A"/>
    <w:rsid w:val="00E90692"/>
    <w:rsid w:val="00E90E3B"/>
    <w:rsid w:val="00E947B0"/>
    <w:rsid w:val="00E955C8"/>
    <w:rsid w:val="00E96590"/>
    <w:rsid w:val="00E96829"/>
    <w:rsid w:val="00EA2486"/>
    <w:rsid w:val="00EA3804"/>
    <w:rsid w:val="00EA5E14"/>
    <w:rsid w:val="00EB148B"/>
    <w:rsid w:val="00EB23D8"/>
    <w:rsid w:val="00EB5DEF"/>
    <w:rsid w:val="00EB7392"/>
    <w:rsid w:val="00EB7935"/>
    <w:rsid w:val="00EC1850"/>
    <w:rsid w:val="00EC2663"/>
    <w:rsid w:val="00EC2F8F"/>
    <w:rsid w:val="00EC68A8"/>
    <w:rsid w:val="00EC7B3F"/>
    <w:rsid w:val="00ED42C5"/>
    <w:rsid w:val="00ED4A19"/>
    <w:rsid w:val="00ED5B53"/>
    <w:rsid w:val="00ED6612"/>
    <w:rsid w:val="00ED6698"/>
    <w:rsid w:val="00EE0556"/>
    <w:rsid w:val="00EE3032"/>
    <w:rsid w:val="00EE7663"/>
    <w:rsid w:val="00EF19FA"/>
    <w:rsid w:val="00EF2F75"/>
    <w:rsid w:val="00EF40DB"/>
    <w:rsid w:val="00EF5E6A"/>
    <w:rsid w:val="00EF5E74"/>
    <w:rsid w:val="00EF6068"/>
    <w:rsid w:val="00F00564"/>
    <w:rsid w:val="00F00AA9"/>
    <w:rsid w:val="00F03525"/>
    <w:rsid w:val="00F051DF"/>
    <w:rsid w:val="00F06434"/>
    <w:rsid w:val="00F1497C"/>
    <w:rsid w:val="00F15CB7"/>
    <w:rsid w:val="00F27594"/>
    <w:rsid w:val="00F27D37"/>
    <w:rsid w:val="00F34A17"/>
    <w:rsid w:val="00F375CC"/>
    <w:rsid w:val="00F44876"/>
    <w:rsid w:val="00F45B6D"/>
    <w:rsid w:val="00F46905"/>
    <w:rsid w:val="00F47D1F"/>
    <w:rsid w:val="00F50651"/>
    <w:rsid w:val="00F51096"/>
    <w:rsid w:val="00F55BE3"/>
    <w:rsid w:val="00F56249"/>
    <w:rsid w:val="00F56640"/>
    <w:rsid w:val="00F56BDA"/>
    <w:rsid w:val="00F6353B"/>
    <w:rsid w:val="00F64E2A"/>
    <w:rsid w:val="00F663AC"/>
    <w:rsid w:val="00F7154C"/>
    <w:rsid w:val="00F71BA7"/>
    <w:rsid w:val="00F73595"/>
    <w:rsid w:val="00F778E9"/>
    <w:rsid w:val="00F80E55"/>
    <w:rsid w:val="00F81F20"/>
    <w:rsid w:val="00F82301"/>
    <w:rsid w:val="00F83CB6"/>
    <w:rsid w:val="00F85934"/>
    <w:rsid w:val="00F878C9"/>
    <w:rsid w:val="00F91614"/>
    <w:rsid w:val="00F94E14"/>
    <w:rsid w:val="00F961F9"/>
    <w:rsid w:val="00F97270"/>
    <w:rsid w:val="00FA1A32"/>
    <w:rsid w:val="00FB02AB"/>
    <w:rsid w:val="00FB0AA4"/>
    <w:rsid w:val="00FB665C"/>
    <w:rsid w:val="00FC45BD"/>
    <w:rsid w:val="00FC484F"/>
    <w:rsid w:val="00FD043D"/>
    <w:rsid w:val="00FD0D84"/>
    <w:rsid w:val="00FD111B"/>
    <w:rsid w:val="00FD3555"/>
    <w:rsid w:val="00FD5D82"/>
    <w:rsid w:val="00FD6036"/>
    <w:rsid w:val="00FD6FB7"/>
    <w:rsid w:val="00FE1D12"/>
    <w:rsid w:val="00FE3C80"/>
    <w:rsid w:val="00FE648C"/>
    <w:rsid w:val="01213E09"/>
    <w:rsid w:val="05BC1DCB"/>
    <w:rsid w:val="05F5459E"/>
    <w:rsid w:val="099C2AD0"/>
    <w:rsid w:val="09C451CA"/>
    <w:rsid w:val="0D605732"/>
    <w:rsid w:val="0E3F4029"/>
    <w:rsid w:val="108904B2"/>
    <w:rsid w:val="10CD1537"/>
    <w:rsid w:val="158C3568"/>
    <w:rsid w:val="2D5679DE"/>
    <w:rsid w:val="2E063D0B"/>
    <w:rsid w:val="375C5AE3"/>
    <w:rsid w:val="38B50934"/>
    <w:rsid w:val="3B44206B"/>
    <w:rsid w:val="3BFD221A"/>
    <w:rsid w:val="3D5B544A"/>
    <w:rsid w:val="40D2307A"/>
    <w:rsid w:val="42091919"/>
    <w:rsid w:val="47D93090"/>
    <w:rsid w:val="4B761DEE"/>
    <w:rsid w:val="4E17716C"/>
    <w:rsid w:val="51220301"/>
    <w:rsid w:val="63576530"/>
    <w:rsid w:val="639826A5"/>
    <w:rsid w:val="6A680693"/>
    <w:rsid w:val="6EF176D2"/>
    <w:rsid w:val="766B0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3"/>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semiHidden/>
    <w:uiPriority w:val="99"/>
    <w:rPr>
      <w:kern w:val="2"/>
      <w:sz w:val="21"/>
    </w:rPr>
  </w:style>
  <w:style w:type="character" w:customStyle="1" w:styleId="13">
    <w:name w:val="批注主题 字符"/>
    <w:basedOn w:val="12"/>
    <w:link w:val="6"/>
    <w:semiHidden/>
    <w:uiPriority w:val="99"/>
    <w:rPr>
      <w:b/>
      <w:bCs/>
      <w:kern w:val="2"/>
      <w:sz w:val="21"/>
    </w:rPr>
  </w:style>
  <w:style w:type="character" w:customStyle="1" w:styleId="14">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4011</Words>
  <Characters>4161</Characters>
  <Lines>30</Lines>
  <Paragraphs>8</Paragraphs>
  <TotalTime>17</TotalTime>
  <ScaleCrop>false</ScaleCrop>
  <LinksUpToDate>false</LinksUpToDate>
  <CharactersWithSpaces>4234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2024-06-18T02:58:00Z</dcterms:created>
  <dc:creator>国有资产管理处联络员</dc:creator>
  <cp:lastModifiedBy>RR</cp:lastModifiedBy>
  <dcterms:modified xsi:type="dcterms:W3CDTF">2026-08-07T06:28:40Z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C693145FE050417F9D18CD995AF7CCEB_13</vt:lpwstr>
  </property>
  <property fmtid="{D5CDD505-2E9C-101B-9397-08002B2CF9AE}" pid="4" name="KSOTemplateDocerSaveRecord">
    <vt:lpwstr>eyJoZGlkIjoiOTAxNGRkZGJlYjIzMmEzNTkxNjI4MTU0YWE2Y2YxMDkiLCJ1c2VySWQiOiI0NTQzODc2MTkifQ==</vt:lpwstr>
  </property>
</Properties>
</file>