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版本号：SCZJ2026-CS-2327-00120260807001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附属中学基础设施维修改造项目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SCZJ2026-CS-2327-001</w:t>
      </w:r>
      <w:r>
        <w:br/>
      </w:r>
      <w:r>
        <w:br/>
      </w:r>
      <w:r>
        <w:br/>
      </w:r>
    </w:p>
    <w:p>
      <w:pPr>
        <w:pStyle w:val="null3"/>
        <w:jc w:val="center"/>
        <w:outlineLvl w:val="2"/>
      </w:pPr>
      <w:r>
        <w:rPr>
          <w:rFonts w:ascii="仿宋_GB2312" w:hAnsi="仿宋_GB2312" w:cs="仿宋_GB2312" w:eastAsia="仿宋_GB2312"/>
          <w:sz w:val="28"/>
          <w:b/>
        </w:rPr>
        <w:t>咸阳师范学院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咸阳师范学院</w:t>
      </w:r>
      <w:r>
        <w:rPr>
          <w:rFonts w:ascii="仿宋_GB2312" w:hAnsi="仿宋_GB2312" w:cs="仿宋_GB2312" w:eastAsia="仿宋_GB2312"/>
        </w:rPr>
        <w:t>委托，拟对</w:t>
      </w:r>
      <w:r>
        <w:rPr>
          <w:rFonts w:ascii="仿宋_GB2312" w:hAnsi="仿宋_GB2312" w:cs="仿宋_GB2312" w:eastAsia="仿宋_GB2312"/>
        </w:rPr>
        <w:t>附属中学基础设施维修改造项目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SCZJ2026-CS-2327-001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附属中学基础设施维修改造项目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优化校园办学环境，消除安全隐患，保障师生安全，现对附属中学基础设施开展整体维修改造，本项目改造内容包含南操场改造、中学楼屋面及外立面翻新、室外公共卫生间改造等，具体内容详见竞争性磋商文件、施工图纸（含图纸答疑及图纸补充说明）、工程量清单等文件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采购包1（附属中学基础设施维修改造项目）：属于专门面向中小企业采购。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或单位负责人参加磋商的，应提供法定代表人或单位负责人身份证明；授权代表参加磋商的，应提供法定代表人或单位负责人身份证明、授权委托书及授权代表在本单位缴纳养老保险的证明。</w:t>
      </w:r>
    </w:p>
    <w:p>
      <w:pPr>
        <w:pStyle w:val="null3"/>
      </w:pPr>
      <w:r>
        <w:rPr>
          <w:rFonts w:ascii="仿宋_GB2312" w:hAnsi="仿宋_GB2312" w:cs="仿宋_GB2312" w:eastAsia="仿宋_GB2312"/>
        </w:rPr>
        <w:t>2、企业资质要求：供应商具有建设行政主管部门核发的有效期内的建筑工程施工总承包三级以上（含三级）资质，并具备合法有效的安全生产许可证，且在人员、设备、资金等方面具备相应施工能力</w:t>
      </w:r>
    </w:p>
    <w:p>
      <w:pPr>
        <w:pStyle w:val="null3"/>
      </w:pPr>
      <w:r>
        <w:rPr>
          <w:rFonts w:ascii="仿宋_GB2312" w:hAnsi="仿宋_GB2312" w:cs="仿宋_GB2312" w:eastAsia="仿宋_GB2312"/>
        </w:rPr>
        <w:t>3、拟派项目负责人资质及专业要求：拟派项目经理具备建筑工程二级及以上注册建造师及安全考核合格B证，在本单位注册，且未担任其他在建工程项目并提供无在建承诺</w:t>
      </w:r>
    </w:p>
    <w:p>
      <w:pPr>
        <w:pStyle w:val="null3"/>
      </w:pPr>
      <w:r>
        <w:rPr>
          <w:rFonts w:ascii="仿宋_GB2312" w:hAnsi="仿宋_GB2312" w:cs="仿宋_GB2312" w:eastAsia="仿宋_GB2312"/>
        </w:rPr>
        <w:t>4、供应商基本信息及项目经理的基本信息：供应商基本信息及项目经理的基本信息须在“陕西省住房和城乡建设厅网站”或“全国建筑市场监管公共服务平台”内可查询</w:t>
      </w:r>
    </w:p>
    <w:p>
      <w:pPr>
        <w:pStyle w:val="null3"/>
      </w:pPr>
      <w:r>
        <w:rPr>
          <w:rFonts w:ascii="仿宋_GB2312" w:hAnsi="仿宋_GB2312" w:cs="仿宋_GB2312" w:eastAsia="仿宋_GB2312"/>
        </w:rPr>
        <w:t>5、“信用中国”网站和中国政府采购网（www.ccgp.gov.cn）查询记录：未被“信用中国”网站（www.creditchina.gov.cn）列入失信被执行人或重大税收违法失信主体，未被中国政府采购网（www.ccgp.gov.cn）列入政府采购严重违法失信行为记录名单中被财政部门禁止参加政府采购活动的供应商（处罚决定规定的时间和地域范围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咸阳师范学院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02933720069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陕西省西安市锦业路1号都市之门C座9层招标七部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邓伟、许明艳、饶宁、魏小旖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采购包1：3,001,729.90元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说明：合同签订前，承包方向发包方按照合同总金额的5％取整缴纳履约保证金,竣工验收合格后予以无息退还。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供应商支付，参照国家计委颁发的《招标代理服务收费管理暂行办法》（计价格[2002]1980号）和国家发展和改革委员会办公厅颁发的《关于招标代理服务收费有关问题的通知》（发改办价格[2003] 857号）的标准计取下浮20%，向招标代理机构一次付清招标代理服务费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咸阳师范学院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咸阳师范学院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咸阳师范学院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详见采购文件及合同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3,001,729.90</w:t>
      </w:r>
    </w:p>
    <w:p>
      <w:pPr>
        <w:pStyle w:val="null3"/>
      </w:pPr>
      <w:r>
        <w:rPr>
          <w:rFonts w:ascii="仿宋_GB2312" w:hAnsi="仿宋_GB2312" w:cs="仿宋_GB2312" w:eastAsia="仿宋_GB2312"/>
        </w:rPr>
        <w:t>采购包最高限价（元）: 3,001,729.90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基础设施维修改造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3,001,729.90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标的名称：基础设施维修改造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为全面优化校园办学环境，消除安全隐患，保障师生安全，现对附属中学基础设施开展整体维修改造，改造内容如下：</w:t>
            </w:r>
          </w:p>
          <w:p>
            <w:pPr>
              <w:pStyle w:val="null3"/>
            </w:pPr>
            <w:r>
              <w:rPr>
                <w:rFonts w:ascii="仿宋_GB2312" w:hAnsi="仿宋_GB2312" w:cs="仿宋_GB2312" w:eastAsia="仿宋_GB2312"/>
              </w:rPr>
              <w:t>（一）南操场改造（约4038㎡）</w:t>
            </w:r>
          </w:p>
          <w:p>
            <w:pPr>
              <w:pStyle w:val="null3"/>
            </w:pPr>
            <w:r>
              <w:rPr>
                <w:rFonts w:ascii="仿宋_GB2312" w:hAnsi="仿宋_GB2312" w:cs="仿宋_GB2312" w:eastAsia="仿宋_GB2312"/>
              </w:rPr>
              <w:t>1.南操场地面改造。拆除彩钢房、挖移绿化树、拆除地面原有广场砖面层、基层及垫层等，开挖破除至适合深度，垃圾清理外运；新做彩色沥青混凝土地面，根据区域设置运动场地，环绕操场做4道环形跑道，主干道西侧设置标准排球场地2个，东侧设置3个标准羽毛球场地。</w:t>
            </w:r>
          </w:p>
          <w:p>
            <w:pPr>
              <w:pStyle w:val="null3"/>
            </w:pPr>
            <w:r>
              <w:rPr>
                <w:rFonts w:ascii="仿宋_GB2312" w:hAnsi="仿宋_GB2312" w:cs="仿宋_GB2312" w:eastAsia="仿宋_GB2312"/>
              </w:rPr>
              <w:t>2.南操场排水改造。在南操场南侧设置排水明沟，排水明沟收水后经排水暗管就近排入西侧原有雨水井。</w:t>
            </w:r>
          </w:p>
          <w:p>
            <w:pPr>
              <w:pStyle w:val="null3"/>
            </w:pPr>
            <w:r>
              <w:rPr>
                <w:rFonts w:ascii="仿宋_GB2312" w:hAnsi="仿宋_GB2312" w:cs="仿宋_GB2312" w:eastAsia="仿宋_GB2312"/>
              </w:rPr>
              <w:t>3.中学楼正门与学校大门中轴线处增设旗台。旗台长约4m、宽约4m、总高约0.45m，三级台阶；旗杆高度约12m，并做独立基础。</w:t>
            </w:r>
          </w:p>
          <w:p>
            <w:pPr>
              <w:pStyle w:val="null3"/>
            </w:pPr>
            <w:r>
              <w:rPr>
                <w:rFonts w:ascii="仿宋_GB2312" w:hAnsi="仿宋_GB2312" w:cs="仿宋_GB2312" w:eastAsia="仿宋_GB2312"/>
              </w:rPr>
              <w:t>（二）中学楼屋面及外立面翻新</w:t>
            </w:r>
          </w:p>
          <w:p>
            <w:pPr>
              <w:pStyle w:val="null3"/>
            </w:pPr>
            <w:r>
              <w:rPr>
                <w:rFonts w:ascii="仿宋_GB2312" w:hAnsi="仿宋_GB2312" w:cs="仿宋_GB2312" w:eastAsia="仿宋_GB2312"/>
              </w:rPr>
              <w:t>1.中学楼外立面改造为真石漆墙面，面积约3585㎡。</w:t>
            </w:r>
          </w:p>
          <w:p>
            <w:pPr>
              <w:pStyle w:val="null3"/>
            </w:pPr>
            <w:r>
              <w:rPr>
                <w:rFonts w:ascii="仿宋_GB2312" w:hAnsi="仿宋_GB2312" w:cs="仿宋_GB2312" w:eastAsia="仿宋_GB2312"/>
              </w:rPr>
              <w:t>2.中学楼屋面整体更换防水材料，面积约1505㎡；更换雨水管，增设空调冷凝管。</w:t>
            </w:r>
          </w:p>
          <w:p>
            <w:pPr>
              <w:pStyle w:val="null3"/>
            </w:pPr>
            <w:r>
              <w:rPr>
                <w:rFonts w:ascii="仿宋_GB2312" w:hAnsi="仿宋_GB2312" w:cs="仿宋_GB2312" w:eastAsia="仿宋_GB2312"/>
              </w:rPr>
              <w:t>3.拆除中学楼南侧原有雨棚、石材平台面层；制作钢结构骨架，新建约80㎡雨棚，并重新铺贴石材平台面层约66m²。</w:t>
            </w:r>
          </w:p>
          <w:p>
            <w:pPr>
              <w:pStyle w:val="null3"/>
            </w:pPr>
            <w:r>
              <w:rPr>
                <w:rFonts w:ascii="仿宋_GB2312" w:hAnsi="仿宋_GB2312" w:cs="仿宋_GB2312" w:eastAsia="仿宋_GB2312"/>
              </w:rPr>
              <w:t>（三）室外公共卫生间改造</w:t>
            </w:r>
          </w:p>
          <w:p>
            <w:pPr>
              <w:pStyle w:val="null3"/>
            </w:pPr>
            <w:r>
              <w:rPr>
                <w:rFonts w:ascii="仿宋_GB2312" w:hAnsi="仿宋_GB2312" w:cs="仿宋_GB2312" w:eastAsia="仿宋_GB2312"/>
              </w:rPr>
              <w:t>为满足学生的使用需求，对中操场内室外公共卫生间进行改造。拆除原有卫生间屋顶，将侧墙加高，抬高室内净高，具体内容如下：</w:t>
            </w:r>
          </w:p>
          <w:p>
            <w:pPr>
              <w:pStyle w:val="null3"/>
            </w:pPr>
            <w:r>
              <w:rPr>
                <w:rFonts w:ascii="仿宋_GB2312" w:hAnsi="仿宋_GB2312" w:cs="仿宋_GB2312" w:eastAsia="仿宋_GB2312"/>
              </w:rPr>
              <w:t>1.原有洁具、隔断拆除，墙地面铲除，蹲台蹲坑拆除，垃圾清理外运。</w:t>
            </w:r>
          </w:p>
          <w:p>
            <w:pPr>
              <w:pStyle w:val="null3"/>
            </w:pPr>
            <w:r>
              <w:rPr>
                <w:rFonts w:ascii="仿宋_GB2312" w:hAnsi="仿宋_GB2312" w:cs="仿宋_GB2312" w:eastAsia="仿宋_GB2312"/>
              </w:rPr>
              <w:t>2.卫生间向东扩宽约2.2m，卫生间总建筑面积扩展至约235m²。</w:t>
            </w:r>
          </w:p>
          <w:p>
            <w:pPr>
              <w:pStyle w:val="null3"/>
            </w:pPr>
            <w:r>
              <w:rPr>
                <w:rFonts w:ascii="仿宋_GB2312" w:hAnsi="仿宋_GB2312" w:cs="仿宋_GB2312" w:eastAsia="仿宋_GB2312"/>
              </w:rPr>
              <w:t>3.将盥洗区与卫生间分区设置，根据男女人数比例合理设置蹲位，并增加男女教师专用卫生间。计划安装女学生蹲位19个、男学生蹲位11个、不锈钢小便池约7.8m；女教师蹲位4个、男教师蹲位2个，男教师小便斗2个。</w:t>
            </w:r>
          </w:p>
          <w:p>
            <w:pPr>
              <w:pStyle w:val="null3"/>
            </w:pPr>
            <w:r>
              <w:rPr>
                <w:rFonts w:ascii="仿宋_GB2312" w:hAnsi="仿宋_GB2312" w:cs="仿宋_GB2312" w:eastAsia="仿宋_GB2312"/>
              </w:rPr>
              <w:t>4.墙、地面做防水处理，定制安装卫生间专用隔断等。</w:t>
            </w:r>
          </w:p>
          <w:p>
            <w:pPr>
              <w:pStyle w:val="null3"/>
            </w:pPr>
            <w:r>
              <w:rPr>
                <w:rFonts w:ascii="仿宋_GB2312" w:hAnsi="仿宋_GB2312" w:cs="仿宋_GB2312" w:eastAsia="仿宋_GB2312"/>
              </w:rPr>
              <w:t>5.室外新建污水井3座，衔接贯通卫生间至化粪池排水管线。</w:t>
            </w:r>
          </w:p>
          <w:p>
            <w:pPr>
              <w:pStyle w:val="null3"/>
            </w:pPr>
            <w:r>
              <w:rPr>
                <w:rFonts w:ascii="仿宋_GB2312" w:hAnsi="仿宋_GB2312" w:cs="仿宋_GB2312" w:eastAsia="仿宋_GB2312"/>
              </w:rPr>
              <w:t>详见施工图纸及图纸补充说明。</w:t>
            </w:r>
            <w:r>
              <w:br/>
            </w: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严格执行《建筑工程施工质量验收统一标准》GB50300-2013 、《建筑与市政工程施工质量控制通用规范》GB 55032-2022及行业相关规范要求。工程质量要求：合格。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其他内容详见图纸，图纸答疑及补充说明。（详见附件）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1.工期：45日历日； 2.工程地点：咸阳师范学院渭城校区； 3.质量保修期:本项目质保期（缺陷责任期）为2年，质保金为结算后审定总价款的3%。本项目屋面防水、卫生间防水等有防水要求的工程，质量保修期为5年；其余工程的质量保修期为2年。 4.报价要求： （1）本项目采用工程量清单计价，自主填报已标价工程量清单。已标价工程量清单中供应商均应按清单项填报综合单价并计算合价，每一项目只允许有一个报价，任何有选择的报价将不予接受。供应商未填综合单价和合价的，均视为此项目费用已包含在其他综合单价和合价中，中标后不予增加。所有磋商报价中的单价和合价均以人民币表示。 （2）供应商应充分考虑磋商文件的各项条款和所掌握的市场情况及本工程的实际情况，且应根据企业自身情况自主做出填报综合单价、合价及磋商总价。供应商在计算报价时须全面考虑磋商文件及拟签订合同中所明示或可能涉及的全部风险。供应商在磋商报价时应仔细对磋商文件进行透彻地分析研究，对图纸进行仔细地阅读和理解，根据磋商文件中的工程量清单和有关要求、施工现场实际情况及拟定的施工方案或施工组织设计进行报价。招标人所发布的工程量清单的工程项目仅表达了主要工程做法，报价时各供应商应依据图纸用料说明、相关图集，结合图纸、磋商文件、合同条款、技术规范及现场情况进行科学合理组价。所投标的综合单价招标人视为是相应清单项在招标范围内的全部内容价格。 （3） 供应商首次响应文件中的报价以已标价工程量清单报价。供应商最后报价采用基于首次响应文件的报价下浮一定比例的方式进行报价。供应商不得修改或删减采购人提供的分部分项工程量清单内容，否则按无效磋商处理。结算时合同内量差总价、每项现场签证及设计变更总价执行磋商下浮率，下浮率=[（一次磋商总报价（不含专业工程暂估价、暂列金额）- 最后磋商报价（不含专业工程暂估价、暂列金额））/一次磋商总报价]*100%。 （4）供应商应当按照磋商文件及工程量清单编制说明等要求填报暂列金额（如有）、材料暂估价（如有）、专业工程暂估价（如有），未按照要求的金额或内容填报的，按照无效磋商处理。 （5）供应商自行前往工地现场踏勘，以便充分了解工地位置、情况、道路、储存空间、装卸限制及人和其他足以影响承包价的情况，任何因供应商疏忽或误解工地情况而导致的索赔或工期延长申请将不被批准。凡因供应商对磋商文件阅读疏忽或误解，或因对施工现场、施工环境、市场行情等了解不清而造成的后果和风险，均由供应商负责。有意向的供应商可自行组织现场踏勘。现场踏勘相关全部费用由供应商自行承担，联系人：朱老师，联系电话：029-33722019。 （6）税金和安全文明施工措施费属不可竞争费用，按照现行有关规定填报。 （7）本项目报价需要注意的事项以磋商文件及拟签订合同中的要求为准。 （8）关于本项目的结算方式、价格调整办法详见本文件中“ 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 2.依法缴纳税收的相关材料(1)供应商应提供投标戴止时间前近六个月中任何一个月缴纳增值税或企业所得税的凭证，法》第二十二条规定的条件供应商应具备《中华人民共和国政府采购时间以税款所属时期为准(银行出具的缴税凭证或税务机关出具的证明的复印件，并加盖本单位公章)。(2)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 3.依法缴纳社会保障资金的相关材料(1)供应商应提供投标戴止时间前近六个月中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 4.具备履行合同所必需的设备和专业技术能力的承诺。 5.供应商参加政府采购活动前3年内在经营活动中没有重大违法记录的书面声明。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（1）提供递交2025年度经审计的财务报告，应满足以下要求：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法定代表人或单位负责人参加磋商的，应提供法定代表人或单位负责人身份证明；授权代表参加磋商的，应提供法定代表人或单位负责人身份证明、授权委托书及授权代表在本单位缴纳养老保险的证明。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供应商具有建设行政主管部门核发的有效期内的建筑工程施工总承包三级以上（含三级）资质，并具备合法有效的安全生产许可证，且在人员、设备、资金等方面具备相应施工能力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拟派项目经理具备建筑工程二级及以上注册建造师及安全考核合格B证，在本单位注册，且未担任其他在建工程项目并提供无在建承诺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供应商基本信息及项目经理的基本信息</w:t>
            </w:r>
          </w:p>
        </w:tc>
        <w:tc>
          <w:tcPr>
            <w:tcW w:type="dxa" w:w="3322"/>
          </w:tcPr>
          <w:p>
            <w:pPr>
              <w:pStyle w:val="null3"/>
            </w:pPr>
            <w:r>
              <w:rPr>
                <w:rFonts w:ascii="仿宋_GB2312" w:hAnsi="仿宋_GB2312" w:cs="仿宋_GB2312" w:eastAsia="仿宋_GB2312"/>
              </w:rPr>
              <w:t>供应商基本信息及项目经理的基本信息须在“陕西省住房和城乡建设厅网站”或“全国建筑市场监管公共服务平台”内可查询</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未被“信用中国”网站（www.creditchina.gov.cn）列入失信被执行人或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响应文件封面 响应承诺书.docx 已标价工程量清单 供应商应提交的相关资格证明材料.docx 中小企业声明函 残疾人福利性单位声明函 施工方案.docx 报价函 标的清单 响应函 监狱企业的证明文件 技术、商务偏离表.docx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供应商总报价不能超过预算金额（磋商文件有最高限价的，报价未超过最高限价）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工期不得出现负偏离</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不存在其它不符合法律法规或采购文件规定的响应无效条款</w:t>
            </w:r>
          </w:p>
        </w:tc>
        <w:tc>
          <w:tcPr>
            <w:tcW w:type="dxa" w:w="1661"/>
          </w:tcPr>
          <w:p>
            <w:pPr>
              <w:pStyle w:val="null3"/>
            </w:pPr>
            <w:r>
              <w:rPr>
                <w:rFonts w:ascii="仿宋_GB2312" w:hAnsi="仿宋_GB2312" w:cs="仿宋_GB2312" w:eastAsia="仿宋_GB2312"/>
              </w:rPr>
              <w:t>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供应商提供自2023年7月至今承接的类似业绩证明材料，每提供1项得2分，最多得10分。 评审依据：业绩证明材料为加盖供应商公章的合同复印件或扫描件，时间以合同签订时间为准，缺少资料或未按照上述要求提供的，均按照0分计入。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拟派项目经理具备高级工程师及以上技术职称的（含高级工程师），得4分；具备工程师技术职称的，得2分；其余情况不得分。 评审依据：以供应商提供的加盖供应商公章的拟派项目经理最高职称证书的扫描件或复印件为准，提供多个职称证明材料的，以最高职称材料为准，未提供的不得分。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供应商拟派项目经理2023年7月至今具有类似工程项目经验（在项目中担任项目经理一职），每一份得3分，满分6分。（证明材料为加盖供应商公章的合同复印件或扫描件）。 评审依据：时间以合同签订时间为准，所提供证明材料必须体现拟派项目经理在该项目中担任项目经理一职，否则不予赋分。 企业业绩与项目经理业绩可以同时计分。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包括技术措施，质量保证措施，人员的管理，施工生产和进度安排等。内容完整、编制符合本项目实际要求得满分，缺1项扣1分，1项不合理扣0.5分，最低为0分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安全生产的技术组织措施</w:t>
            </w:r>
          </w:p>
        </w:tc>
        <w:tc>
          <w:tcPr>
            <w:tcW w:type="dxa" w:w="2492"/>
          </w:tcPr>
          <w:p>
            <w:pPr>
              <w:pStyle w:val="null3"/>
            </w:pPr>
            <w:r>
              <w:rPr>
                <w:rFonts w:ascii="仿宋_GB2312" w:hAnsi="仿宋_GB2312" w:cs="仿宋_GB2312" w:eastAsia="仿宋_GB2312"/>
              </w:rPr>
              <w:t>包括安全生产责任制度，安全教育培训制度健全，安全生产管理机构，安全生产规章制度和操作规程等。内容完整、编制符合本项目实际要求得满分，缺1项扣1分，1项不合理扣0.5分，最低为0分。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针对学校特点减少对校内正常活动的施工举措</w:t>
            </w:r>
          </w:p>
        </w:tc>
        <w:tc>
          <w:tcPr>
            <w:tcW w:type="dxa" w:w="2492"/>
          </w:tcPr>
          <w:p>
            <w:pPr>
              <w:pStyle w:val="null3"/>
            </w:pPr>
            <w:r>
              <w:rPr>
                <w:rFonts w:ascii="仿宋_GB2312" w:hAnsi="仿宋_GB2312" w:cs="仿宋_GB2312" w:eastAsia="仿宋_GB2312"/>
              </w:rPr>
              <w:t>包括施工噪音控制方案，尘粉飞扬控制方案，环境保护、环境卫生管理制度，建筑垃圾处理方案，环境恢复等。内容完整、编制符合本项目实际要求得满分，缺1项扣1分，1项不合理扣0.5分，最低为0分。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包括工期进度计划管控、资源配置与后勤保障、季节性施工工期保障、工序衔接与穿插施工保障、工期纠偏与动态管控等。内容完整、编制符合本项目实际要求得满分，缺1项扣1分，1项不合理扣0.5分，最低为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包括施工机械设备配置、试验检测仪器设备配置、主要材料投入计划、材料现场管理保障、项目降本管控措施等。内容完整、编制符合本项目实际要求得满分，缺1项扣1分，1项不合理扣0.5分，最低为0分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包括施工总进度计划表，施工进度网络图，工期事前控制措施，工期事中动态控制措施，工期事后保障及应急管控措施等。内容完整、编制符合本项目实际要求得满分，缺1项扣1分，1项不合理扣0.5分，最低为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包括施工进度保障措施、劳动力配置计划、现场人员管理制度、施工生产组织安排、阶段性进度排布计划等。内容完整、编制符合本项目实际要求得满分，缺1项扣0.6分，1项不合理扣0.2分，最低为0分。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供应商拟投入本项目所使用的施工主要材料中的产品属于政府采购优先采购范围的，则每有一项为节能产品或者环境标志产品的得1分，非节能、环境标志产品的不得分。本项最多得3分。 注：属于优先采购范围内的节能产品或者环境标志产品的，提供国家确定的认证机构出具的、处于有效期之内的节能产品、环境标志产品认证证书复印件加盖供应商公章（鲜章）。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节能、环境标志产品明细表.docx</w:t>
            </w:r>
          </w:p>
        </w:tc>
      </w:tr>
      <w:tr>
        <w:tc>
          <w:tcPr>
            <w:tcW w:type="dxa" w:w="831"/>
            <w:vMerge/>
          </w:tcP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经过有效性和符合性审核合格的供应商，对合同条款中付款、质保期、工期等方面进行响应说明，优于磋商文件原内容，每优于招标文件要求一项计1.5分，满分计3分。（以实际的承诺或证明材料为准）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技术、商务偏离表.docx</w:t>
            </w:r>
          </w:p>
        </w:tc>
      </w:tr>
      <w:tr>
        <w:tc>
          <w:tcPr>
            <w:tcW w:type="dxa" w:w="831"/>
            <w:vMerge/>
          </w:tcPr>
          <w:p/>
        </w:tc>
        <w:tc>
          <w:tcPr>
            <w:tcW w:type="dxa" w:w="1661"/>
          </w:tcPr>
          <w:p>
            <w:pPr>
              <w:pStyle w:val="null3"/>
            </w:pPr>
            <w:r>
              <w:rPr>
                <w:rFonts w:ascii="仿宋_GB2312" w:hAnsi="仿宋_GB2312" w:cs="仿宋_GB2312" w:eastAsia="仿宋_GB2312"/>
              </w:rPr>
              <w:t>技术负责人职称</w:t>
            </w:r>
          </w:p>
        </w:tc>
        <w:tc>
          <w:tcPr>
            <w:tcW w:type="dxa" w:w="2492"/>
          </w:tcPr>
          <w:p>
            <w:pPr>
              <w:pStyle w:val="null3"/>
            </w:pPr>
            <w:r>
              <w:rPr>
                <w:rFonts w:ascii="仿宋_GB2312" w:hAnsi="仿宋_GB2312" w:cs="仿宋_GB2312" w:eastAsia="仿宋_GB2312"/>
              </w:rPr>
              <w:t>①项目技术负责人具有工程类相关专业高级及以上职称得2分，具有工程类相关专业中级职称得1分，其他不得分。 评审依据：以供应商提供的加盖供应商公章的拟派技术负责人最高职称证书的扫描件或复印件为准，提供多个职称证明材料的，以最高职称材料为准，未提供的不得分。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②项目人员须包含施工员、安全员、质量员、材料员、资料员、造价师等，每个岗位得1分，最高得6分。 评审依据：提供人员岗位证书及近半年（2026年1月至今）任一个月社保缴纳证明材料，未提供相关证明材料或材料不全的不得分。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项目组成人员职称</w:t>
            </w:r>
          </w:p>
        </w:tc>
        <w:tc>
          <w:tcPr>
            <w:tcW w:type="dxa" w:w="2492"/>
          </w:tcPr>
          <w:p>
            <w:pPr>
              <w:pStyle w:val="null3"/>
            </w:pPr>
            <w:r>
              <w:rPr>
                <w:rFonts w:ascii="仿宋_GB2312" w:hAnsi="仿宋_GB2312" w:cs="仿宋_GB2312" w:eastAsia="仿宋_GB2312"/>
              </w:rPr>
              <w:t>③项目部人员施工员、安全员、质量员、材料员、资料员、造价师等具有工程类初级及以上职称证书，每有一个中级及以上职称得1分，初级职称得0.5分，最高得3分。 评审依据：须提供人员职称证书，未提供相关证明材料或材料不全的不得分。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施工方案.docx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磋商报价采用低价优先法计算，即满足竞争性磋商文件要求且即满足磋商文件要求且最后报价最低的供应商的价格为磋商基准价，其价格分为满分。其他供应商的价格分统一按照下列公式计算：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详见附件：响应承诺书.docx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