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版本号：DQB-2026032-CS20260522003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第十七届“与法同行”新媒体普法大赛项目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DQB-2026032-CS</w:t>
      </w:r>
      <w:r>
        <w:br/>
      </w:r>
      <w:r>
        <w:br/>
      </w:r>
      <w:r>
        <w:br/>
      </w:r>
    </w:p>
    <w:p>
      <w:pPr>
        <w:pStyle w:val="null3"/>
        <w:jc w:val="center"/>
        <w:outlineLvl w:val="2"/>
      </w:pPr>
      <w:r>
        <w:rPr>
          <w:rFonts w:ascii="仿宋_GB2312" w:hAnsi="仿宋_GB2312" w:cs="仿宋_GB2312" w:eastAsia="仿宋_GB2312"/>
          <w:sz w:val="28"/>
          <w:b/>
        </w:rPr>
        <w:t>省司法厅机关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第十七届“与法同行”新媒体普法大赛项目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DQB-2026032-CS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第十七届“与法同行”新媒体普法大赛项目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第⼗七届“与法同⾏”新媒体普法⼤赛项⽬，共计10场。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采购包1（第⼗七届“与法同⾏”新媒体普法⼤赛）：属于专门面向中小企业采购。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1、营业执照等主体资格证明文件：提供有效存续的企业营业执照（副本）/事业单位法⼈证书/专业服务机构执业许可证/⺠办⾮企业单位登记证书/⾃然⼈⾝份证等。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法人的分支机构参与磋商时，除提供《法定代表人授权委托书》、《法定代表人证明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029-87290625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陕西省西安市⾼新区丈⼋⼀路1号汇鑫中⼼D座2206室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开户银行：光⼤银⾏西安丈⼋东路⽀⾏</w:t>
            </w:r>
          </w:p>
          <w:p>
            <w:pPr>
              <w:pStyle w:val="null3"/>
            </w:pPr>
            <w:r>
              <w:rPr>
                <w:rFonts w:ascii="仿宋_GB2312" w:hAnsi="仿宋_GB2312" w:cs="仿宋_GB2312" w:eastAsia="仿宋_GB2312"/>
              </w:rPr>
              <w:t>银行账号：52880188000158965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代理服务费收费标准：采购代理服务费按以下标准计取（核算代理服务费低于5000元时按5000元收取）：成交⾦额在100万元以下按照费率的1.5%计取。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省司法厅机关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地址：陕西省西安市⾼新区丈⼋⼀路1号汇鑫中⼼D座2206室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第十七届“与法同行”新媒体普法大赛项目。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与法同行新媒体普法大赛项目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标的名称：与法同行新媒体普法大赛项目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84"/>
              <w:jc w:val="both"/>
            </w:pPr>
            <w:r>
              <w:rPr>
                <w:rFonts w:ascii="仿宋_GB2312" w:hAnsi="仿宋_GB2312" w:cs="仿宋_GB2312" w:eastAsia="仿宋_GB2312"/>
                <w:sz w:val="21"/>
                <w:b/>
                <w:color w:val="000000"/>
              </w:rPr>
              <w:t>一、采购内容</w:t>
            </w:r>
          </w:p>
          <w:p>
            <w:pPr>
              <w:pStyle w:val="null3"/>
              <w:ind w:firstLine="200"/>
              <w:jc w:val="both"/>
            </w:pPr>
            <w:r>
              <w:rPr>
                <w:rFonts w:ascii="仿宋_GB2312" w:hAnsi="仿宋_GB2312" w:cs="仿宋_GB2312" w:eastAsia="仿宋_GB2312"/>
                <w:sz w:val="21"/>
                <w:color w:val="000000"/>
              </w:rPr>
              <w:t>第十七届</w:t>
            </w:r>
            <w:r>
              <w:rPr>
                <w:rFonts w:ascii="仿宋_GB2312" w:hAnsi="仿宋_GB2312" w:cs="仿宋_GB2312" w:eastAsia="仿宋_GB2312"/>
                <w:sz w:val="21"/>
                <w:color w:val="000000"/>
              </w:rPr>
              <w:t>“与法同行”新媒体普法大赛项目</w:t>
            </w:r>
            <w:r>
              <w:rPr>
                <w:rFonts w:ascii="仿宋_GB2312" w:hAnsi="仿宋_GB2312" w:cs="仿宋_GB2312" w:eastAsia="仿宋_GB2312"/>
                <w:sz w:val="21"/>
                <w:color w:val="000000"/>
              </w:rPr>
              <w:t>，共计</w:t>
            </w:r>
            <w:r>
              <w:rPr>
                <w:rFonts w:ascii="仿宋_GB2312" w:hAnsi="仿宋_GB2312" w:cs="仿宋_GB2312" w:eastAsia="仿宋_GB2312"/>
                <w:sz w:val="21"/>
                <w:color w:val="000000"/>
              </w:rPr>
              <w:t>10场。</w:t>
            </w:r>
          </w:p>
          <w:p>
            <w:pPr>
              <w:pStyle w:val="null3"/>
              <w:ind w:firstLine="584"/>
              <w:jc w:val="both"/>
            </w:pPr>
            <w:r>
              <w:rPr>
                <w:rFonts w:ascii="仿宋_GB2312" w:hAnsi="仿宋_GB2312" w:cs="仿宋_GB2312" w:eastAsia="仿宋_GB2312"/>
                <w:sz w:val="21"/>
                <w:b/>
                <w:color w:val="000000"/>
              </w:rPr>
              <w:t>二、主要功能和目标</w:t>
            </w:r>
          </w:p>
          <w:p>
            <w:pPr>
              <w:pStyle w:val="null3"/>
              <w:ind w:firstLine="420"/>
              <w:jc w:val="left"/>
            </w:pPr>
            <w:r>
              <w:rPr>
                <w:rFonts w:ascii="仿宋_GB2312" w:hAnsi="仿宋_GB2312" w:cs="仿宋_GB2312" w:eastAsia="仿宋_GB2312"/>
                <w:sz w:val="21"/>
                <w:color w:val="000000"/>
              </w:rPr>
              <w:t>为全面贯彻落实党的历次全会精神，深入践行</w:t>
            </w:r>
            <w:r>
              <w:rPr>
                <w:rFonts w:ascii="仿宋_GB2312" w:hAnsi="仿宋_GB2312" w:cs="仿宋_GB2312" w:eastAsia="仿宋_GB2312"/>
                <w:sz w:val="21"/>
                <w:color w:val="000000"/>
              </w:rPr>
              <w:t>总书记</w:t>
            </w:r>
            <w:r>
              <w:rPr>
                <w:rFonts w:ascii="仿宋_GB2312" w:hAnsi="仿宋_GB2312" w:cs="仿宋_GB2312" w:eastAsia="仿宋_GB2312"/>
                <w:sz w:val="21"/>
                <w:color w:val="000000"/>
              </w:rPr>
              <w:t>法治思想，认真学习贯彻</w:t>
            </w:r>
            <w:r>
              <w:rPr>
                <w:rFonts w:ascii="仿宋_GB2312" w:hAnsi="仿宋_GB2312" w:cs="仿宋_GB2312" w:eastAsia="仿宋_GB2312"/>
                <w:sz w:val="21"/>
                <w:color w:val="000000"/>
              </w:rPr>
              <w:t>总书记</w:t>
            </w:r>
            <w:r>
              <w:rPr>
                <w:rFonts w:ascii="仿宋_GB2312" w:hAnsi="仿宋_GB2312" w:cs="仿宋_GB2312" w:eastAsia="仿宋_GB2312"/>
                <w:sz w:val="21"/>
                <w:color w:val="000000"/>
              </w:rPr>
              <w:t>关于树立和践行正确政绩观的重要论述，巩固拓展</w:t>
            </w:r>
            <w:r>
              <w:rPr>
                <w:rFonts w:ascii="仿宋_GB2312" w:hAnsi="仿宋_GB2312" w:cs="仿宋_GB2312" w:eastAsia="仿宋_GB2312"/>
                <w:sz w:val="21"/>
                <w:color w:val="000000"/>
              </w:rPr>
              <w:t>“八五”普法成果，把握“九五”普法规划开局之年重要契机，深入贯彻</w:t>
            </w:r>
            <w:r>
              <w:rPr>
                <w:rFonts w:ascii="仿宋_GB2312" w:hAnsi="仿宋_GB2312" w:cs="仿宋_GB2312" w:eastAsia="仿宋_GB2312"/>
                <w:sz w:val="21"/>
                <w:color w:val="000000"/>
              </w:rPr>
              <w:t>总书记</w:t>
            </w:r>
            <w:r>
              <w:rPr>
                <w:rFonts w:ascii="仿宋_GB2312" w:hAnsi="仿宋_GB2312" w:cs="仿宋_GB2312" w:eastAsia="仿宋_GB2312"/>
                <w:sz w:val="21"/>
                <w:color w:val="000000"/>
              </w:rPr>
              <w:t>在民营企业座谈会上的重要讲话精神，全面落实《民营经济促进法》，着力提升民营企业法治素养与合规经营能力，充分发挥新媒体普法覆盖面广、传播迅速、互动性强的优势，切实增强企业法治意识和法治观念，以法治力量护航民营经济高质量发展。</w:t>
            </w:r>
          </w:p>
          <w:p>
            <w:pPr>
              <w:pStyle w:val="null3"/>
              <w:ind w:firstLine="584"/>
              <w:jc w:val="both"/>
            </w:pPr>
            <w:r>
              <w:rPr>
                <w:rFonts w:ascii="仿宋_GB2312" w:hAnsi="仿宋_GB2312" w:cs="仿宋_GB2312" w:eastAsia="仿宋_GB2312"/>
                <w:sz w:val="21"/>
                <w:b/>
                <w:color w:val="000000"/>
              </w:rPr>
              <w:t>三、服务</w:t>
            </w:r>
            <w:r>
              <w:rPr>
                <w:rFonts w:ascii="仿宋_GB2312" w:hAnsi="仿宋_GB2312" w:cs="仿宋_GB2312" w:eastAsia="仿宋_GB2312"/>
                <w:sz w:val="21"/>
                <w:b/>
                <w:color w:val="000000"/>
              </w:rPr>
              <w:t>内容</w:t>
            </w:r>
          </w:p>
          <w:p>
            <w:pPr>
              <w:pStyle w:val="null3"/>
              <w:ind w:firstLine="420"/>
              <w:jc w:val="both"/>
            </w:pPr>
            <w:r>
              <w:rPr>
                <w:rFonts w:ascii="仿宋_GB2312" w:hAnsi="仿宋_GB2312" w:cs="仿宋_GB2312" w:eastAsia="仿宋_GB2312"/>
                <w:sz w:val="21"/>
                <w:color w:val="000000"/>
              </w:rPr>
              <w:t>1.全省示范赛策划与组织实施：在全省各市（区）代表性企业中组织10场示范赛。</w:t>
            </w:r>
          </w:p>
          <w:p>
            <w:pPr>
              <w:pStyle w:val="null3"/>
              <w:ind w:firstLine="420"/>
              <w:jc w:val="both"/>
            </w:pPr>
            <w:r>
              <w:rPr>
                <w:rFonts w:ascii="仿宋_GB2312" w:hAnsi="仿宋_GB2312" w:cs="仿宋_GB2312" w:eastAsia="仿宋_GB2312"/>
                <w:sz w:val="21"/>
                <w:color w:val="000000"/>
              </w:rPr>
              <w:t>2.新媒体普法大赛答题系统更新与运维：根据大赛赛制要求，更新新媒体普法答题系统的稳定运行，并确保系统在10场示范赛的现场技术支持。</w:t>
            </w:r>
          </w:p>
          <w:p>
            <w:pPr>
              <w:pStyle w:val="null3"/>
              <w:ind w:firstLine="420"/>
              <w:jc w:val="both"/>
            </w:pPr>
            <w:r>
              <w:rPr>
                <w:rFonts w:ascii="仿宋_GB2312" w:hAnsi="仿宋_GB2312" w:cs="仿宋_GB2312" w:eastAsia="仿宋_GB2312"/>
                <w:sz w:val="21"/>
                <w:color w:val="000000"/>
              </w:rPr>
              <w:t>3.新媒体普法大赛题库编制与内容支撑：围绕</w:t>
            </w:r>
            <w:r>
              <w:rPr>
                <w:rFonts w:ascii="仿宋_GB2312" w:hAnsi="仿宋_GB2312" w:cs="仿宋_GB2312" w:eastAsia="仿宋_GB2312"/>
                <w:sz w:val="21"/>
                <w:color w:val="000000"/>
              </w:rPr>
              <w:t>总书记</w:t>
            </w:r>
            <w:r>
              <w:rPr>
                <w:rFonts w:ascii="仿宋_GB2312" w:hAnsi="仿宋_GB2312" w:cs="仿宋_GB2312" w:eastAsia="仿宋_GB2312"/>
                <w:sz w:val="21"/>
                <w:color w:val="000000"/>
              </w:rPr>
              <w:t>法治思想、宪法、民法典、网络安全法、数据安全法、个人信息保护法、安全生产法、生态环境法、消防法、民营经济促进法、法治宣传教育法等与企业职工生产生活密切相关的法律法规，编制竞赛题库。</w:t>
            </w:r>
          </w:p>
          <w:p>
            <w:pPr>
              <w:pStyle w:val="null3"/>
              <w:ind w:firstLine="422"/>
              <w:jc w:val="both"/>
            </w:pPr>
            <w:r>
              <w:rPr>
                <w:rFonts w:ascii="仿宋_GB2312" w:hAnsi="仿宋_GB2312" w:cs="仿宋_GB2312" w:eastAsia="仿宋_GB2312"/>
                <w:sz w:val="21"/>
                <w:b/>
                <w:color w:val="000000"/>
              </w:rPr>
              <w:t>四、服务要求</w:t>
            </w:r>
          </w:p>
          <w:p>
            <w:pPr>
              <w:pStyle w:val="null3"/>
              <w:ind w:firstLine="420"/>
              <w:jc w:val="both"/>
            </w:pPr>
            <w:r>
              <w:rPr>
                <w:rFonts w:ascii="仿宋_GB2312" w:hAnsi="仿宋_GB2312" w:cs="仿宋_GB2312" w:eastAsia="仿宋_GB2312"/>
                <w:sz w:val="21"/>
                <w:color w:val="000000"/>
              </w:rPr>
              <w:t>1.负责策划组织实施本届新媒体普法大赛10场示范赛，要求设计每场赛事主要环节，同时为对活动场地进行整体规划，并确保各环节衔接流畅。</w:t>
            </w:r>
          </w:p>
          <w:p>
            <w:pPr>
              <w:pStyle w:val="null3"/>
              <w:ind w:firstLine="420"/>
              <w:jc w:val="both"/>
            </w:pPr>
            <w:r>
              <w:rPr>
                <w:rFonts w:ascii="仿宋_GB2312" w:hAnsi="仿宋_GB2312" w:cs="仿宋_GB2312" w:eastAsia="仿宋_GB2312"/>
                <w:sz w:val="21"/>
                <w:color w:val="000000"/>
              </w:rPr>
              <w:t>2.负责答题系统更新与运维，要求支持iPad终端操作的一套新媒体普法答题系统，在每场赛事前完成系统部署、设备配对及测试。</w:t>
            </w:r>
          </w:p>
          <w:p>
            <w:pPr>
              <w:pStyle w:val="null3"/>
              <w:ind w:firstLine="420"/>
              <w:jc w:val="both"/>
            </w:pPr>
            <w:r>
              <w:rPr>
                <w:rFonts w:ascii="仿宋_GB2312" w:hAnsi="仿宋_GB2312" w:cs="仿宋_GB2312" w:eastAsia="仿宋_GB2312"/>
                <w:sz w:val="21"/>
                <w:color w:val="000000"/>
              </w:rPr>
              <w:t>3.负责结合</w:t>
            </w:r>
            <w:r>
              <w:rPr>
                <w:rFonts w:ascii="仿宋_GB2312" w:hAnsi="仿宋_GB2312" w:cs="仿宋_GB2312" w:eastAsia="仿宋_GB2312"/>
                <w:sz w:val="21"/>
                <w:color w:val="000000"/>
              </w:rPr>
              <w:t>总书记</w:t>
            </w:r>
            <w:r>
              <w:rPr>
                <w:rFonts w:ascii="仿宋_GB2312" w:hAnsi="仿宋_GB2312" w:cs="仿宋_GB2312" w:eastAsia="仿宋_GB2312"/>
                <w:sz w:val="21"/>
                <w:color w:val="000000"/>
              </w:rPr>
              <w:t>法治思想、宪法、民法典、网络安全法、数据安全法、个人信息保护法、安全生产法、生态环境法、消防法、民营经济促进法、法治宣传教育法等与企业职工生产生活密切相关的法律法规编制题库和普法内容。</w:t>
            </w:r>
          </w:p>
          <w:p>
            <w:pPr>
              <w:pStyle w:val="null3"/>
              <w:ind w:firstLine="420"/>
              <w:jc w:val="both"/>
            </w:pPr>
            <w:r>
              <w:rPr>
                <w:rFonts w:ascii="仿宋_GB2312" w:hAnsi="仿宋_GB2312" w:cs="仿宋_GB2312" w:eastAsia="仿宋_GB2312"/>
                <w:sz w:val="21"/>
                <w:color w:val="000000"/>
              </w:rPr>
              <w:t>4.负责协调各市（区）司法局与参赛企业，确保每场赛事参赛队伍的组织工作到位。</w:t>
            </w:r>
          </w:p>
          <w:p>
            <w:pPr>
              <w:pStyle w:val="null3"/>
              <w:ind w:firstLine="422"/>
              <w:jc w:val="both"/>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服务团队</w:t>
            </w:r>
            <w:r>
              <w:rPr>
                <w:rFonts w:ascii="仿宋_GB2312" w:hAnsi="仿宋_GB2312" w:cs="仿宋_GB2312" w:eastAsia="仿宋_GB2312"/>
                <w:sz w:val="21"/>
                <w:b/>
                <w:color w:val="000000"/>
              </w:rPr>
              <w:t>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项目负责人，具有相关领域从业经验，需具备类似项目经验；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技术团队，具有答题系统开发经验，需具备类似项目经验；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内容团队，配备专业策划、文案、编辑人员等，核心人员需具备类似项目经验；</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执行团队，执行经理及专员，核心人员需有大型活动执行经验。</w:t>
            </w:r>
          </w:p>
          <w:p>
            <w:pPr>
              <w:pStyle w:val="null3"/>
              <w:ind w:firstLine="422"/>
              <w:jc w:val="both"/>
            </w:pPr>
            <w:r>
              <w:rPr>
                <w:rFonts w:ascii="仿宋_GB2312" w:hAnsi="仿宋_GB2312" w:cs="仿宋_GB2312" w:eastAsia="仿宋_GB2312"/>
                <w:sz w:val="21"/>
                <w:b/>
              </w:rPr>
              <w:t>六</w:t>
            </w:r>
            <w:r>
              <w:rPr>
                <w:rFonts w:ascii="仿宋_GB2312" w:hAnsi="仿宋_GB2312" w:cs="仿宋_GB2312" w:eastAsia="仿宋_GB2312"/>
                <w:sz w:val="21"/>
                <w:b/>
              </w:rPr>
              <w:t>、服务流程要求</w:t>
            </w:r>
          </w:p>
          <w:p>
            <w:pPr>
              <w:pStyle w:val="null3"/>
              <w:ind w:firstLine="420"/>
              <w:jc w:val="both"/>
            </w:pPr>
            <w:r>
              <w:rPr>
                <w:rFonts w:ascii="仿宋_GB2312" w:hAnsi="仿宋_GB2312" w:cs="仿宋_GB2312" w:eastAsia="仿宋_GB2312"/>
                <w:sz w:val="21"/>
              </w:rPr>
              <w:t>每场比赛举办前需先进行方案提报，正式开展前组织相关企业及单位召开协调会，根据前期提报进行线下活动执行并留存相关活动资料。</w:t>
            </w:r>
          </w:p>
          <w:p>
            <w:pPr>
              <w:pStyle w:val="null3"/>
              <w:ind w:firstLine="422"/>
              <w:jc w:val="both"/>
            </w:pPr>
            <w:r>
              <w:rPr>
                <w:rFonts w:ascii="仿宋_GB2312" w:hAnsi="仿宋_GB2312" w:cs="仿宋_GB2312" w:eastAsia="仿宋_GB2312"/>
                <w:sz w:val="21"/>
                <w:b/>
              </w:rPr>
              <w:t>七</w:t>
            </w:r>
            <w:r>
              <w:rPr>
                <w:rFonts w:ascii="仿宋_GB2312" w:hAnsi="仿宋_GB2312" w:cs="仿宋_GB2312" w:eastAsia="仿宋_GB2312"/>
                <w:sz w:val="21"/>
                <w:b/>
              </w:rPr>
              <w:t>、工作管理和监督</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建立完整工作制度</w:t>
            </w:r>
          </w:p>
          <w:p>
            <w:pPr>
              <w:pStyle w:val="null3"/>
              <w:ind w:firstLine="420"/>
              <w:jc w:val="both"/>
            </w:pPr>
            <w:r>
              <w:rPr>
                <w:rFonts w:ascii="仿宋_GB2312" w:hAnsi="仿宋_GB2312" w:cs="仿宋_GB2312" w:eastAsia="仿宋_GB2312"/>
                <w:sz w:val="21"/>
              </w:rPr>
              <w:t>采购人监督供应商建立包括工作报告制度、工作流程规范、现场操作规范、文档管理制度、设备管理、应急处置预案、保密制度等在内的规范制度体系，并监督供应商严格按制度规范提供服务，确保管理目标的实现。</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建立服务质量考核体系</w:t>
            </w:r>
          </w:p>
          <w:p>
            <w:pPr>
              <w:pStyle w:val="null3"/>
              <w:ind w:firstLine="420"/>
              <w:jc w:val="both"/>
            </w:pPr>
            <w:r>
              <w:rPr>
                <w:rFonts w:ascii="仿宋_GB2312" w:hAnsi="仿宋_GB2312" w:cs="仿宋_GB2312" w:eastAsia="仿宋_GB2312"/>
                <w:sz w:val="21"/>
              </w:rPr>
              <w:t>服务质量考核体系是为了更好的做好项目执行各项工作，不断提升活动执行质量和水平，供应商应完整提供每场活动图片、报道等资料，提交采购人进行考核，供应商应及时采纳采购人修改意见，并进行改进。</w:t>
            </w:r>
          </w:p>
          <w:p>
            <w:pPr>
              <w:pStyle w:val="null3"/>
              <w:ind w:firstLine="422"/>
              <w:jc w:val="both"/>
            </w:pPr>
            <w:r>
              <w:rPr>
                <w:rFonts w:ascii="仿宋_GB2312" w:hAnsi="仿宋_GB2312" w:cs="仿宋_GB2312" w:eastAsia="仿宋_GB2312"/>
                <w:sz w:val="21"/>
                <w:b/>
              </w:rPr>
              <w:t>八</w:t>
            </w:r>
            <w:r>
              <w:rPr>
                <w:rFonts w:ascii="仿宋_GB2312" w:hAnsi="仿宋_GB2312" w:cs="仿宋_GB2312" w:eastAsia="仿宋_GB2312"/>
                <w:sz w:val="21"/>
                <w:b/>
              </w:rPr>
              <w:t>、商务要求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服务期限：自合同签订之日起</w:t>
            </w:r>
            <w:r>
              <w:rPr>
                <w:rFonts w:ascii="仿宋_GB2312" w:hAnsi="仿宋_GB2312" w:cs="仿宋_GB2312" w:eastAsia="仿宋_GB2312"/>
                <w:sz w:val="21"/>
              </w:rPr>
              <w:t>6</w:t>
            </w:r>
            <w:r>
              <w:rPr>
                <w:rFonts w:ascii="仿宋_GB2312" w:hAnsi="仿宋_GB2312" w:cs="仿宋_GB2312" w:eastAsia="仿宋_GB2312"/>
                <w:sz w:val="21"/>
              </w:rPr>
              <w:t>个月内执行完毕。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服务地点：陕西省内各地市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考核（验收）标准和方法：</w:t>
            </w:r>
          </w:p>
          <w:p>
            <w:pPr>
              <w:pStyle w:val="null3"/>
              <w:ind w:firstLine="420"/>
              <w:jc w:val="both"/>
            </w:pPr>
            <w:r>
              <w:rPr>
                <w:rFonts w:ascii="仿宋_GB2312" w:hAnsi="仿宋_GB2312" w:cs="仿宋_GB2312" w:eastAsia="仿宋_GB2312"/>
                <w:sz w:val="21"/>
              </w:rPr>
              <w:t>按竞争性磋商文件、响应文件等服务指标进行逐项验收，各项指标均应符合验收标准及要求。</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支付方式：</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1）项目合同签订后</w:t>
            </w:r>
            <w:r>
              <w:rPr>
                <w:rFonts w:ascii="仿宋_GB2312" w:hAnsi="仿宋_GB2312" w:cs="仿宋_GB2312" w:eastAsia="仿宋_GB2312"/>
                <w:sz w:val="21"/>
                <w:color w:val="000000"/>
              </w:rPr>
              <w:t>20个日历日内</w:t>
            </w:r>
            <w:r>
              <w:rPr>
                <w:rFonts w:ascii="仿宋_GB2312" w:hAnsi="仿宋_GB2312" w:cs="仿宋_GB2312" w:eastAsia="仿宋_GB2312"/>
                <w:sz w:val="21"/>
                <w:color w:val="000000"/>
              </w:rPr>
              <w:t>，支付合同总价的</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p>
          <w:p>
            <w:pPr>
              <w:pStyle w:val="null3"/>
              <w:ind w:firstLine="48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2）项目完成并通过验收后</w:t>
            </w:r>
            <w:r>
              <w:rPr>
                <w:rFonts w:ascii="仿宋_GB2312" w:hAnsi="仿宋_GB2312" w:cs="仿宋_GB2312" w:eastAsia="仿宋_GB2312"/>
                <w:sz w:val="21"/>
                <w:color w:val="000000"/>
              </w:rPr>
              <w:t>20个日历日内</w:t>
            </w:r>
            <w:r>
              <w:rPr>
                <w:rFonts w:ascii="仿宋_GB2312" w:hAnsi="仿宋_GB2312" w:cs="仿宋_GB2312" w:eastAsia="仿宋_GB2312"/>
                <w:sz w:val="21"/>
                <w:color w:val="000000"/>
              </w:rPr>
              <w:t>，支付合同总价的</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p>
          <w:p>
            <w:pPr>
              <w:pStyle w:val="null3"/>
              <w:ind w:firstLine="48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3）供应商承诺在采购人办理以上各期付款的支付手续前，为采购人出具等额的符合国家规定的发票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）上述时间不包括采购人正常办理支付报批手续的时间</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自合同签订之日起6个月内执行完毕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全面履行本合同，任何一方不履行或不按约定履行均构成违约，违约方应赔偿因此给对方造成的全部损失。因履行合同所发生的一切争议，双方应友好协商解决，协商不成的，提交陕西仲裁委员会仲裁，仲裁裁决为终局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的，评标委员会应当启动异常低价投标（响应）审查程序：（1.1.1）投标（响应）报价低于全部通过符合性审查供应商投标（响应）报价平均值65%的，即投标（响应）报价&lt;全部通过符合性审查供应商投标（响应）报价平均值×65%；（1.1.2）投标（响应）报价低于通过符合性审查的次低报价供应商投标（响应）报价65%的，即投标（响应）报价&lt;通过符合性审查的次低报价供应商投标（响应）报价×65%；（1.1.3）投标（响应）报价低于采购项⽬最⾼限价65%的，即投标（响应）报价&lt;采购项⽬最⾼限价×65%；（1.1.4）评标委员会基于专业判断，认为供应商报价过低，有可能影响产品质量或者不能诚信履约的其他情形。（1.2）相关法律法规对供应商报价有规 定的，从其规定。（1.3）评标委员会启动异常低价投标（响应）审查后，属于（1.1）中第（1.1.1）项⾄第（1.1.4）项情形的，应当要求相关供应商在评审现场合理的时间内对投标（响应）价格作出解释，提供项⽬具体成本测算等与报价合理性相关的书⾯说明及必要的证明材料，包括但不限于原材料成本、⼈⼯成本、制造费⽤等。其中，属于第（1.1.3）项情形，供应商已随投标（响应）⽂件⼀并提交相关书⾯说明及必要的证明材料的，在评审现场可不再重复提交。 评标委员会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评标委员会应当将其作为⽆效投标（响应）处理。 采购⼈、采购代理机构应当为评标委员会在评 审现场及时获取同类项⽬中标（成交）价格、类似产品市场价格⽔平、⾏业⼈⼯费⽤标准、国家有关部⻔指导⾏业协会发布的 ⾏业平均成本等相关信息资料提供便利。评标委员会借助互联⽹等渠道查询相关信息的，应当严格遵守评审⼯作纪律，不得实 施影响评审公正的⾏为。 异常低价投标（响应）审查的启动原因、审查意⻅和审查结果应当在评审报告中记录，并随供应商提供的相关书⾯说明及证明材料，以及评标委员会有关互联⽹浏览、查询历史⼀并归档。（2）供应商需要在线提交所有通过电⼦化交易平台实施的政府采购项⽬的响应⽂件，同时，线下提交纸质响应⽂件贰份；若电⼦响应⽂件与纸质响应⽂件不⼀致的，以电⼦响应⽂件为准；响应⽂件装订成册密封（在书脊处标明项⽬名称、供应商名称（机打或⼿写均可），逐⻚标注连⻚码），在封⼝处加盖供应商公章；纸质响应⽂件递交截⽌时间与线上开评标时间⼀致；纸质响应⽂件可邮寄递交，应于递交响应⽂件截⽌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提供有效存续的企业营业执照（副本）/事业单位法⼈证书/专业服务机构执业许可证/⺠办⾮企业单位登记证书/⾃然⼈⾝份证等。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法人的分支机构参与磋商时，除提供《法定代表人授权委托书》、《法定代表人证明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响应⽂件语⾔及有效期</w:t>
            </w:r>
          </w:p>
        </w:tc>
        <w:tc>
          <w:tcPr>
            <w:tcW w:type="dxa" w:w="3322"/>
          </w:tcPr>
          <w:p>
            <w:pPr>
              <w:pStyle w:val="null3"/>
            </w:pPr>
            <w:r>
              <w:rPr>
                <w:rFonts w:ascii="仿宋_GB2312" w:hAnsi="仿宋_GB2312" w:cs="仿宋_GB2312" w:eastAsia="仿宋_GB2312"/>
              </w:rPr>
              <w:t>响应⽂件语⾔及有效期符合磋商⽂件要求。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响应⽂件封⾯、响应函、法定代表⼈（负责⼈）授权委托书三处的项⽬名称、项⽬编号、标段（如有）</w:t>
            </w:r>
          </w:p>
        </w:tc>
        <w:tc>
          <w:tcPr>
            <w:tcW w:type="dxa" w:w="3322"/>
          </w:tcPr>
          <w:p>
            <w:pPr>
              <w:pStyle w:val="null3"/>
            </w:pPr>
            <w:r>
              <w:rPr>
                <w:rFonts w:ascii="仿宋_GB2312" w:hAnsi="仿宋_GB2312" w:cs="仿宋_GB2312" w:eastAsia="仿宋_GB2312"/>
              </w:rPr>
              <w:t>三处均⽆遗漏，且与所投项⽬名称、项⽬编号、标段（如有）⼀致。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均按磋商⽂件要求签字、盖章（评分标准中要求提供的证明材料除外）。</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非联合体不分包响应声明 控股管理关系 法定代表人授权书 响应文件封面 近三年无重大违法、违纪书面声明 残疾人福利性单位声明函 标的清单 响应函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（1）响应报价符合唯⼀性要求：（2）响应报价表填写符合要求；（3）计量单位、报价货币均符合磋商⽂件要求；（4）未超出采购预算或磋商⽂件规定的最⾼限价。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保证⾦交纳符合磋商⽂件要求。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⽆其他磋商⽂件或法规明确规定响应⽆效的事项</w:t>
            </w:r>
          </w:p>
        </w:tc>
        <w:tc>
          <w:tcPr>
            <w:tcW w:type="dxa" w:w="3322"/>
          </w:tcPr>
          <w:p>
            <w:pPr>
              <w:pStyle w:val="null3"/>
            </w:pPr>
            <w:r>
              <w:rPr>
                <w:rFonts w:ascii="仿宋_GB2312" w:hAnsi="仿宋_GB2312" w:cs="仿宋_GB2312" w:eastAsia="仿宋_GB2312"/>
              </w:rPr>
              <w:t>没有不符合磋商⽂件规定的被视为⽆效响应的其他条款。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供应商提供针对本项目采购需求的理解，至少应包括：1、项目理解；2、需求分析；3、项目重难点分析； 评审标准：评审标准：项目服务方案各部分内容全面详细、阐述条理清晰详尽、符合本项目采购需求，能全面保障项目服务高效落地得9分；评审内容每缺一项扣3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供应商提供针对本项目的项目服务方案，评审内容包括：1、技术方案；2、执行方案；3、设备、技术平台投入；4、其他措施； 评审标准：项目服务方案各部分内容全面详细、阐述条理清晰详尽、符合本项目采购需求，能全面保障项目服务高效落地得24分，评审内容每缺一项扣6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括但不限于：1、项目服务团队整体配置合理、人员充足，满足人员配备需求；2、组织架构清晰、岗位职责分工明确；3、项目负责人及核心团队具备相应专业能力与同类项目经验。 评审标准：人员配备各部分内容全面详细、阐述条理清晰详尽、符合本项目采购需求，能保障项目高效有序推进得12分；评审内容每缺一项扣4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供应商提供针对本项目的服务承诺及相关管理措施方案，包括但不限于：1、质量保证措施；2、进度控制措施；3、安全管理制度 评审标准：服务承诺及相关管理措施内容全面详细、阐述条理清晰详尽、符合本项目采购需求，能保障项目高效有序推进得18分；评审内容每缺一项扣6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供应商提供针对本项目的应急预案，包括但不限于：1、因特殊紧急情况时限响应方案；2、有特殊的应急服务方案及补救措施。 评审标准：应急预案内容全面详细、阐述条理清晰详尽、符合本项目采购需求，能保障项目高效有序推进得12分；评审内容每缺一项扣6分，评审内容每有一处缺陷未完全响应评审标准的扣1分；未提供不得分。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对本项目服务工作中的常见问题进行梳理，具有良好的解决方案并及时向采购人提出合理化建议，每提供一条可行的合理化建议得1分，满分5分。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