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版本号：ZX2026-04-19.2B120260604001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无源检验所氧氮氢分析仪等检验检测仪器设备及检验检测设备电感耦合等离子体质谱仪购置项目(二次)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ZX2026-04-19.2B1</w:t>
      </w:r>
      <w:r>
        <w:br/>
      </w:r>
      <w:r>
        <w:br/>
      </w:r>
      <w:r>
        <w:br/>
      </w:r>
    </w:p>
    <w:p>
      <w:pPr>
        <w:pStyle w:val="null3"/>
        <w:jc w:val="center"/>
        <w:outlineLvl w:val="2"/>
      </w:pPr>
      <w:r>
        <w:rPr>
          <w:rFonts w:ascii="仿宋_GB2312" w:hAnsi="仿宋_GB2312" w:cs="仿宋_GB2312" w:eastAsia="仿宋_GB2312"/>
          <w:sz w:val="28"/>
          <w:b/>
        </w:rPr>
        <w:t>陕西省医疗器械质量检验院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陕西省医疗器械质量检验院</w:t>
      </w:r>
      <w:r>
        <w:rPr>
          <w:rFonts w:ascii="仿宋_GB2312" w:hAnsi="仿宋_GB2312" w:cs="仿宋_GB2312" w:eastAsia="仿宋_GB2312"/>
        </w:rPr>
        <w:t>委托，拟对</w:t>
      </w:r>
      <w:r>
        <w:rPr>
          <w:rFonts w:ascii="仿宋_GB2312" w:hAnsi="仿宋_GB2312" w:cs="仿宋_GB2312" w:eastAsia="仿宋_GB2312"/>
        </w:rPr>
        <w:t>无源检验所氧氮氢分析仪等检验检测仪器设备及检验检测设备电感耦合等离子体质谱仪购置项目(二次)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ZX2026-04-19.2B1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无源检验所氧氮氢分析仪等检验检测仪器设备及检验检测设备电感耦合等离子体质谱仪购置项目(二次)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根据医疗器械国家、行业标准要求，通过购买检验检测设备，可以对医疗器械产品进行检验检测，具体内容详见招标文件第3章。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陕西省医疗器械质量检验院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陕西省西咸新区沣西新城丰耘路1620号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712046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029-33585310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张爽 曹婷 王宇轩 马演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电感耦合等离子体质谱仪中的商用电脑、打印机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采购包1保证金金额：20,419.00元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代理服务费收费标准：参照国家计委颁布的《招标代理服务收费管理暂行办法》（计价格[2002]1980号）规定，按标准收取，由中标人支付代理服务费。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陕西省医疗器械质量检验院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陕西省医疗器械质量检验院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陕西省医疗器械质量检验院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联系人：曹婷、孙童欣</w:t>
      </w:r>
    </w:p>
    <w:p>
      <w:pPr>
        <w:pStyle w:val="null3"/>
      </w:pPr>
      <w:r>
        <w:rPr>
          <w:rFonts w:ascii="仿宋_GB2312" w:hAnsi="仿宋_GB2312" w:cs="仿宋_GB2312" w:eastAsia="仿宋_GB2312"/>
        </w:rPr>
        <w:t>联系电话：029-88110800转8033（邮箱：1053910307@qq.com）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根据医疗器械国家、行业标准要求，通过购买检验检测设备，可以对医疗器械产品进行检验检测，具体内容详见招标文件第3章。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1,390,000.00</w:t>
      </w:r>
    </w:p>
    <w:p>
      <w:pPr>
        <w:pStyle w:val="null3"/>
      </w:pPr>
      <w:r>
        <w:rPr>
          <w:rFonts w:ascii="仿宋_GB2312" w:hAnsi="仿宋_GB2312" w:cs="仿宋_GB2312" w:eastAsia="仿宋_GB2312"/>
        </w:rPr>
        <w:t>采购包最高限价（元）: 1,390,000.00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检验检测设备电感耦合等离子体质谱仪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标的名称：检验检测设备电感耦合等离子体质谱仪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设备名称</w:t>
                  </w:r>
                </w:p>
              </w:tc>
              <w:tc>
                <w:tcPr>
                  <w:tcW w:type="dxa" w:w="511"/>
                </w:tcPr>
                <w:p>
                  <w:pPr>
                    <w:pStyle w:val="null3"/>
                  </w:pPr>
                  <w:r>
                    <w:rPr>
                      <w:rFonts w:ascii="仿宋_GB2312" w:hAnsi="仿宋_GB2312" w:cs="仿宋_GB2312" w:eastAsia="仿宋_GB2312"/>
                    </w:rPr>
                    <w:t>单价限价（万元）</w:t>
                  </w:r>
                </w:p>
              </w:tc>
              <w:tc>
                <w:tcPr>
                  <w:tcW w:type="dxa" w:w="511"/>
                </w:tcPr>
                <w:p>
                  <w:pPr>
                    <w:pStyle w:val="null3"/>
                  </w:pPr>
                  <w:r>
                    <w:rPr>
                      <w:rFonts w:ascii="仿宋_GB2312" w:hAnsi="仿宋_GB2312" w:cs="仿宋_GB2312" w:eastAsia="仿宋_GB2312"/>
                    </w:rPr>
                    <w:t>数量</w:t>
                  </w:r>
                </w:p>
                <w:p>
                  <w:pPr>
                    <w:pStyle w:val="null3"/>
                  </w:pPr>
                  <w:r>
                    <w:rPr>
                      <w:rFonts w:ascii="仿宋_GB2312" w:hAnsi="仿宋_GB2312" w:cs="仿宋_GB2312" w:eastAsia="仿宋_GB2312"/>
                    </w:rPr>
                    <w:t>（台/套）</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电感耦合等离子体质谱仪</w:t>
                  </w:r>
                </w:p>
              </w:tc>
              <w:tc>
                <w:tcPr>
                  <w:tcW w:type="dxa" w:w="511"/>
                </w:tcPr>
                <w:p>
                  <w:pPr>
                    <w:pStyle w:val="null3"/>
                  </w:pPr>
                  <w:r>
                    <w:rPr>
                      <w:rFonts w:ascii="仿宋_GB2312" w:hAnsi="仿宋_GB2312" w:cs="仿宋_GB2312" w:eastAsia="仿宋_GB2312"/>
                    </w:rPr>
                    <w:t>139.00</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核心产品</w:t>
                  </w:r>
                </w:p>
              </w:tc>
            </w:tr>
          </w:tbl>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1.标准要求</w:t>
            </w:r>
          </w:p>
          <w:p>
            <w:pPr>
              <w:pStyle w:val="null3"/>
            </w:pPr>
            <w:r>
              <w:rPr>
                <w:rFonts w:ascii="仿宋_GB2312" w:hAnsi="仿宋_GB2312" w:cs="仿宋_GB2312" w:eastAsia="仿宋_GB2312"/>
              </w:rPr>
              <w:t>《中国药典》四部0412 电感耦合等离子体质谱法</w:t>
            </w:r>
          </w:p>
          <w:p>
            <w:pPr>
              <w:pStyle w:val="null3"/>
            </w:pPr>
            <w:r>
              <w:rPr>
                <w:rFonts w:ascii="仿宋_GB2312" w:hAnsi="仿宋_GB2312" w:cs="仿宋_GB2312" w:eastAsia="仿宋_GB2312"/>
              </w:rPr>
              <w:t>GB/T 23101.6-2022 外科植入物 羟基磷灰石 第6部分：粉末</w:t>
            </w:r>
          </w:p>
          <w:p>
            <w:pPr>
              <w:pStyle w:val="null3"/>
            </w:pPr>
            <w:r>
              <w:rPr>
                <w:rFonts w:ascii="仿宋_GB2312" w:hAnsi="仿宋_GB2312" w:cs="仿宋_GB2312" w:eastAsia="仿宋_GB2312"/>
              </w:rPr>
              <w:t>YY/T 1507.1-2016  外科植入物用超高分子量聚乙烯粉料中杂质元素的测定 第1部分 ICP-MS法测定钛（Ti）元素含量</w:t>
            </w:r>
          </w:p>
          <w:p>
            <w:pPr>
              <w:pStyle w:val="null3"/>
            </w:pPr>
            <w:r>
              <w:rPr>
                <w:rFonts w:ascii="仿宋_GB2312" w:hAnsi="仿宋_GB2312" w:cs="仿宋_GB2312" w:eastAsia="仿宋_GB2312"/>
              </w:rPr>
              <w:t>YY/T 1507.3-2016  外科植入物用超高分子量聚乙烯粉料中杂质元素的测定 第3部分 ICP-MS法测定钙（Ca）元素含量</w:t>
            </w:r>
          </w:p>
          <w:p>
            <w:pPr>
              <w:pStyle w:val="null3"/>
            </w:pPr>
            <w:r>
              <w:rPr>
                <w:rFonts w:ascii="仿宋_GB2312" w:hAnsi="仿宋_GB2312" w:cs="仿宋_GB2312" w:eastAsia="仿宋_GB2312"/>
              </w:rPr>
              <w:t>YY/T 1507.4-2016  外科植入物用超高分子量聚乙烯粉料中杂质元素的测定 第4部分 ICP-MS法测定铝（Al）元素含量</w:t>
            </w:r>
          </w:p>
          <w:p>
            <w:pPr>
              <w:pStyle w:val="null3"/>
            </w:pPr>
            <w:r>
              <w:rPr>
                <w:rFonts w:ascii="仿宋_GB2312" w:hAnsi="仿宋_GB2312" w:cs="仿宋_GB2312" w:eastAsia="仿宋_GB2312"/>
              </w:rPr>
              <w:t>YY/T 1802-2021 增材制造医疗产品3D打印钛合金植入物金属离子析出评价方法</w:t>
            </w:r>
          </w:p>
          <w:p>
            <w:pPr>
              <w:pStyle w:val="null3"/>
            </w:pPr>
            <w:r>
              <w:rPr>
                <w:rFonts w:ascii="仿宋_GB2312" w:hAnsi="仿宋_GB2312" w:cs="仿宋_GB2312" w:eastAsia="仿宋_GB2312"/>
              </w:rPr>
              <w:t>2.主要参数</w:t>
            </w:r>
          </w:p>
          <w:p>
            <w:pPr>
              <w:pStyle w:val="null3"/>
            </w:pPr>
            <w:r>
              <w:rPr>
                <w:rFonts w:ascii="仿宋_GB2312" w:hAnsi="仿宋_GB2312" w:cs="仿宋_GB2312" w:eastAsia="仿宋_GB2312"/>
              </w:rPr>
              <w:t>整体要求：仪器主机应包含进样系统、离子源及可视化系统、接口系统、双离子偏转系统、碰撞反应池、质量分析器、双模检测器及数据处理平台;能够满足高盐及复杂基体样品分析耐受性，具有自动氩气稀释和氩气加湿功能；能够在碰撞或反应模式中引入质量筛选功能以实现更有效的多原子离子干扰去除效果，实现对复杂基体样品的准确分析。</w:t>
            </w:r>
          </w:p>
          <w:p>
            <w:pPr>
              <w:pStyle w:val="null3"/>
            </w:pPr>
            <w:r>
              <w:rPr>
                <w:rFonts w:ascii="仿宋_GB2312" w:hAnsi="仿宋_GB2312" w:cs="仿宋_GB2312" w:eastAsia="仿宋_GB2312"/>
              </w:rPr>
              <w:t>▲2.1标准模式灵敏度：</w:t>
            </w:r>
          </w:p>
          <w:p>
            <w:pPr>
              <w:pStyle w:val="null3"/>
            </w:pPr>
            <w:r>
              <w:rPr>
                <w:rFonts w:ascii="仿宋_GB2312" w:hAnsi="仿宋_GB2312" w:cs="仿宋_GB2312" w:eastAsia="仿宋_GB2312"/>
              </w:rPr>
              <w:t xml:space="preserve">中质量数(Y或In): ≥600Mcps/ppm；高质量数(Ti或U): ≥850Mcps/ppm     </w:t>
            </w:r>
          </w:p>
          <w:p>
            <w:pPr>
              <w:pStyle w:val="null3"/>
            </w:pPr>
            <w:r>
              <w:rPr>
                <w:rFonts w:ascii="仿宋_GB2312" w:hAnsi="仿宋_GB2312" w:cs="仿宋_GB2312" w:eastAsia="仿宋_GB2312"/>
              </w:rPr>
              <w:t>▲2.2 标准模式下（No Gas）随机背景：≤1 cps (4.5amu)；</w:t>
            </w:r>
          </w:p>
          <w:p>
            <w:pPr>
              <w:pStyle w:val="null3"/>
            </w:pPr>
            <w:r>
              <w:rPr>
                <w:rFonts w:ascii="仿宋_GB2312" w:hAnsi="仿宋_GB2312" w:cs="仿宋_GB2312" w:eastAsia="仿宋_GB2312"/>
              </w:rPr>
              <w:t>He 模式随机背景：≤0.5 cps (4.5amu)</w:t>
            </w:r>
          </w:p>
          <w:p>
            <w:pPr>
              <w:pStyle w:val="null3"/>
            </w:pPr>
            <w:r>
              <w:rPr>
                <w:rFonts w:ascii="仿宋_GB2312" w:hAnsi="仿宋_GB2312" w:cs="仿宋_GB2312" w:eastAsia="仿宋_GB2312"/>
              </w:rPr>
              <w:t>▲2.3 标准模式下，仪器信噪比≥220M(1ppm中质量元素溶液，灵敏度/随机背景)</w:t>
            </w:r>
          </w:p>
          <w:p>
            <w:pPr>
              <w:pStyle w:val="null3"/>
            </w:pPr>
            <w:r>
              <w:rPr>
                <w:rFonts w:ascii="仿宋_GB2312" w:hAnsi="仿宋_GB2312" w:cs="仿宋_GB2312" w:eastAsia="仿宋_GB2312"/>
              </w:rPr>
              <w:t xml:space="preserve">▲2.4氧化物离子(CeO+/Ce+)≤2%；双电荷粒子(Ce++/Ce+)≤3%。     </w:t>
            </w:r>
          </w:p>
          <w:p>
            <w:pPr>
              <w:pStyle w:val="null3"/>
            </w:pPr>
            <w:r>
              <w:rPr>
                <w:rFonts w:ascii="仿宋_GB2312" w:hAnsi="仿宋_GB2312" w:cs="仿宋_GB2312" w:eastAsia="仿宋_GB2312"/>
              </w:rPr>
              <w:t>▲2.5仪器检出限</w:t>
            </w:r>
          </w:p>
          <w:p>
            <w:pPr>
              <w:pStyle w:val="null3"/>
            </w:pPr>
            <w:r>
              <w:rPr>
                <w:rFonts w:ascii="仿宋_GB2312" w:hAnsi="仿宋_GB2312" w:cs="仿宋_GB2312" w:eastAsia="仿宋_GB2312"/>
              </w:rPr>
              <w:t xml:space="preserve">轻质量元素:≤0.3ppt；中质量数元素:≤0.1ppt；高质量数元素:≤0.1ppt      </w:t>
            </w:r>
          </w:p>
          <w:p>
            <w:pPr>
              <w:pStyle w:val="null3"/>
            </w:pPr>
            <w:r>
              <w:rPr>
                <w:rFonts w:ascii="仿宋_GB2312" w:hAnsi="仿宋_GB2312" w:cs="仿宋_GB2312" w:eastAsia="仿宋_GB2312"/>
              </w:rPr>
              <w:t>▲2.6短期稳定性 10min (RSD): ≤ 2% 。</w:t>
            </w:r>
          </w:p>
          <w:p>
            <w:pPr>
              <w:pStyle w:val="null3"/>
            </w:pPr>
            <w:r>
              <w:rPr>
                <w:rFonts w:ascii="仿宋_GB2312" w:hAnsi="仿宋_GB2312" w:cs="仿宋_GB2312" w:eastAsia="仿宋_GB2312"/>
              </w:rPr>
              <w:t>▲2.7长期稳定性 2 hr(RSD):≤ 3% 。</w:t>
            </w:r>
          </w:p>
          <w:p>
            <w:pPr>
              <w:pStyle w:val="null3"/>
            </w:pPr>
            <w:r>
              <w:rPr>
                <w:rFonts w:ascii="仿宋_GB2312" w:hAnsi="仿宋_GB2312" w:cs="仿宋_GB2312" w:eastAsia="仿宋_GB2312"/>
              </w:rPr>
              <w:t>▲2.8质谱校正稳定性: ≤ 0.025 amu/24hr</w:t>
            </w:r>
          </w:p>
          <w:p>
            <w:pPr>
              <w:pStyle w:val="null3"/>
            </w:pPr>
            <w:r>
              <w:rPr>
                <w:rFonts w:ascii="仿宋_GB2312" w:hAnsi="仿宋_GB2312" w:cs="仿宋_GB2312" w:eastAsia="仿宋_GB2312"/>
              </w:rPr>
              <w:t>3.主要配置要求</w:t>
            </w:r>
          </w:p>
          <w:p>
            <w:pPr>
              <w:pStyle w:val="null3"/>
            </w:pPr>
            <w:r>
              <w:rPr>
                <w:rFonts w:ascii="仿宋_GB2312" w:hAnsi="仿宋_GB2312" w:cs="仿宋_GB2312" w:eastAsia="仿宋_GB2312"/>
              </w:rPr>
              <w:t>3.1雾化室：产品应配备具有半导体制冷功能的雾化室，制冷能力≤-8℃。具备高雾化效率、耐氢氟酸和耐高盐性能的同心雾化器和中心管。</w:t>
            </w:r>
          </w:p>
          <w:p>
            <w:pPr>
              <w:pStyle w:val="null3"/>
            </w:pPr>
            <w:r>
              <w:rPr>
                <w:rFonts w:ascii="仿宋_GB2312" w:hAnsi="仿宋_GB2312" w:cs="仿宋_GB2312" w:eastAsia="仿宋_GB2312"/>
              </w:rPr>
              <w:t>3.2可视化离子源：可实时监控等离子体及锥口和中心管的状态。</w:t>
            </w:r>
          </w:p>
          <w:p>
            <w:pPr>
              <w:pStyle w:val="null3"/>
            </w:pPr>
            <w:r>
              <w:rPr>
                <w:rFonts w:ascii="仿宋_GB2312" w:hAnsi="仿宋_GB2312" w:cs="仿宋_GB2312" w:eastAsia="仿宋_GB2312"/>
              </w:rPr>
              <w:t>3.3气体稀释：采用可调节（至少包含0.6L/min-1.5L/min）质量流量计控制，具有氩气稀释模式及多种设定稀释系数配置处理各种样品，可直接分析35%饱和盐水样品。</w:t>
            </w:r>
          </w:p>
          <w:p>
            <w:pPr>
              <w:pStyle w:val="null3"/>
            </w:pPr>
            <w:r>
              <w:rPr>
                <w:rFonts w:ascii="仿宋_GB2312" w:hAnsi="仿宋_GB2312" w:cs="仿宋_GB2312" w:eastAsia="仿宋_GB2312"/>
              </w:rPr>
              <w:t>▲3.4离子源：仪器采用27.12MHz工作频率驱动的自激式全固态RF发生器；功率在400-1600W范围内连续可调，调节精度0.5W；发生器具变频技术。</w:t>
            </w:r>
          </w:p>
          <w:p>
            <w:pPr>
              <w:pStyle w:val="null3"/>
            </w:pPr>
            <w:r>
              <w:rPr>
                <w:rFonts w:ascii="仿宋_GB2312" w:hAnsi="仿宋_GB2312" w:cs="仿宋_GB2312" w:eastAsia="仿宋_GB2312"/>
              </w:rPr>
              <w:t>3.5仪器应能够使用冷等离子体进行样品分析，要求在一次样品分析中能自动切换冷焰模式和标准模式。</w:t>
            </w:r>
          </w:p>
          <w:p>
            <w:pPr>
              <w:pStyle w:val="null3"/>
            </w:pPr>
            <w:r>
              <w:rPr>
                <w:rFonts w:ascii="仿宋_GB2312" w:hAnsi="仿宋_GB2312" w:cs="仿宋_GB2312" w:eastAsia="仿宋_GB2312"/>
              </w:rPr>
              <w:t>3.6工作线圈：采用高效耦合能力贵金属涂层设计，采用水冷精密控温措施，排除等离子体高温熔融风险。</w:t>
            </w:r>
          </w:p>
          <w:p>
            <w:pPr>
              <w:pStyle w:val="null3"/>
            </w:pPr>
            <w:r>
              <w:rPr>
                <w:rFonts w:ascii="仿宋_GB2312" w:hAnsi="仿宋_GB2312" w:cs="仿宋_GB2312" w:eastAsia="仿宋_GB2312"/>
              </w:rPr>
              <w:t>▲3.7接口：接口部分应采用双锥设计，采样锥口径应控制在0.9-1.1mm，截取锥口径应控制在0.5-0.7mm；同时配有不损失样品灵敏度的接口耐盐设计，可在高灵敏度情况下实现对35%盐度样品的连续稳定分析。同时应该配备一套耐HF酸样品的铂采样锥和铂截取锥。</w:t>
            </w:r>
          </w:p>
          <w:p>
            <w:pPr>
              <w:pStyle w:val="null3"/>
            </w:pPr>
            <w:r>
              <w:rPr>
                <w:rFonts w:ascii="仿宋_GB2312" w:hAnsi="仿宋_GB2312" w:cs="仿宋_GB2312" w:eastAsia="仿宋_GB2312"/>
              </w:rPr>
              <w:t>3.8提取透镜：采用双离子提取透镜设计。</w:t>
            </w:r>
          </w:p>
          <w:p>
            <w:pPr>
              <w:pStyle w:val="null3"/>
            </w:pPr>
            <w:r>
              <w:rPr>
                <w:rFonts w:ascii="仿宋_GB2312" w:hAnsi="仿宋_GB2312" w:cs="仿宋_GB2312" w:eastAsia="仿宋_GB2312"/>
              </w:rPr>
              <w:t>▲3.9离子偏转聚焦系统：仪器应在接口后部配置一套正交离子偏转聚焦系统。通过电场作用使样品离子产生90°偏转并与未解离的中性粒子和光子实现完全分离，可在系统内形成空间三维电场分布，保证样品离子在进行90°偏转的同时实现三维方向的离子束聚焦。</w:t>
            </w:r>
          </w:p>
          <w:p>
            <w:pPr>
              <w:pStyle w:val="null3"/>
            </w:pPr>
            <w:r>
              <w:rPr>
                <w:rFonts w:ascii="仿宋_GB2312" w:hAnsi="仿宋_GB2312" w:cs="仿宋_GB2312" w:eastAsia="仿宋_GB2312"/>
              </w:rPr>
              <w:t>3.10 DA透镜：可消除因碰撞或反应过程中由于电荷转移而二次产生的中性粒子。</w:t>
            </w:r>
          </w:p>
          <w:p>
            <w:pPr>
              <w:pStyle w:val="null3"/>
            </w:pPr>
            <w:r>
              <w:rPr>
                <w:rFonts w:ascii="仿宋_GB2312" w:hAnsi="仿宋_GB2312" w:cs="仿宋_GB2312" w:eastAsia="仿宋_GB2312"/>
              </w:rPr>
              <w:t>▲3.11四极杆碰撞反应池：具有一套可实现质量筛选功能的四极杆结构设计。池内可使用标准模式（STD模式）、碰撞模式（KED模式）和反应模式（CCT模式）进行干扰的消除和样品分析；碰撞反应池可使用He气，O</w:t>
            </w:r>
            <w:r>
              <w:rPr>
                <w:rFonts w:ascii="仿宋_GB2312" w:hAnsi="仿宋_GB2312" w:cs="仿宋_GB2312" w:eastAsia="仿宋_GB2312"/>
                <w:vertAlign w:val="subscript"/>
              </w:rPr>
              <w:t>2</w:t>
            </w:r>
            <w:r>
              <w:rPr>
                <w:rFonts w:ascii="仿宋_GB2312" w:hAnsi="仿宋_GB2312" w:cs="仿宋_GB2312" w:eastAsia="仿宋_GB2312"/>
              </w:rPr>
              <w:t>，H</w:t>
            </w:r>
            <w:r>
              <w:rPr>
                <w:rFonts w:ascii="仿宋_GB2312" w:hAnsi="仿宋_GB2312" w:cs="仿宋_GB2312" w:eastAsia="仿宋_GB2312"/>
                <w:vertAlign w:val="subscript"/>
              </w:rPr>
              <w:t>2</w:t>
            </w:r>
            <w:r>
              <w:rPr>
                <w:rFonts w:ascii="仿宋_GB2312" w:hAnsi="仿宋_GB2312" w:cs="仿宋_GB2312" w:eastAsia="仿宋_GB2312"/>
              </w:rPr>
              <w:t>He混合气， NH</w:t>
            </w:r>
            <w:r>
              <w:rPr>
                <w:rFonts w:ascii="仿宋_GB2312" w:hAnsi="仿宋_GB2312" w:cs="仿宋_GB2312" w:eastAsia="仿宋_GB2312"/>
                <w:vertAlign w:val="subscript"/>
              </w:rPr>
              <w:t>3</w:t>
            </w:r>
            <w:r>
              <w:rPr>
                <w:rFonts w:ascii="仿宋_GB2312" w:hAnsi="仿宋_GB2312" w:cs="仿宋_GB2312" w:eastAsia="仿宋_GB2312"/>
              </w:rPr>
              <w:t>He混合气；池体应具备碰撞聚焦功能，保证碰撞模式下的高灵敏度分析，并可获得</w:t>
            </w:r>
            <w:r>
              <w:rPr>
                <w:rFonts w:ascii="仿宋_GB2312" w:hAnsi="仿宋_GB2312" w:cs="仿宋_GB2312" w:eastAsia="仿宋_GB2312"/>
                <w:vertAlign w:val="superscript"/>
              </w:rPr>
              <w:t>238</w:t>
            </w:r>
            <w:r>
              <w:rPr>
                <w:rFonts w:ascii="仿宋_GB2312" w:hAnsi="仿宋_GB2312" w:cs="仿宋_GB2312" w:eastAsia="仿宋_GB2312"/>
              </w:rPr>
              <w:t>U≥1000Mcps/ppm的高灵敏度水平。</w:t>
            </w:r>
          </w:p>
          <w:p>
            <w:pPr>
              <w:pStyle w:val="null3"/>
            </w:pPr>
            <w:r>
              <w:rPr>
                <w:rFonts w:ascii="仿宋_GB2312" w:hAnsi="仿宋_GB2312" w:cs="仿宋_GB2312" w:eastAsia="仿宋_GB2312"/>
              </w:rPr>
              <w:t>▲3.12四极杆质量分辨器：纯Mo材料的长杆结构设计，提供双曲面电势场保证最佳的质量轴分辨率、丰度灵敏度；采用2.0MHz-3.0MHz低频驱动四极杆，四极杆具有可调分辨率功能，四极杆在不同分辨率下自动切换。质谱范围：至少2-260amu，范围更宽为好，且仪器应具备分析</w:t>
            </w:r>
            <w:r>
              <w:rPr>
                <w:rFonts w:ascii="仿宋_GB2312" w:hAnsi="仿宋_GB2312" w:cs="仿宋_GB2312" w:eastAsia="仿宋_GB2312"/>
                <w:vertAlign w:val="superscript"/>
              </w:rPr>
              <w:t>286</w:t>
            </w:r>
            <w:r>
              <w:rPr>
                <w:rFonts w:ascii="仿宋_GB2312" w:hAnsi="仿宋_GB2312" w:cs="仿宋_GB2312" w:eastAsia="仿宋_GB2312"/>
              </w:rPr>
              <w:t>UOOO+离子的能力。</w:t>
            </w:r>
          </w:p>
          <w:p>
            <w:pPr>
              <w:pStyle w:val="null3"/>
            </w:pPr>
            <w:r>
              <w:rPr>
                <w:rFonts w:ascii="仿宋_GB2312" w:hAnsi="仿宋_GB2312" w:cs="仿宋_GB2312" w:eastAsia="仿宋_GB2312"/>
              </w:rPr>
              <w:t>▲3.13检测器：可以在一次进样过程中同时完成扫描和跳峰分析（定性和定量分析），电子倍增器可对≤0.1cps或 ≥5*10</w:t>
            </w:r>
            <w:r>
              <w:rPr>
                <w:rFonts w:ascii="仿宋_GB2312" w:hAnsi="仿宋_GB2312" w:cs="仿宋_GB2312" w:eastAsia="仿宋_GB2312"/>
                <w:vertAlign w:val="superscript"/>
              </w:rPr>
              <w:t>10</w:t>
            </w:r>
            <w:r>
              <w:rPr>
                <w:rFonts w:ascii="仿宋_GB2312" w:hAnsi="仿宋_GB2312" w:cs="仿宋_GB2312" w:eastAsia="仿宋_GB2312"/>
              </w:rPr>
              <w:t>cps的信号进行计数且两种模式分析过程中的驻留时间可达0.1ms。</w:t>
            </w:r>
          </w:p>
          <w:p>
            <w:pPr>
              <w:pStyle w:val="null3"/>
            </w:pPr>
            <w:r>
              <w:rPr>
                <w:rFonts w:ascii="仿宋_GB2312" w:hAnsi="仿宋_GB2312" w:cs="仿宋_GB2312" w:eastAsia="仿宋_GB2312"/>
              </w:rPr>
              <w:t>3.14真空系统：分析腔真空度优于5*10</w:t>
            </w:r>
            <w:r>
              <w:rPr>
                <w:rFonts w:ascii="仿宋_GB2312" w:hAnsi="仿宋_GB2312" w:cs="仿宋_GB2312" w:eastAsia="仿宋_GB2312"/>
                <w:vertAlign w:val="superscript"/>
              </w:rPr>
              <w:t>-7</w:t>
            </w:r>
            <w:r>
              <w:rPr>
                <w:rFonts w:ascii="仿宋_GB2312" w:hAnsi="仿宋_GB2312" w:cs="仿宋_GB2312" w:eastAsia="仿宋_GB2312"/>
              </w:rPr>
              <w:t>mbar。</w:t>
            </w:r>
          </w:p>
          <w:p>
            <w:pPr>
              <w:pStyle w:val="null3"/>
            </w:pPr>
            <w:r>
              <w:rPr>
                <w:rFonts w:ascii="仿宋_GB2312" w:hAnsi="仿宋_GB2312" w:cs="仿宋_GB2312" w:eastAsia="仿宋_GB2312"/>
              </w:rPr>
              <w:t>3.15操作系统和软件部分：</w:t>
            </w:r>
          </w:p>
          <w:p>
            <w:pPr>
              <w:pStyle w:val="null3"/>
            </w:pPr>
            <w:r>
              <w:rPr>
                <w:rFonts w:ascii="仿宋_GB2312" w:hAnsi="仿宋_GB2312" w:cs="仿宋_GB2312" w:eastAsia="仿宋_GB2312"/>
              </w:rPr>
              <w:t>3.15.1操作系统：商用电脑（外接），正版操作系统,多任务,多用户系统软件，CPU主频≥2.5GHz，内存不低于64GB，存储不低于1TB。需配备打印机。</w:t>
            </w:r>
          </w:p>
          <w:p>
            <w:pPr>
              <w:pStyle w:val="null3"/>
            </w:pPr>
            <w:r>
              <w:rPr>
                <w:rFonts w:ascii="仿宋_GB2312" w:hAnsi="仿宋_GB2312" w:cs="仿宋_GB2312" w:eastAsia="仿宋_GB2312"/>
              </w:rPr>
              <w:t>3.15.2软件：包含色谱连用的瞬间信号分析软件，可以满足色谱连用中的数据采集，色谱积分计算，报告输出等功能。要求可以做到实时数据显示,和实时报告显示。要求拥有智能化软件包括：智能进样时间和智能冲洗时间，QA/QC 软件，智能谱图解释软件。ICP-MS操作软件可以安装于个人计算机上，样品分析数据可以使用此软件进行离线数据处理并生成报告。软件具有耗材维护和仪器性能监控功能，智能基体处理功能。5年内提供软件更新（不额外收费，费用包含在本项目报价中）。</w:t>
            </w:r>
          </w:p>
          <w:p>
            <w:pPr>
              <w:pStyle w:val="null3"/>
            </w:pPr>
            <w:r>
              <w:rPr>
                <w:rFonts w:ascii="仿宋_GB2312" w:hAnsi="仿宋_GB2312" w:cs="仿宋_GB2312" w:eastAsia="仿宋_GB2312"/>
              </w:rPr>
              <w:t>三、售后服务（不额外收费，费用包含在本项目报价中）</w:t>
            </w:r>
          </w:p>
          <w:p>
            <w:pPr>
              <w:pStyle w:val="null3"/>
            </w:pPr>
            <w:r>
              <w:rPr>
                <w:rFonts w:ascii="仿宋_GB2312" w:hAnsi="仿宋_GB2312" w:cs="仿宋_GB2312" w:eastAsia="仿宋_GB2312"/>
              </w:rPr>
              <w:t>厂家提供仪器一年的保修期。仪器设备需在14天内到采购人指定地点进行安装调试及验收，并提供第三方计量证书，提供现场培训，人数不限，直到用户能正常使用和维护仪器。两名人员的提高操作培训。提供的技术支持，例如某些样品检验的方法学验证，并提供所有公开发表的应用文献和最新仪器有关资料、通讯和用户论文集等。</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合同签订后14个日历日内完成供货、安装与调试。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陕西省医疗器械质量检验院指定地点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设备验收合格后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验收时设备技术参数以采购人计量结果为准。验收依据：（1）招标文件、投标文件、澄清表（函）；（2）合同及附件文本；（3）国家相应的标准、规范。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质保一年，自仪器验收合格双方签字之日起计算。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投标文件递交截止时间前到账，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4）未按指定账户提交的，投标人须在文件递交截止时间前按照指定账户再次提交。 3.5.2本项目落实《国务院办公厅关于在政府采购中实施本国产品标准及相关政策的通知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3.5.3本项目主要标的同核心产品，根据法律规定，中标公告须公布主要标的的名称、品牌、规格型号、数量、单价。 3.5.4技术参数中所列规范标准如有更新，以最新规范标准执行。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报价未超过招标文件中规定的预算金额的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满足本招标文件中3.4商务要求中交货时间、交货地点、质量保修范围和保修期、支付约定的要求</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强制节能</w:t>
            </w:r>
          </w:p>
        </w:tc>
        <w:tc>
          <w:tcPr>
            <w:tcW w:type="dxa" w:w="3322"/>
          </w:tcPr>
          <w:p>
            <w:pPr>
              <w:pStyle w:val="null3"/>
            </w:pPr>
            <w:r>
              <w:rPr>
                <w:rFonts w:ascii="仿宋_GB2312" w:hAnsi="仿宋_GB2312" w:cs="仿宋_GB2312" w:eastAsia="仿宋_GB2312"/>
              </w:rPr>
              <w:t>投标人针对所投商用电脑、打印机产品，应提供国家确定的认证机构出具的、处于有效期之内的节能产品认证证书；认证应在有效期内，同时型号应与本项目所投产品型号一致，否则作无效投标处理。</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 2分项价格表.docx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根据投标人对技术参数与性能指标中“二、技术要求”响应情况进行评审： ①标“▲”参数，投标人满足参数要求的每项得1.5分，满分21分。“▲”指标必须提供有效佐证材料，否则视为负偏离，不得分。 ②非“▲”参数（以投标人的技术响应偏离表响应情况为准），得分=（投标人满足采购人要求的非“▲”参数数量/非“▲”参数总数量）×9分，满分9分。得分保留小数点后两位数，小数点后第三位四舍五入。 备注： 1.所有产品完全复制招标文件技术指标要求的，给予10分扣分。或一个产品的技术指标完全复制招标文件技术指标要求的，给予5分扣分，文字描述、国标、定制尺寸的技术指标除外。 2.佐证材料可为检测报告或产品彩页或加盖生产厂家公章的产品技术说明。</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投标人提供针对本项目的实施方案，包括但不限于①供货组织安排，包括仓储、运输、派送措施等方面②实施步骤和供货计划表，确保按期交货③设备安装调试方案④交货验收方案等。 上述4项内容，每提供1项内容计2分，每项内容存在1处瑕疵扣0.5分；满分8分。 备注：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投标人针对产品质量保证进行阐述，包括但不限于①产品选型说明②仪器设备使用性能及医疗设备检测应用说明③提供全生命周期内的质量保证承诺等。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投标人针对本项目可能出现的突发状况提供应急处理措施，包括①产品运输、装卸过程中的突发状况应急处理措施②安装调试过程中的突发状况应急处理措施。 上述2项内容，每提供1项内容计2分，每项内容存在1处瑕疵扣0.5分；满分4分。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8应急措施.docx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投标人针对本项目有具体的培训方案，方案应至少包括但不限于①培训服务计划（培训形式、课程计划表等）②培训内容（设备原理和技术性能、仪器操作、仪器维护、故障排除等）。 上述2项内容，每提供1项内容计2分，每项内容存在1处瑕疵扣0.5分；满分4分。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投标人针对本项目提供售后服务方案，方案应至少包括但不限于①定期回访维护计划安排②故障售后响应解决时间及维修措施③备品备件储备、软件升级更新④售后服务人员配置情况⑤技术支持服务。 上述5项内容，每提供1项内容计2分，每项内容存在1处瑕疵扣0.5分；满分10分。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提供所投产品合法来源渠道证明文件（包括但不限于销售协议或代理协议或原厂授权等），提供计2分，否则不得分。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11供货渠道证明.docx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扫描件（以合同签订日期为准），扫描件必须清晰体现签约主体和日期、项目名称及内容、合同金额等核心要素，否则不计为有效业绩。每提供1个有效业绩得1分，最高得5分。 备注：投标文件中提供合同扫描件加盖投标人公章。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采购节能产品经国家认证的计0.5分，每有一项为优先采购环境标志产品经国家认证的计0.5分，投标人投标产品中每有一项产品同时为优先采购节能产品和优先采购环境标志产品计1分，最多计1分。（以经国家确定的认证机构出具的、处于有效期内的节能产品、环境标志产品认证证书为准。） 注：强制节能已作为实质性要求，不参与本项评分。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报价得分=（评标基准价/投标报价）×30，满足招标文件要求且投标报价最低的投标报价为评标基准价，其价格分为满分30分。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详见附件：8应急措施.docx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详见附件：11供货渠道证明.docx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详见附件：13节能环保.docx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