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9B17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样品要求：</w:t>
      </w:r>
    </w:p>
    <w:p w14:paraId="14392FBB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各供应商均需提供样品【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辅警服装常服1套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、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辅警服装内衬1件、辅警服装勤务夏执勤服1件、辅警服装勤务长袖制式衬衣1件、辅警服装勤务夏单裤1条、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辅警服装夏作训1套、辅警服装勤务春秋执勤1套、辅警服装勤务冬执勤1套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】。</w:t>
      </w:r>
    </w:p>
    <w:p w14:paraId="0EED608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1、样品制作标准和要求：参照以上技术参数。</w:t>
      </w:r>
    </w:p>
    <w:p w14:paraId="591E186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2、样品需密封递交，样品（含包装等）均不得明示任何商标、厂家及品牌标识或供应商名称及其他特殊标记等信息，否则将被作为违规而被拒收，退回要求其调整，调整后仍有商标、厂家及品牌标识或供应商名称的其样品分为零分。</w:t>
      </w:r>
    </w:p>
    <w:p w14:paraId="2E94693B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3、样品递交截止时间：同投标文件递交截止时间。</w:t>
      </w:r>
    </w:p>
    <w:p w14:paraId="2FB8B1B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4、样品递交截止地点：陕西省西安市新城区长乐中路242号金花新都汇A座写字楼24层会议室b。</w:t>
      </w:r>
    </w:p>
    <w:p w14:paraId="104EF00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5、评审现场须对有效供应商递交的样品进行拆验，投标人须自行承担风险，不得追究任何一方责任。招标人及评审小组不对样品进行封装且不支付所拆验样品的费用。</w:t>
      </w:r>
    </w:p>
    <w:p w14:paraId="0FC0897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2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  <w:t>6、样品退还：未成交供应商在成交结果公告发出后5个工作日内领取退还样品，如未在规定时间内领取样品，视为自动放弃，由招标代理机构自行处理，成交供应商样品由招标代理机构送招标人留存，作为验收依据</w:t>
      </w:r>
    </w:p>
    <w:p w14:paraId="11BE285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B7C51"/>
    <w:rsid w:val="404B7C51"/>
    <w:rsid w:val="747D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2026-06-26T09:11:00Z</dcterms:created>
  <dc:creator>张继磊</dc:creator>
  <cp:lastModifiedBy>张继磊</cp:lastModifiedBy>
  <dcterms:modified xsi:type="dcterms:W3CDTF">2026-06-26T09:15:48Z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B5C9D3654E7F4A7383191224380DFBFF_11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