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269FA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  <w:lang w:val="en-US" w:eastAsia="zh-CN"/>
        </w:rPr>
      </w:pPr>
    </w:p>
    <w:p w14:paraId="625D34F3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  <w:lang w:val="en-US" w:eastAsia="zh-CN"/>
        </w:rPr>
        <w:t>长安区兴国初级中学物业服务项目</w:t>
      </w:r>
    </w:p>
    <w:p w14:paraId="78476DFE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</w:p>
    <w:p w14:paraId="57C11968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</w:p>
    <w:p w14:paraId="57EFDD0C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</w:p>
    <w:p w14:paraId="366BE6FD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</w:p>
    <w:p w14:paraId="0E4FA942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</w:p>
    <w:p w14:paraId="041B4DBB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</w:p>
    <w:p w14:paraId="7CFA077B">
      <w:pPr>
        <w:pStyle w:val="2"/>
        <w:rPr>
          <w:rFonts w:hint="eastAsia"/>
          <w:lang w:val="en-US" w:eastAsia="zh-CN"/>
        </w:rPr>
      </w:pPr>
    </w:p>
    <w:p w14:paraId="2B50D54B">
      <w:pPr>
        <w:rPr>
          <w:rFonts w:hint="eastAsia"/>
          <w:lang w:val="en-US" w:eastAsia="zh-CN"/>
        </w:rPr>
      </w:pPr>
    </w:p>
    <w:p w14:paraId="54BDF36E">
      <w:pPr>
        <w:pStyle w:val="2"/>
        <w:rPr>
          <w:rFonts w:hint="eastAsia"/>
          <w:lang w:val="en-US" w:eastAsia="zh-CN"/>
        </w:rPr>
      </w:pPr>
    </w:p>
    <w:p w14:paraId="25F679FB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</w:p>
    <w:p w14:paraId="7B0AC37F">
      <w:pPr>
        <w:jc w:val="center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96"/>
          <w:szCs w:val="96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96"/>
          <w:szCs w:val="96"/>
          <w:highlight w:val="none"/>
          <w:lang w:val="en-US" w:eastAsia="zh-CN"/>
        </w:rPr>
        <w:t>服务合同</w:t>
      </w:r>
    </w:p>
    <w:p w14:paraId="65608590">
      <w:pPr>
        <w:jc w:val="center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60"/>
          <w:szCs w:val="60"/>
          <w:highlight w:val="none"/>
          <w:lang w:val="en-US" w:eastAsia="zh-CN"/>
        </w:rPr>
      </w:pPr>
    </w:p>
    <w:p w14:paraId="3443D8CE">
      <w:pPr>
        <w:jc w:val="center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60"/>
          <w:szCs w:val="60"/>
          <w:highlight w:val="none"/>
          <w:lang w:val="en-US" w:eastAsia="zh-CN"/>
        </w:rPr>
      </w:pPr>
    </w:p>
    <w:p w14:paraId="1DFEC897">
      <w:pPr>
        <w:jc w:val="center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60"/>
          <w:szCs w:val="60"/>
          <w:highlight w:val="none"/>
          <w:lang w:val="en-US" w:eastAsia="zh-CN"/>
        </w:rPr>
      </w:pPr>
    </w:p>
    <w:p w14:paraId="4EDDCA5B">
      <w:pPr>
        <w:jc w:val="center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60"/>
          <w:szCs w:val="60"/>
          <w:highlight w:val="none"/>
          <w:lang w:val="en-US" w:eastAsia="zh-CN"/>
        </w:rPr>
      </w:pPr>
    </w:p>
    <w:p w14:paraId="076875DE">
      <w:pPr>
        <w:pStyle w:val="2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60"/>
          <w:szCs w:val="60"/>
          <w:highlight w:val="none"/>
          <w:lang w:val="en-US" w:eastAsia="zh-CN"/>
        </w:rPr>
      </w:pPr>
    </w:p>
    <w:p w14:paraId="616C6FDF">
      <w:pPr>
        <w:rPr>
          <w:rFonts w:hint="eastAsia"/>
          <w:lang w:val="en-US" w:eastAsia="zh-CN"/>
        </w:rPr>
      </w:pPr>
    </w:p>
    <w:p w14:paraId="0E888C64">
      <w:pPr>
        <w:spacing w:line="480" w:lineRule="auto"/>
        <w:ind w:left="1058" w:leftChars="504" w:firstLine="0" w:firstLineChars="0"/>
        <w:jc w:val="both"/>
        <w:rPr>
          <w:rFonts w:hint="default" w:ascii="宋体" w:hAnsi="宋体" w:eastAsia="宋体" w:cs="宋体"/>
          <w:b/>
          <w:bCs w:val="0"/>
          <w:color w:val="auto"/>
          <w:sz w:val="30"/>
          <w:szCs w:val="30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0"/>
          <w:szCs w:val="30"/>
          <w:highlight w:val="none"/>
          <w:lang w:val="en-US" w:eastAsia="zh-CN"/>
        </w:rPr>
        <w:t>甲方：</w:t>
      </w:r>
      <w:r>
        <w:rPr>
          <w:rFonts w:hint="eastAsia" w:ascii="宋体" w:hAnsi="宋体" w:eastAsia="宋体" w:cs="宋体"/>
          <w:b/>
          <w:bCs w:val="0"/>
          <w:color w:val="auto"/>
          <w:sz w:val="30"/>
          <w:szCs w:val="30"/>
          <w:highlight w:val="none"/>
          <w:u w:val="single"/>
          <w:lang w:val="en-US" w:eastAsia="zh-CN"/>
        </w:rPr>
        <w:t xml:space="preserve">   西安市长安区兴国初级中学   </w:t>
      </w:r>
    </w:p>
    <w:p w14:paraId="711E4E55">
      <w:pPr>
        <w:spacing w:line="480" w:lineRule="auto"/>
        <w:ind w:left="1058" w:leftChars="504" w:firstLine="0" w:firstLineChars="0"/>
        <w:jc w:val="both"/>
        <w:rPr>
          <w:rFonts w:hint="eastAsia" w:ascii="宋体" w:hAnsi="宋体" w:eastAsia="宋体" w:cs="宋体"/>
          <w:b/>
          <w:bCs w:val="0"/>
          <w:color w:val="auto"/>
          <w:sz w:val="30"/>
          <w:szCs w:val="30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0"/>
          <w:szCs w:val="30"/>
          <w:highlight w:val="none"/>
          <w:u w:val="none"/>
          <w:lang w:val="en-US" w:eastAsia="zh-CN"/>
        </w:rPr>
        <w:t>乙方：</w:t>
      </w:r>
      <w:r>
        <w:rPr>
          <w:rFonts w:hint="eastAsia" w:ascii="宋体" w:hAnsi="宋体" w:eastAsia="宋体" w:cs="宋体"/>
          <w:b/>
          <w:bCs w:val="0"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                    </w:t>
      </w:r>
    </w:p>
    <w:p w14:paraId="0A59A6F1">
      <w:pPr>
        <w:spacing w:line="480" w:lineRule="auto"/>
        <w:ind w:left="1058" w:leftChars="504" w:firstLine="0" w:firstLineChars="0"/>
        <w:jc w:val="both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60"/>
          <w:szCs w:val="6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0"/>
          <w:szCs w:val="30"/>
          <w:highlight w:val="none"/>
          <w:u w:val="none"/>
          <w:lang w:val="en-US" w:eastAsia="zh-CN"/>
        </w:rPr>
        <w:t>签订时间：</w:t>
      </w:r>
      <w:r>
        <w:rPr>
          <w:rFonts w:hint="eastAsia" w:ascii="宋体" w:hAnsi="宋体" w:eastAsia="宋体" w:cs="宋体"/>
          <w:b/>
          <w:bCs w:val="0"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b/>
          <w:bCs w:val="0"/>
          <w:color w:val="auto"/>
          <w:sz w:val="30"/>
          <w:szCs w:val="30"/>
          <w:highlight w:val="none"/>
          <w:lang w:val="en-US" w:eastAsia="zh-CN"/>
        </w:rPr>
        <w:br w:type="page"/>
      </w:r>
    </w:p>
    <w:p w14:paraId="761BADAB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长安区兴国初级中学物业服务项目采购合同</w:t>
      </w:r>
    </w:p>
    <w:p w14:paraId="3E30BE56">
      <w:pPr>
        <w:pStyle w:val="6"/>
        <w:spacing w:line="360" w:lineRule="auto"/>
        <w:jc w:val="center"/>
        <w:rPr>
          <w:color w:val="auto"/>
          <w:sz w:val="24"/>
          <w:szCs w:val="24"/>
        </w:rPr>
      </w:pPr>
      <w:r>
        <w:rPr>
          <w:rFonts w:hint="eastAsia"/>
          <w:b/>
          <w:color w:val="auto"/>
          <w:kern w:val="44"/>
          <w:sz w:val="24"/>
          <w:szCs w:val="24"/>
          <w:highlight w:val="none"/>
        </w:rPr>
        <w:t>（此</w:t>
      </w:r>
      <w:r>
        <w:rPr>
          <w:rFonts w:hint="eastAsia"/>
          <w:b/>
          <w:color w:val="auto"/>
          <w:kern w:val="44"/>
          <w:sz w:val="24"/>
          <w:szCs w:val="24"/>
          <w:highlight w:val="none"/>
          <w:lang w:val="en-US" w:eastAsia="zh-CN"/>
        </w:rPr>
        <w:t>合同为合同草案</w:t>
      </w:r>
      <w:r>
        <w:rPr>
          <w:rFonts w:hint="eastAsia"/>
          <w:b/>
          <w:color w:val="auto"/>
          <w:kern w:val="44"/>
          <w:sz w:val="24"/>
          <w:szCs w:val="24"/>
          <w:highlight w:val="none"/>
        </w:rPr>
        <w:t>，</w:t>
      </w:r>
      <w:r>
        <w:rPr>
          <w:rFonts w:hint="eastAsia"/>
          <w:b/>
          <w:color w:val="auto"/>
          <w:kern w:val="44"/>
          <w:sz w:val="24"/>
          <w:szCs w:val="24"/>
          <w:highlight w:val="none"/>
          <w:lang w:val="en-US" w:eastAsia="zh-CN"/>
        </w:rPr>
        <w:t>最终</w:t>
      </w:r>
      <w:r>
        <w:rPr>
          <w:rFonts w:hint="eastAsia"/>
          <w:b/>
          <w:color w:val="auto"/>
          <w:kern w:val="44"/>
          <w:sz w:val="24"/>
          <w:szCs w:val="24"/>
          <w:highlight w:val="none"/>
        </w:rPr>
        <w:t>以甲乙双方</w:t>
      </w:r>
      <w:r>
        <w:rPr>
          <w:rFonts w:hint="eastAsia"/>
          <w:b/>
          <w:color w:val="auto"/>
          <w:kern w:val="44"/>
          <w:sz w:val="24"/>
          <w:szCs w:val="24"/>
          <w:highlight w:val="none"/>
          <w:lang w:val="en-US" w:eastAsia="zh-CN"/>
        </w:rPr>
        <w:t>签订的合同</w:t>
      </w:r>
      <w:r>
        <w:rPr>
          <w:rFonts w:hint="eastAsia"/>
          <w:b/>
          <w:color w:val="auto"/>
          <w:kern w:val="44"/>
          <w:sz w:val="24"/>
          <w:szCs w:val="24"/>
          <w:highlight w:val="none"/>
        </w:rPr>
        <w:t>为准）</w:t>
      </w:r>
    </w:p>
    <w:p w14:paraId="55671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firstLine="482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甲方：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59AD4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乙方：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3D58C44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根据《中华人民共和国政府采购法》及实施条例、《中华人民共和国民法典》和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项目名称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文件等有关规定，为确保甲方采购项目的顺利实施，甲、乙双方在平等自愿原则下签订本合同，并共同遵守如下条款：</w:t>
      </w:r>
    </w:p>
    <w:p w14:paraId="78511EA7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lef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一、合同价款</w:t>
      </w:r>
    </w:p>
    <w:p w14:paraId="7E0321F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0" w:after="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合同总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价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为（大写）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  <w:lang w:val="en-US" w:eastAsia="zh-CN"/>
        </w:rPr>
        <w:t xml:space="preserve">小写：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eastAsia="zh-CN"/>
        </w:rPr>
        <w:t>；（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其中管理费率为：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  <w:lang w:val="en-US" w:eastAsia="zh-CN"/>
        </w:rPr>
        <w:t xml:space="preserve">   %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eastAsia="zh-CN"/>
        </w:rPr>
        <w:t>）</w:t>
      </w:r>
    </w:p>
    <w:p w14:paraId="5F1FE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4"/>
          <w:szCs w:val="24"/>
        </w:rPr>
      </w:pPr>
      <w:r>
        <w:rPr>
          <w:rFonts w:hint="eastAsia" w:ascii="新宋体" w:hAnsi="新宋体" w:eastAsia="新宋体" w:cs="新宋体"/>
          <w:bCs/>
          <w:color w:val="auto"/>
          <w:sz w:val="24"/>
          <w:szCs w:val="24"/>
          <w:lang w:val="en-US" w:eastAsia="zh-CN"/>
        </w:rPr>
        <w:t>2、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</w:rPr>
        <w:t>合同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  <w:lang w:val="en-US" w:eastAsia="zh-CN"/>
        </w:rPr>
        <w:t>价款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</w:rPr>
        <w:t>包括：合同期内服务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  <w:lang w:val="en-US" w:eastAsia="zh-CN"/>
        </w:rPr>
        <w:t>实施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</w:rPr>
        <w:t>费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  <w:lang w:val="en-US" w:eastAsia="zh-CN"/>
        </w:rPr>
        <w:t>用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</w:rPr>
        <w:t>、人工费、交通费、保险、服装、管理费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  <w:lang w:val="zh-CN"/>
        </w:rPr>
        <w:t>以及国家按现行税率征收的一切税费等所有费用。</w:t>
      </w:r>
    </w:p>
    <w:p w14:paraId="53010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2" w:firstLineChars="200"/>
        <w:textAlignment w:val="auto"/>
        <w:rPr>
          <w:rFonts w:hint="eastAsia" w:ascii="新宋体" w:hAnsi="新宋体" w:eastAsia="新宋体" w:cs="新宋体"/>
          <w:b/>
          <w:color w:val="auto"/>
          <w:sz w:val="24"/>
          <w:szCs w:val="24"/>
        </w:rPr>
      </w:pPr>
      <w:r>
        <w:rPr>
          <w:rFonts w:hint="eastAsia" w:ascii="新宋体" w:hAnsi="新宋体" w:eastAsia="新宋体" w:cs="新宋体"/>
          <w:b/>
          <w:color w:val="auto"/>
          <w:sz w:val="24"/>
          <w:szCs w:val="24"/>
        </w:rPr>
        <w:t>二、款项结算</w:t>
      </w:r>
    </w:p>
    <w:p w14:paraId="7873128D">
      <w:pPr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pacing w:line="360" w:lineRule="auto"/>
        <w:ind w:firstLine="480" w:firstLineChars="200"/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  <w:lang w:val="en-US" w:eastAsia="zh-CN"/>
        </w:rPr>
        <w:t>1、付款方式：按月支付费用，每月1日至5日乙方向甲方提交上月出勤人员考勤表及人员月考核确认单，经双方核对无误后，甲方按照合同约定支付人员工资及管理服务费等，同时乙方向甲方提供等额含税增值税普通发票。如遇特殊情况由双方另行商定后核算。</w:t>
      </w:r>
    </w:p>
    <w:p w14:paraId="4BBC3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  <w:lang w:val="en-US" w:eastAsia="zh-CN"/>
        </w:rPr>
        <w:t>2、结算方式：银行转账。</w:t>
      </w:r>
    </w:p>
    <w:p w14:paraId="0802F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  <w:lang w:val="en-US" w:eastAsia="zh-CN"/>
        </w:rPr>
        <w:t xml:space="preserve">乙方开户名称： </w:t>
      </w:r>
    </w:p>
    <w:p w14:paraId="4A72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  <w:lang w:val="en-US" w:eastAsia="zh-CN"/>
        </w:rPr>
        <w:t xml:space="preserve">银行账号： </w:t>
      </w:r>
    </w:p>
    <w:p w14:paraId="13405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  <w:lang w:val="en-US" w:eastAsia="zh-CN"/>
        </w:rPr>
        <w:t xml:space="preserve">开户行： </w:t>
      </w:r>
    </w:p>
    <w:p w14:paraId="089C8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</w:rPr>
        <w:t>考核：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  <w:lang w:val="en-US" w:eastAsia="zh-CN"/>
        </w:rPr>
        <w:t>每月1日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</w:rPr>
        <w:t>乙方向甲方提交上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  <w:lang w:val="en-US" w:eastAsia="zh-CN"/>
        </w:rPr>
        <w:t>个月物业服务人员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</w:rPr>
        <w:t>考勤表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</w:rPr>
        <w:t>同时由甲方出具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  <w:lang w:val="en-US" w:eastAsia="zh-CN"/>
        </w:rPr>
        <w:t>相关人员月度</w:t>
      </w:r>
      <w:r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none"/>
        </w:rPr>
        <w:t>考核确认单，经双方核对无误后，甲方按照合同约定金额付款，同时乙方向甲方提供等额正规发票。</w:t>
      </w:r>
    </w:p>
    <w:p w14:paraId="4C3451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2" w:firstLineChars="200"/>
        <w:textAlignment w:val="auto"/>
        <w:rPr>
          <w:rFonts w:hint="eastAsia" w:ascii="新宋体" w:hAnsi="新宋体" w:eastAsia="新宋体" w:cs="新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b/>
          <w:bCs/>
          <w:color w:val="auto"/>
          <w:sz w:val="24"/>
          <w:szCs w:val="24"/>
          <w:highlight w:val="none"/>
        </w:rPr>
        <w:t>三、服务要求</w:t>
      </w:r>
    </w:p>
    <w:p w14:paraId="663A7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长安区兴国初级中学物业服务项目</w:t>
      </w:r>
    </w:p>
    <w:p w14:paraId="2327F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服务地点：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采购人指定地点</w:t>
      </w:r>
    </w:p>
    <w:p w14:paraId="124F3E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服务期：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12个月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（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年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月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日至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年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月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日）含节假日。</w:t>
      </w:r>
    </w:p>
    <w:p w14:paraId="1A908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服务人数：根据甲方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对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校园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物业管理服务的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工作要求，乙方向甲方派驻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以下人员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，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保障校园秩序、安全、卫生清洁、设备维修养护及绿化管理等物业管理服务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工作。</w:t>
      </w:r>
    </w:p>
    <w:tbl>
      <w:tblPr>
        <w:tblStyle w:val="1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2574"/>
        <w:gridCol w:w="2499"/>
        <w:gridCol w:w="2253"/>
      </w:tblGrid>
      <w:tr w14:paraId="62E81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00" w:type="pct"/>
            <w:noWrap w:val="0"/>
            <w:vAlign w:val="center"/>
          </w:tcPr>
          <w:p w14:paraId="6DA53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10" w:type="pct"/>
            <w:noWrap w:val="0"/>
            <w:vAlign w:val="center"/>
          </w:tcPr>
          <w:p w14:paraId="4B89A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岗位</w:t>
            </w:r>
          </w:p>
        </w:tc>
        <w:tc>
          <w:tcPr>
            <w:tcW w:w="1466" w:type="pct"/>
            <w:noWrap w:val="0"/>
            <w:vAlign w:val="center"/>
          </w:tcPr>
          <w:p w14:paraId="34DA3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配备人数（人）</w:t>
            </w:r>
          </w:p>
        </w:tc>
        <w:tc>
          <w:tcPr>
            <w:tcW w:w="1321" w:type="pct"/>
            <w:noWrap w:val="0"/>
            <w:vAlign w:val="center"/>
          </w:tcPr>
          <w:p w14:paraId="1C05AA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服务期</w:t>
            </w:r>
          </w:p>
        </w:tc>
      </w:tr>
      <w:tr w14:paraId="3AF90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00" w:type="pct"/>
            <w:shd w:val="clear" w:color="auto" w:fill="auto"/>
            <w:noWrap w:val="0"/>
            <w:vAlign w:val="center"/>
          </w:tcPr>
          <w:p w14:paraId="60F45E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10" w:type="pct"/>
            <w:noWrap w:val="0"/>
            <w:vAlign w:val="center"/>
          </w:tcPr>
          <w:p w14:paraId="744209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管理</w:t>
            </w:r>
          </w:p>
        </w:tc>
        <w:tc>
          <w:tcPr>
            <w:tcW w:w="1466" w:type="pct"/>
            <w:noWrap w:val="0"/>
            <w:vAlign w:val="center"/>
          </w:tcPr>
          <w:p w14:paraId="38C6A9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21" w:type="pct"/>
            <w:noWrap w:val="0"/>
            <w:vAlign w:val="center"/>
          </w:tcPr>
          <w:p w14:paraId="42F429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A7C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00" w:type="pct"/>
            <w:shd w:val="clear" w:color="auto" w:fill="auto"/>
            <w:noWrap w:val="0"/>
            <w:vAlign w:val="center"/>
          </w:tcPr>
          <w:p w14:paraId="056B9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10" w:type="pct"/>
            <w:noWrap w:val="0"/>
            <w:vAlign w:val="center"/>
          </w:tcPr>
          <w:p w14:paraId="1EDEA4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保洁</w:t>
            </w:r>
          </w:p>
        </w:tc>
        <w:tc>
          <w:tcPr>
            <w:tcW w:w="1466" w:type="pct"/>
            <w:noWrap w:val="0"/>
            <w:vAlign w:val="center"/>
          </w:tcPr>
          <w:p w14:paraId="1F04C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21" w:type="pct"/>
            <w:vMerge w:val="restart"/>
            <w:noWrap w:val="0"/>
            <w:vAlign w:val="center"/>
          </w:tcPr>
          <w:p w14:paraId="6138F9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自合同签订之日起12个月</w:t>
            </w:r>
          </w:p>
        </w:tc>
      </w:tr>
      <w:tr w14:paraId="60BA2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00" w:type="pct"/>
            <w:shd w:val="clear" w:color="auto" w:fill="auto"/>
            <w:noWrap w:val="0"/>
            <w:vAlign w:val="center"/>
          </w:tcPr>
          <w:p w14:paraId="78F238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10" w:type="pct"/>
            <w:noWrap w:val="0"/>
            <w:vAlign w:val="center"/>
          </w:tcPr>
          <w:p w14:paraId="290C5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楼管</w:t>
            </w:r>
          </w:p>
        </w:tc>
        <w:tc>
          <w:tcPr>
            <w:tcW w:w="1466" w:type="pct"/>
            <w:noWrap w:val="0"/>
            <w:vAlign w:val="center"/>
          </w:tcPr>
          <w:p w14:paraId="41C158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21" w:type="pct"/>
            <w:vMerge w:val="continue"/>
            <w:noWrap w:val="0"/>
            <w:vAlign w:val="center"/>
          </w:tcPr>
          <w:p w14:paraId="1AED1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cstheme="minorBidi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6E872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00" w:type="pct"/>
            <w:shd w:val="clear" w:color="auto" w:fill="auto"/>
            <w:noWrap w:val="0"/>
            <w:vAlign w:val="center"/>
          </w:tcPr>
          <w:p w14:paraId="28223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10" w:type="pct"/>
            <w:shd w:val="clear" w:color="auto" w:fill="auto"/>
            <w:noWrap w:val="0"/>
            <w:vAlign w:val="center"/>
          </w:tcPr>
          <w:p w14:paraId="727DE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保安</w:t>
            </w:r>
          </w:p>
        </w:tc>
        <w:tc>
          <w:tcPr>
            <w:tcW w:w="1466" w:type="pct"/>
            <w:shd w:val="clear" w:color="auto" w:fill="auto"/>
            <w:noWrap w:val="0"/>
            <w:vAlign w:val="center"/>
          </w:tcPr>
          <w:p w14:paraId="5164FF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21" w:type="pct"/>
            <w:vMerge w:val="continue"/>
            <w:noWrap w:val="0"/>
            <w:vAlign w:val="center"/>
          </w:tcPr>
          <w:p w14:paraId="209C7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cstheme="minorBidi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53869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00" w:type="pct"/>
            <w:shd w:val="clear" w:color="auto" w:fill="auto"/>
            <w:noWrap w:val="0"/>
            <w:vAlign w:val="center"/>
          </w:tcPr>
          <w:p w14:paraId="0815D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10" w:type="pct"/>
            <w:shd w:val="clear" w:color="auto" w:fill="auto"/>
            <w:noWrap w:val="0"/>
            <w:vAlign w:val="center"/>
          </w:tcPr>
          <w:p w14:paraId="0B2C6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工</w:t>
            </w:r>
          </w:p>
        </w:tc>
        <w:tc>
          <w:tcPr>
            <w:tcW w:w="1466" w:type="pct"/>
            <w:shd w:val="clear" w:color="auto" w:fill="auto"/>
            <w:noWrap w:val="0"/>
            <w:vAlign w:val="center"/>
          </w:tcPr>
          <w:p w14:paraId="1B08E3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21" w:type="pct"/>
            <w:vMerge w:val="continue"/>
            <w:noWrap w:val="0"/>
            <w:vAlign w:val="center"/>
          </w:tcPr>
          <w:p w14:paraId="6D3EFC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cstheme="minorBidi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0CB48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00" w:type="pct"/>
            <w:shd w:val="clear" w:color="auto" w:fill="auto"/>
            <w:noWrap w:val="0"/>
            <w:vAlign w:val="center"/>
          </w:tcPr>
          <w:p w14:paraId="5C4B6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10" w:type="pct"/>
            <w:shd w:val="clear" w:color="auto" w:fill="auto"/>
            <w:noWrap w:val="0"/>
            <w:vAlign w:val="center"/>
          </w:tcPr>
          <w:p w14:paraId="3AA4C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花工</w:t>
            </w:r>
          </w:p>
        </w:tc>
        <w:tc>
          <w:tcPr>
            <w:tcW w:w="1466" w:type="pct"/>
            <w:shd w:val="clear" w:color="auto" w:fill="auto"/>
            <w:noWrap w:val="0"/>
            <w:vAlign w:val="center"/>
          </w:tcPr>
          <w:p w14:paraId="5DCCB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21" w:type="pct"/>
            <w:vMerge w:val="continue"/>
            <w:noWrap w:val="0"/>
            <w:vAlign w:val="center"/>
          </w:tcPr>
          <w:p w14:paraId="519D9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cstheme="minorBidi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</w:tbl>
    <w:p w14:paraId="4796D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60" w:lineRule="auto"/>
        <w:ind w:left="0"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乙方要做好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本校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招生入学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培训考试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及重大活动的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安全秩序、环境卫生保障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工作。</w:t>
      </w:r>
    </w:p>
    <w:p w14:paraId="70AD7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6、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如遇应急突发事件，乙方应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安排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人员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及时处理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。</w:t>
      </w:r>
    </w:p>
    <w:p w14:paraId="3671E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bCs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注：甲方有权根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据实际工作量变化减少服务内容及合同金额，但不接受追加金额。</w:t>
      </w:r>
    </w:p>
    <w:p w14:paraId="372EF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2" w:firstLineChars="200"/>
        <w:textAlignment w:val="auto"/>
        <w:rPr>
          <w:rFonts w:hint="eastAsia" w:ascii="新宋体" w:hAnsi="新宋体" w:eastAsia="新宋体" w:cs="新宋体"/>
          <w:b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b/>
          <w:color w:val="auto"/>
          <w:sz w:val="24"/>
          <w:szCs w:val="24"/>
          <w:highlight w:val="none"/>
        </w:rPr>
        <w:t>四、质量保证</w:t>
      </w:r>
    </w:p>
    <w:p w14:paraId="0AF83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乙方严格履行职责，制定质量保证体系，负责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相关人员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的工资、证件、业务培训、组织管理、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eastAsia="zh-CN"/>
        </w:rPr>
        <w:t>工伤保险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等福利待遇等工作，切实做好项目服务工作，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派驻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的相关人员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必须各尽其职，保证符合各项工作质量要求，如安排不当、人员不能到位影响正常工作的，视为乙方违约。每次违约，乙方需向甲方支付违约金5000元，甲方有权在本合同服务费中扣除（具体标准参照本合同第七条第四项执行）。</w:t>
      </w:r>
    </w:p>
    <w:p w14:paraId="7934C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乙方保证其派驻的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相关人员须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认真履行岗位职责，如存在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脱岗、殆岗或玩忽职守等行为，视为违约。每次违约，乙方需向甲方支付违约金5000元，甲方有权在本合同服务费中扣除，甲方有权退回当事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工作人员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。</w:t>
      </w:r>
    </w:p>
    <w:p w14:paraId="1F86D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甲方有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eastAsia="zh-CN"/>
        </w:rPr>
        <w:t>权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对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相关人员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各项工作进行监督、检查和指导，有权对不符合要求的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相关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人员提出处置意见。</w:t>
      </w:r>
    </w:p>
    <w:p w14:paraId="6A2D6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新宋体" w:hAnsi="新宋体" w:eastAsia="新宋体" w:cs="新宋体"/>
          <w:b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b/>
          <w:color w:val="auto"/>
          <w:sz w:val="24"/>
          <w:szCs w:val="24"/>
          <w:highlight w:val="none"/>
        </w:rPr>
        <w:t>五、服务职责</w:t>
      </w:r>
    </w:p>
    <w:p w14:paraId="6B6E7E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jc w:val="both"/>
        <w:textAlignment w:val="baseline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1、乙方负责为本项目派遣的所有人员办理人事档案管理，签订劳动合同，工伤事故申报、认定、赔付处理等。</w:t>
      </w:r>
    </w:p>
    <w:p w14:paraId="2CC20B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jc w:val="both"/>
        <w:textAlignment w:val="baseline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2、乙方负责发放人员薪资包括人员工资、</w:t>
      </w:r>
      <w:r>
        <w:rPr>
          <w:rFonts w:hint="eastAsia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保险、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福利、培训费用及其他费用。</w:t>
      </w:r>
    </w:p>
    <w:p w14:paraId="6B2603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jc w:val="both"/>
        <w:textAlignment w:val="baseline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3、乙方负责处理合同期内所有劳务、劳资纠纷和调节管理纠纷，及时更换不能胜任工作的相关人员，保障校园相关服务工作。</w:t>
      </w:r>
    </w:p>
    <w:p w14:paraId="742D3B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jc w:val="both"/>
        <w:textAlignment w:val="baseline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4、乙方不得随意扣发工作人员的工资和其他福利。因公司挪用相关费用所引起的一切法律责任和社会影响均由</w:t>
      </w:r>
      <w:r>
        <w:rPr>
          <w:rFonts w:hint="eastAsia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承担，甲方有权提前终止服务合同。</w:t>
      </w:r>
    </w:p>
    <w:p w14:paraId="6F6802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5、乙方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及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派遣的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相关人员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必须严格遵守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学校的相关管理制度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，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乙方负责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建立健全岗位责任制度和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相关人员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管理制度、各种紧急（突发）事件应对处置预案等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劳务人员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管理制度体系，并加强对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的管理。</w:t>
      </w:r>
    </w:p>
    <w:p w14:paraId="29E7C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新宋体" w:hAnsi="新宋体" w:eastAsia="新宋体" w:cs="新宋体"/>
          <w:b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b/>
          <w:color w:val="auto"/>
          <w:sz w:val="24"/>
          <w:szCs w:val="24"/>
          <w:highlight w:val="none"/>
        </w:rPr>
        <w:t>六、其它事项</w:t>
      </w:r>
    </w:p>
    <w:p w14:paraId="7C15A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乙方不得将本项目转让、分包给其它任何单位或个人。</w:t>
      </w:r>
    </w:p>
    <w:p w14:paraId="6EE71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乙方的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投标响应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文件和承诺等内容是本合同的组成部分，与本合同具有同等法律效力。</w:t>
      </w:r>
    </w:p>
    <w:p w14:paraId="48867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乙方保证和承诺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其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向甲方派驻的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相关人员均与乙方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签订了书面劳动合同，并且按时发工资并按时、足额缴纳社会保险。若因派驻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相关人员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发生的劳动纠纷由乙方负责解决和赔偿。</w:t>
      </w:r>
    </w:p>
    <w:p w14:paraId="104FD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4、相关人员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在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工作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范围内因工作致伤、致残、致死等情况产生的一切纠纷及赔偿由乙方负责，与甲方无关。</w:t>
      </w:r>
    </w:p>
    <w:p w14:paraId="068E2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新宋体" w:hAnsi="新宋体" w:eastAsia="新宋体" w:cs="新宋体"/>
          <w:b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b/>
          <w:color w:val="auto"/>
          <w:sz w:val="24"/>
          <w:szCs w:val="24"/>
          <w:highlight w:val="none"/>
        </w:rPr>
        <w:t>七、违约责任</w:t>
      </w:r>
    </w:p>
    <w:p w14:paraId="17A8E96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按《中华人民共和国民法典》中的相关条款执行。</w:t>
      </w:r>
    </w:p>
    <w:p w14:paraId="7CBD7AA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未按合同要求提供服务或服务质量不能满足本次采购要求，甲方有权终止合同和对乙方违约行为进行追究，同时按政府采购法的有关规定进行相应的处罚。</w:t>
      </w:r>
    </w:p>
    <w:p w14:paraId="09D4349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本合同在执行过程中，若遇到不可抗力的因素而影响本合同正常执行或需要修改、变更合同内容的，经双方协商一致后，可另签订补充协议，与合同具有同等法律效力。</w:t>
      </w:r>
    </w:p>
    <w:p w14:paraId="41B8CD3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</w:rPr>
        <w:t>乙方应认真履行职责，若不按合同规定履行其职责，视为违约，每次违约，乙方须向甲方支付违约金5000元；</w:t>
      </w:r>
      <w:r>
        <w:rPr>
          <w:rFonts w:hint="eastAsia" w:ascii="新宋体" w:hAnsi="新宋体" w:eastAsia="新宋体" w:cs="新宋体"/>
          <w:color w:val="auto"/>
          <w:sz w:val="24"/>
          <w:szCs w:val="24"/>
        </w:rPr>
        <w:t>乙方累计两次违约，甲方有权单方面解除本合同，乙方须向甲方支付合同总价20%的违约金。</w:t>
      </w:r>
    </w:p>
    <w:p w14:paraId="628A1EE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lang w:val="en-US" w:eastAsia="zh-CN"/>
        </w:rPr>
        <w:t>5、</w:t>
      </w:r>
      <w:r>
        <w:rPr>
          <w:rFonts w:hint="eastAsia" w:ascii="新宋体" w:hAnsi="新宋体" w:eastAsia="新宋体" w:cs="新宋体"/>
          <w:color w:val="auto"/>
          <w:sz w:val="24"/>
          <w:szCs w:val="24"/>
        </w:rPr>
        <w:t>合同履行期间，因乙方派驻的</w:t>
      </w:r>
      <w:r>
        <w:rPr>
          <w:rFonts w:hint="eastAsia" w:ascii="新宋体" w:hAnsi="新宋体" w:eastAsia="新宋体" w:cs="新宋体"/>
          <w:color w:val="auto"/>
          <w:sz w:val="24"/>
          <w:szCs w:val="24"/>
          <w:lang w:val="en-US" w:eastAsia="zh-CN"/>
        </w:rPr>
        <w:t>相关人员</w:t>
      </w:r>
      <w:r>
        <w:rPr>
          <w:rFonts w:hint="eastAsia" w:ascii="新宋体" w:hAnsi="新宋体" w:eastAsia="新宋体" w:cs="新宋体"/>
          <w:color w:val="auto"/>
          <w:sz w:val="24"/>
          <w:szCs w:val="24"/>
        </w:rPr>
        <w:t>造成的责任事故，由乙方承担相应责任。</w:t>
      </w:r>
    </w:p>
    <w:p w14:paraId="6156B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360" w:lineRule="auto"/>
        <w:ind w:firstLine="482" w:firstLineChars="200"/>
        <w:textAlignment w:val="auto"/>
        <w:rPr>
          <w:rFonts w:hint="eastAsia" w:ascii="新宋体" w:hAnsi="新宋体" w:eastAsia="新宋体" w:cs="新宋体"/>
          <w:b/>
          <w:color w:val="auto"/>
          <w:sz w:val="24"/>
          <w:szCs w:val="24"/>
        </w:rPr>
      </w:pPr>
      <w:r>
        <w:rPr>
          <w:rFonts w:hint="eastAsia" w:ascii="新宋体" w:hAnsi="新宋体" w:eastAsia="新宋体" w:cs="新宋体"/>
          <w:b/>
          <w:color w:val="auto"/>
          <w:sz w:val="24"/>
          <w:szCs w:val="24"/>
        </w:rPr>
        <w:t>八、合同争议解决的方式</w:t>
      </w:r>
    </w:p>
    <w:p w14:paraId="7DC8A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</w:rPr>
        <w:t>本合同在履行过程中发生的争议，由甲、乙双方当事人协商解决，协商不成的按下列</w:t>
      </w:r>
      <w:r>
        <w:rPr>
          <w:rFonts w:hint="eastAsia" w:ascii="新宋体" w:hAnsi="新宋体" w:eastAsia="新宋体" w:cs="新宋体"/>
          <w:color w:val="auto"/>
          <w:sz w:val="24"/>
          <w:szCs w:val="24"/>
          <w:u w:val="none"/>
        </w:rPr>
        <w:t>第</w:t>
      </w:r>
      <w:r>
        <w:rPr>
          <w:rFonts w:hint="eastAsia" w:ascii="新宋体" w:hAnsi="新宋体" w:eastAsia="新宋体" w:cs="新宋体"/>
          <w:color w:val="auto"/>
          <w:sz w:val="24"/>
          <w:szCs w:val="24"/>
          <w:u w:val="single"/>
          <w:lang w:val="en-US" w:eastAsia="zh-CN"/>
        </w:rPr>
        <w:t xml:space="preserve"> 1 </w:t>
      </w:r>
      <w:r>
        <w:rPr>
          <w:rFonts w:hint="eastAsia" w:ascii="新宋体" w:hAnsi="新宋体" w:eastAsia="新宋体" w:cs="新宋体"/>
          <w:color w:val="auto"/>
          <w:sz w:val="24"/>
          <w:szCs w:val="24"/>
        </w:rPr>
        <w:t>种方式解决：</w:t>
      </w:r>
    </w:p>
    <w:p w14:paraId="3F56A9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新宋体" w:hAnsi="新宋体" w:eastAsia="新宋体" w:cs="新宋体"/>
          <w:color w:val="auto"/>
          <w:sz w:val="24"/>
          <w:szCs w:val="24"/>
        </w:rPr>
        <w:t>甲、乙双方均同意向</w:t>
      </w:r>
      <w:r>
        <w:rPr>
          <w:rFonts w:hint="eastAsia" w:ascii="新宋体" w:hAnsi="新宋体" w:eastAsia="新宋体" w:cs="新宋体"/>
          <w:color w:val="auto"/>
          <w:sz w:val="24"/>
          <w:szCs w:val="24"/>
          <w:lang w:val="en-US" w:eastAsia="zh-CN"/>
        </w:rPr>
        <w:t>项</w:t>
      </w:r>
      <w:r>
        <w:rPr>
          <w:rFonts w:hint="eastAsia" w:ascii="新宋体" w:hAnsi="新宋体" w:eastAsia="新宋体" w:cs="新宋体"/>
          <w:color w:val="auto"/>
          <w:sz w:val="24"/>
          <w:szCs w:val="24"/>
        </w:rPr>
        <w:t>目所在地（甲方所在地人民法院）提起诉讼；</w:t>
      </w:r>
    </w:p>
    <w:p w14:paraId="2B297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新宋体" w:hAnsi="新宋体" w:eastAsia="新宋体" w:cs="新宋体"/>
          <w:color w:val="auto"/>
          <w:sz w:val="24"/>
          <w:szCs w:val="24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新宋体" w:hAnsi="新宋体" w:eastAsia="新宋体" w:cs="新宋体"/>
          <w:color w:val="auto"/>
          <w:sz w:val="24"/>
          <w:szCs w:val="24"/>
        </w:rPr>
        <w:t>甲、乙双方均同意向项目所在地（仲裁委员会）提起仲裁。</w:t>
      </w:r>
    </w:p>
    <w:p w14:paraId="1EDFB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 w:val="0"/>
        <w:spacing w:line="360" w:lineRule="auto"/>
        <w:ind w:firstLine="482" w:firstLineChars="200"/>
        <w:textAlignment w:val="auto"/>
        <w:rPr>
          <w:rFonts w:hint="eastAsia" w:ascii="新宋体" w:hAnsi="新宋体" w:eastAsia="新宋体" w:cs="新宋体"/>
          <w:b/>
          <w:color w:val="auto"/>
          <w:sz w:val="24"/>
          <w:szCs w:val="24"/>
        </w:rPr>
      </w:pPr>
      <w:r>
        <w:rPr>
          <w:rFonts w:hint="eastAsia" w:ascii="新宋体" w:hAnsi="新宋体" w:eastAsia="新宋体" w:cs="新宋体"/>
          <w:b/>
          <w:color w:val="auto"/>
          <w:sz w:val="24"/>
          <w:szCs w:val="24"/>
        </w:rPr>
        <w:t>九、其他</w:t>
      </w:r>
    </w:p>
    <w:p w14:paraId="7634BA4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76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cs="宋体"/>
          <w:color w:val="auto"/>
          <w:spacing w:val="-1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本合同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val="en-US" w:eastAsia="zh-CN"/>
        </w:rPr>
        <w:t>自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甲、乙双方签字盖章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val="en-US" w:eastAsia="zh-CN"/>
        </w:rPr>
        <w:t>之日起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生效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合同未尽事宜、由甲、乙双方协商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val="en-US" w:eastAsia="zh-CN"/>
        </w:rPr>
        <w:t>解决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，作为合同补充，与原合同具有同等法律效力。</w:t>
      </w:r>
    </w:p>
    <w:p w14:paraId="3CC7014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72" w:firstLineChars="200"/>
        <w:textAlignment w:val="auto"/>
        <w:rPr>
          <w:rFonts w:hint="eastAsia" w:ascii="宋体" w:hAnsi="宋体" w:eastAsia="宋体" w:cs="宋体"/>
          <w:color w:val="auto"/>
          <w:spacing w:val="-2"/>
          <w:sz w:val="24"/>
          <w:szCs w:val="24"/>
        </w:rPr>
      </w:pPr>
      <w:r>
        <w:rPr>
          <w:rFonts w:hint="eastAsia" w:cs="宋体"/>
          <w:color w:val="auto"/>
          <w:spacing w:val="-2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</w:rPr>
        <w:t>本合同一式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u w:val="single"/>
        </w:rPr>
        <w:t>肆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</w:rPr>
        <w:t>份，甲方执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u w:val="single"/>
        </w:rPr>
        <w:t>贰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</w:rPr>
        <w:t>份，乙方执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u w:val="single"/>
        </w:rPr>
        <w:t>贰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</w:rPr>
        <w:t>份。</w:t>
      </w:r>
    </w:p>
    <w:p w14:paraId="4780543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72" w:firstLineChars="200"/>
        <w:textAlignment w:val="auto"/>
        <w:rPr>
          <w:color w:val="auto"/>
          <w:sz w:val="24"/>
          <w:szCs w:val="24"/>
        </w:rPr>
      </w:pPr>
      <w:r>
        <w:rPr>
          <w:rFonts w:hint="eastAsia" w:cs="宋体"/>
          <w:color w:val="auto"/>
          <w:spacing w:val="-2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</w:rPr>
        <w:t>合同履行完后自动终止。</w:t>
      </w:r>
    </w:p>
    <w:tbl>
      <w:tblPr>
        <w:tblStyle w:val="16"/>
        <w:tblpPr w:leftFromText="180" w:rightFromText="180" w:vertAnchor="text" w:horzAnchor="page" w:tblpXSpec="center" w:tblpY="456"/>
        <w:tblOverlap w:val="never"/>
        <w:tblW w:w="853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49"/>
        <w:gridCol w:w="4590"/>
      </w:tblGrid>
      <w:tr w14:paraId="2ED0AB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3949" w:type="dxa"/>
            <w:shd w:val="clear" w:color="auto" w:fill="D7D7D7"/>
            <w:noWrap w:val="0"/>
            <w:vAlign w:val="top"/>
          </w:tcPr>
          <w:p w14:paraId="6C831D2B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eastAsia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甲方</w:t>
            </w:r>
          </w:p>
        </w:tc>
        <w:tc>
          <w:tcPr>
            <w:tcW w:w="4590" w:type="dxa"/>
            <w:shd w:val="clear" w:color="auto" w:fill="D7D7D7"/>
            <w:noWrap w:val="0"/>
            <w:vAlign w:val="top"/>
          </w:tcPr>
          <w:p w14:paraId="03E7ADE7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eastAsia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sz w:val="24"/>
                <w:szCs w:val="24"/>
                <w:lang w:val="en-US" w:eastAsia="zh-CN"/>
              </w:rPr>
              <w:t>乙方</w:t>
            </w:r>
          </w:p>
        </w:tc>
      </w:tr>
      <w:tr w14:paraId="264666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3949" w:type="dxa"/>
            <w:noWrap w:val="0"/>
            <w:vAlign w:val="center"/>
          </w:tcPr>
          <w:p w14:paraId="5EA17D11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2"/>
                <w:sz w:val="24"/>
                <w:szCs w:val="24"/>
              </w:rPr>
              <w:t>采购人（公章）</w:t>
            </w:r>
          </w:p>
        </w:tc>
        <w:tc>
          <w:tcPr>
            <w:tcW w:w="4590" w:type="dxa"/>
            <w:noWrap w:val="0"/>
            <w:vAlign w:val="center"/>
          </w:tcPr>
          <w:p w14:paraId="3CE45D91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2"/>
                <w:sz w:val="24"/>
                <w:szCs w:val="24"/>
              </w:rPr>
              <w:t>成交单位（公章）</w:t>
            </w:r>
          </w:p>
        </w:tc>
      </w:tr>
      <w:tr w14:paraId="127D32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3949" w:type="dxa"/>
            <w:noWrap w:val="0"/>
            <w:vAlign w:val="center"/>
          </w:tcPr>
          <w:p w14:paraId="2C4767C2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4"/>
                <w:sz w:val="24"/>
                <w:szCs w:val="24"/>
              </w:rPr>
              <w:t>地址：</w:t>
            </w:r>
          </w:p>
        </w:tc>
        <w:tc>
          <w:tcPr>
            <w:tcW w:w="4590" w:type="dxa"/>
            <w:noWrap w:val="0"/>
            <w:vAlign w:val="center"/>
          </w:tcPr>
          <w:p w14:paraId="0D22C934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4"/>
                <w:sz w:val="24"/>
                <w:szCs w:val="24"/>
              </w:rPr>
              <w:t>地址：</w:t>
            </w:r>
          </w:p>
        </w:tc>
      </w:tr>
      <w:tr w14:paraId="07CAD1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3949" w:type="dxa"/>
            <w:noWrap w:val="0"/>
            <w:vAlign w:val="center"/>
          </w:tcPr>
          <w:p w14:paraId="57593238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10"/>
                <w:sz w:val="24"/>
                <w:szCs w:val="24"/>
              </w:rPr>
              <w:t>邮编：</w:t>
            </w:r>
          </w:p>
        </w:tc>
        <w:tc>
          <w:tcPr>
            <w:tcW w:w="4590" w:type="dxa"/>
            <w:noWrap w:val="0"/>
            <w:vAlign w:val="center"/>
          </w:tcPr>
          <w:p w14:paraId="1533F446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10"/>
                <w:sz w:val="24"/>
                <w:szCs w:val="24"/>
              </w:rPr>
              <w:t>邮编：</w:t>
            </w:r>
          </w:p>
        </w:tc>
      </w:tr>
      <w:tr w14:paraId="691CCF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3949" w:type="dxa"/>
            <w:noWrap w:val="0"/>
            <w:vAlign w:val="center"/>
          </w:tcPr>
          <w:p w14:paraId="57473619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2"/>
                <w:sz w:val="24"/>
                <w:szCs w:val="24"/>
              </w:rPr>
              <w:t>法定代表人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签字或盖章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）</w:t>
            </w:r>
            <w:r>
              <w:rPr>
                <w:color w:val="auto"/>
                <w:spacing w:val="-2"/>
                <w:sz w:val="24"/>
                <w:szCs w:val="24"/>
              </w:rPr>
              <w:t>：</w:t>
            </w:r>
          </w:p>
        </w:tc>
        <w:tc>
          <w:tcPr>
            <w:tcW w:w="4590" w:type="dxa"/>
            <w:noWrap w:val="0"/>
            <w:vAlign w:val="center"/>
          </w:tcPr>
          <w:p w14:paraId="579993AD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2"/>
                <w:sz w:val="24"/>
                <w:szCs w:val="24"/>
              </w:rPr>
              <w:t>法定代表人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签字或盖章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）</w:t>
            </w:r>
            <w:r>
              <w:rPr>
                <w:color w:val="auto"/>
                <w:spacing w:val="-2"/>
                <w:sz w:val="24"/>
                <w:szCs w:val="24"/>
              </w:rPr>
              <w:t>：</w:t>
            </w:r>
          </w:p>
        </w:tc>
      </w:tr>
      <w:tr w14:paraId="21CE36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3949" w:type="dxa"/>
            <w:noWrap w:val="0"/>
            <w:vAlign w:val="center"/>
          </w:tcPr>
          <w:p w14:paraId="07ECA0D1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2"/>
                <w:sz w:val="24"/>
                <w:szCs w:val="24"/>
              </w:rPr>
              <w:t>负责人</w:t>
            </w:r>
            <w:r>
              <w:rPr>
                <w:color w:val="auto"/>
                <w:spacing w:val="-16"/>
                <w:sz w:val="24"/>
                <w:szCs w:val="24"/>
              </w:rPr>
              <w:t>：（</w:t>
            </w:r>
            <w:r>
              <w:rPr>
                <w:color w:val="auto"/>
                <w:spacing w:val="2"/>
                <w:sz w:val="24"/>
                <w:szCs w:val="24"/>
              </w:rPr>
              <w:t>签字）</w:t>
            </w:r>
          </w:p>
        </w:tc>
        <w:tc>
          <w:tcPr>
            <w:tcW w:w="4590" w:type="dxa"/>
            <w:noWrap w:val="0"/>
            <w:vAlign w:val="center"/>
          </w:tcPr>
          <w:p w14:paraId="4348831A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2"/>
                <w:sz w:val="24"/>
                <w:szCs w:val="24"/>
              </w:rPr>
              <w:t>负责人</w:t>
            </w:r>
            <w:r>
              <w:rPr>
                <w:color w:val="auto"/>
                <w:spacing w:val="-16"/>
                <w:sz w:val="24"/>
                <w:szCs w:val="24"/>
              </w:rPr>
              <w:t>：（</w:t>
            </w:r>
            <w:r>
              <w:rPr>
                <w:color w:val="auto"/>
                <w:spacing w:val="2"/>
                <w:sz w:val="24"/>
                <w:szCs w:val="24"/>
              </w:rPr>
              <w:t>签字）</w:t>
            </w:r>
          </w:p>
        </w:tc>
      </w:tr>
      <w:tr w14:paraId="1C8055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3949" w:type="dxa"/>
            <w:noWrap w:val="0"/>
            <w:vAlign w:val="center"/>
          </w:tcPr>
          <w:p w14:paraId="34564B49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13"/>
                <w:sz w:val="24"/>
                <w:szCs w:val="24"/>
              </w:rPr>
              <w:t>电话：</w:t>
            </w:r>
          </w:p>
        </w:tc>
        <w:tc>
          <w:tcPr>
            <w:tcW w:w="4590" w:type="dxa"/>
            <w:noWrap w:val="0"/>
            <w:vAlign w:val="center"/>
          </w:tcPr>
          <w:p w14:paraId="5C304E31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13"/>
                <w:sz w:val="24"/>
                <w:szCs w:val="24"/>
              </w:rPr>
              <w:t>电话：</w:t>
            </w:r>
          </w:p>
        </w:tc>
      </w:tr>
      <w:tr w14:paraId="06C053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3949" w:type="dxa"/>
            <w:noWrap w:val="0"/>
            <w:vAlign w:val="center"/>
          </w:tcPr>
          <w:p w14:paraId="38B6B52D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3"/>
                <w:sz w:val="24"/>
                <w:szCs w:val="24"/>
              </w:rPr>
              <w:t>传真：</w:t>
            </w:r>
          </w:p>
        </w:tc>
        <w:tc>
          <w:tcPr>
            <w:tcW w:w="4590" w:type="dxa"/>
            <w:noWrap w:val="0"/>
            <w:vAlign w:val="center"/>
          </w:tcPr>
          <w:p w14:paraId="7636EFDC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3"/>
                <w:sz w:val="24"/>
                <w:szCs w:val="24"/>
              </w:rPr>
              <w:t>传真：</w:t>
            </w:r>
          </w:p>
        </w:tc>
      </w:tr>
      <w:tr w14:paraId="50E23F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3949" w:type="dxa"/>
            <w:noWrap w:val="0"/>
            <w:vAlign w:val="center"/>
          </w:tcPr>
          <w:p w14:paraId="5E2A5A49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7"/>
                <w:sz w:val="24"/>
                <w:szCs w:val="24"/>
              </w:rPr>
              <w:t>电子邮箱：</w:t>
            </w:r>
          </w:p>
        </w:tc>
        <w:tc>
          <w:tcPr>
            <w:tcW w:w="4590" w:type="dxa"/>
            <w:noWrap w:val="0"/>
            <w:vAlign w:val="center"/>
          </w:tcPr>
          <w:p w14:paraId="788B1FFD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3"/>
                <w:sz w:val="24"/>
                <w:szCs w:val="24"/>
              </w:rPr>
              <w:t>开户银行：</w:t>
            </w:r>
          </w:p>
        </w:tc>
      </w:tr>
      <w:tr w14:paraId="474F9D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3949" w:type="dxa"/>
            <w:noWrap w:val="0"/>
            <w:vAlign w:val="center"/>
          </w:tcPr>
          <w:p w14:paraId="1FDF9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4590" w:type="dxa"/>
            <w:noWrap w:val="0"/>
            <w:vAlign w:val="center"/>
          </w:tcPr>
          <w:p w14:paraId="6233B9F4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5"/>
                <w:sz w:val="24"/>
                <w:szCs w:val="24"/>
              </w:rPr>
              <w:t>账号：</w:t>
            </w:r>
          </w:p>
        </w:tc>
      </w:tr>
      <w:tr w14:paraId="46189C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3949" w:type="dxa"/>
            <w:noWrap w:val="0"/>
            <w:vAlign w:val="center"/>
          </w:tcPr>
          <w:p w14:paraId="5E9AD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4590" w:type="dxa"/>
            <w:noWrap w:val="0"/>
            <w:vAlign w:val="center"/>
          </w:tcPr>
          <w:p w14:paraId="18FB0680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8"/>
                <w:sz w:val="24"/>
                <w:szCs w:val="24"/>
              </w:rPr>
              <w:t>电子邮箱：</w:t>
            </w:r>
          </w:p>
        </w:tc>
      </w:tr>
      <w:tr w14:paraId="52580B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3949" w:type="dxa"/>
            <w:noWrap w:val="0"/>
            <w:vAlign w:val="top"/>
          </w:tcPr>
          <w:p w14:paraId="7D8EEE16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13"/>
                <w:sz w:val="24"/>
                <w:szCs w:val="24"/>
              </w:rPr>
              <w:t>日期：</w:t>
            </w:r>
            <w:r>
              <w:rPr>
                <w:color w:val="auto"/>
                <w:spacing w:val="3"/>
                <w:sz w:val="24"/>
                <w:szCs w:val="24"/>
              </w:rPr>
              <w:t xml:space="preserve">   </w:t>
            </w:r>
            <w:r>
              <w:rPr>
                <w:color w:val="auto"/>
                <w:spacing w:val="-13"/>
                <w:sz w:val="24"/>
                <w:szCs w:val="24"/>
              </w:rPr>
              <w:t>年</w:t>
            </w:r>
            <w:r>
              <w:rPr>
                <w:color w:val="auto"/>
                <w:spacing w:val="8"/>
                <w:sz w:val="24"/>
                <w:szCs w:val="24"/>
              </w:rPr>
              <w:t xml:space="preserve">  </w:t>
            </w:r>
            <w:r>
              <w:rPr>
                <w:color w:val="auto"/>
                <w:spacing w:val="-13"/>
                <w:sz w:val="24"/>
                <w:szCs w:val="24"/>
              </w:rPr>
              <w:t>月</w:t>
            </w:r>
            <w:r>
              <w:rPr>
                <w:color w:val="auto"/>
                <w:spacing w:val="25"/>
                <w:sz w:val="24"/>
                <w:szCs w:val="24"/>
              </w:rPr>
              <w:t xml:space="preserve">  </w:t>
            </w:r>
            <w:r>
              <w:rPr>
                <w:color w:val="auto"/>
                <w:spacing w:val="-13"/>
                <w:sz w:val="24"/>
                <w:szCs w:val="24"/>
              </w:rPr>
              <w:t>日</w:t>
            </w:r>
          </w:p>
        </w:tc>
        <w:tc>
          <w:tcPr>
            <w:tcW w:w="4590" w:type="dxa"/>
            <w:noWrap w:val="0"/>
            <w:vAlign w:val="top"/>
          </w:tcPr>
          <w:p w14:paraId="7788B0AE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13"/>
                <w:sz w:val="24"/>
                <w:szCs w:val="24"/>
              </w:rPr>
              <w:t>日期：</w:t>
            </w:r>
            <w:r>
              <w:rPr>
                <w:color w:val="auto"/>
                <w:spacing w:val="3"/>
                <w:sz w:val="24"/>
                <w:szCs w:val="24"/>
              </w:rPr>
              <w:t xml:space="preserve">   </w:t>
            </w:r>
            <w:r>
              <w:rPr>
                <w:color w:val="auto"/>
                <w:spacing w:val="-13"/>
                <w:sz w:val="24"/>
                <w:szCs w:val="24"/>
              </w:rPr>
              <w:t>年</w:t>
            </w:r>
            <w:r>
              <w:rPr>
                <w:color w:val="auto"/>
                <w:spacing w:val="8"/>
                <w:sz w:val="24"/>
                <w:szCs w:val="24"/>
              </w:rPr>
              <w:t xml:space="preserve">  </w:t>
            </w:r>
            <w:r>
              <w:rPr>
                <w:color w:val="auto"/>
                <w:spacing w:val="-13"/>
                <w:sz w:val="24"/>
                <w:szCs w:val="24"/>
              </w:rPr>
              <w:t>月</w:t>
            </w:r>
            <w:r>
              <w:rPr>
                <w:color w:val="auto"/>
                <w:spacing w:val="26"/>
                <w:sz w:val="24"/>
                <w:szCs w:val="24"/>
              </w:rPr>
              <w:t xml:space="preserve">  </w:t>
            </w:r>
            <w:r>
              <w:rPr>
                <w:color w:val="auto"/>
                <w:spacing w:val="-13"/>
                <w:sz w:val="24"/>
                <w:szCs w:val="24"/>
              </w:rPr>
              <w:t>日</w:t>
            </w:r>
          </w:p>
        </w:tc>
      </w:tr>
    </w:tbl>
    <w:p w14:paraId="7DB7EF03">
      <w:pPr>
        <w:spacing w:line="360" w:lineRule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383" w:right="1800" w:bottom="1383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10933F6-156F-4C62-8537-6EA1607578F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E592F52-40D9-4E77-985D-BCF4045DBBB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338FB92-FD8A-411B-AEE7-5319C6BDA236}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  <w:embedRegular r:id="rId4" w:fontKey="{1653BD1D-7B38-4294-B06B-114F43064B78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B54228"/>
    <w:rsid w:val="00382D01"/>
    <w:rsid w:val="005106BA"/>
    <w:rsid w:val="00726300"/>
    <w:rsid w:val="007708D0"/>
    <w:rsid w:val="030E6B93"/>
    <w:rsid w:val="03CF3A69"/>
    <w:rsid w:val="0443699B"/>
    <w:rsid w:val="04995026"/>
    <w:rsid w:val="06B07B82"/>
    <w:rsid w:val="078B3D54"/>
    <w:rsid w:val="0A1421D6"/>
    <w:rsid w:val="0A4A5BF8"/>
    <w:rsid w:val="0D0C5E31"/>
    <w:rsid w:val="0F2859B9"/>
    <w:rsid w:val="0F7D081D"/>
    <w:rsid w:val="13173D0A"/>
    <w:rsid w:val="139540C1"/>
    <w:rsid w:val="139A439A"/>
    <w:rsid w:val="1855387D"/>
    <w:rsid w:val="1AAE21D3"/>
    <w:rsid w:val="1B083691"/>
    <w:rsid w:val="1B9C05CC"/>
    <w:rsid w:val="1E1F7199"/>
    <w:rsid w:val="1E220F0E"/>
    <w:rsid w:val="1F49071C"/>
    <w:rsid w:val="1F6D6787"/>
    <w:rsid w:val="233F72B3"/>
    <w:rsid w:val="241C63FF"/>
    <w:rsid w:val="26232975"/>
    <w:rsid w:val="28095B17"/>
    <w:rsid w:val="29422464"/>
    <w:rsid w:val="2ACF7D27"/>
    <w:rsid w:val="2DC12B58"/>
    <w:rsid w:val="2E3A5DFF"/>
    <w:rsid w:val="2FB04AC6"/>
    <w:rsid w:val="30417061"/>
    <w:rsid w:val="31421EBF"/>
    <w:rsid w:val="33300912"/>
    <w:rsid w:val="33D12714"/>
    <w:rsid w:val="3D34540B"/>
    <w:rsid w:val="3E2148E6"/>
    <w:rsid w:val="42002B7B"/>
    <w:rsid w:val="432033BE"/>
    <w:rsid w:val="44043902"/>
    <w:rsid w:val="44962F52"/>
    <w:rsid w:val="449A6109"/>
    <w:rsid w:val="45781487"/>
    <w:rsid w:val="47B96535"/>
    <w:rsid w:val="48971EF2"/>
    <w:rsid w:val="4A370E45"/>
    <w:rsid w:val="4A59738B"/>
    <w:rsid w:val="4AB54228"/>
    <w:rsid w:val="4BB770C8"/>
    <w:rsid w:val="4D9C5D37"/>
    <w:rsid w:val="4DA30E74"/>
    <w:rsid w:val="4DC31516"/>
    <w:rsid w:val="4F7962EB"/>
    <w:rsid w:val="4FA15CB7"/>
    <w:rsid w:val="50B0607A"/>
    <w:rsid w:val="51322FB9"/>
    <w:rsid w:val="54B0031A"/>
    <w:rsid w:val="56AD4B11"/>
    <w:rsid w:val="575953F6"/>
    <w:rsid w:val="57F33EE3"/>
    <w:rsid w:val="59140E77"/>
    <w:rsid w:val="59AC5779"/>
    <w:rsid w:val="5BE74621"/>
    <w:rsid w:val="5D153C42"/>
    <w:rsid w:val="5D2E60F1"/>
    <w:rsid w:val="5D437F7D"/>
    <w:rsid w:val="5DCA1FD3"/>
    <w:rsid w:val="5F0D3AD5"/>
    <w:rsid w:val="5F1A32AE"/>
    <w:rsid w:val="60251BBC"/>
    <w:rsid w:val="60A72DA9"/>
    <w:rsid w:val="61E46378"/>
    <w:rsid w:val="61FC1B2C"/>
    <w:rsid w:val="623A6333"/>
    <w:rsid w:val="62C302B8"/>
    <w:rsid w:val="63F75FB6"/>
    <w:rsid w:val="64340620"/>
    <w:rsid w:val="680A7706"/>
    <w:rsid w:val="68E32614"/>
    <w:rsid w:val="6AC36259"/>
    <w:rsid w:val="6D365409"/>
    <w:rsid w:val="6D961F83"/>
    <w:rsid w:val="6E86191A"/>
    <w:rsid w:val="6EBF49C3"/>
    <w:rsid w:val="6F92269E"/>
    <w:rsid w:val="6FAF14A2"/>
    <w:rsid w:val="72606E27"/>
    <w:rsid w:val="728F1117"/>
    <w:rsid w:val="737D3D70"/>
    <w:rsid w:val="74581611"/>
    <w:rsid w:val="76982C90"/>
    <w:rsid w:val="782A5B6A"/>
    <w:rsid w:val="784705BF"/>
    <w:rsid w:val="78B33DB1"/>
    <w:rsid w:val="79665036"/>
    <w:rsid w:val="7B1A5C2B"/>
    <w:rsid w:val="7BD77DB7"/>
    <w:rsid w:val="7D2B5E75"/>
    <w:rsid w:val="7E6D4A02"/>
    <w:rsid w:val="7F385010"/>
    <w:rsid w:val="7FDE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Times New Roman" w:hAnsi="Times New Roman" w:eastAsia="楷体" w:cstheme="minorBidi"/>
      <w:b/>
      <w:kern w:val="44"/>
      <w:sz w:val="44"/>
    </w:rPr>
  </w:style>
  <w:style w:type="paragraph" w:styleId="4">
    <w:name w:val="heading 2"/>
    <w:next w:val="1"/>
    <w:semiHidden/>
    <w:unhideWhenUsed/>
    <w:qFormat/>
    <w:uiPriority w:val="0"/>
    <w:pPr>
      <w:keepNext/>
      <w:keepLines/>
      <w:widowControl w:val="0"/>
      <w:autoSpaceDE w:val="0"/>
      <w:autoSpaceDN w:val="0"/>
      <w:adjustRightInd w:val="0"/>
      <w:spacing w:before="120" w:line="240" w:lineRule="auto"/>
      <w:ind w:left="567" w:hanging="567"/>
      <w:jc w:val="center"/>
      <w:outlineLvl w:val="1"/>
    </w:pPr>
    <w:rPr>
      <w:rFonts w:ascii="宋体" w:hAnsi="宋体" w:eastAsia="楷体" w:cs="Times New Roman"/>
      <w:b/>
      <w:bCs/>
      <w:kern w:val="0"/>
      <w:sz w:val="28"/>
      <w:szCs w:val="20"/>
      <w:lang w:val="en-US" w:eastAsia="zh-CN" w:bidi="ar-SA"/>
    </w:rPr>
  </w:style>
  <w:style w:type="paragraph" w:styleId="5">
    <w:name w:val="heading 3"/>
    <w:next w:val="1"/>
    <w:semiHidden/>
    <w:unhideWhenUsed/>
    <w:qFormat/>
    <w:uiPriority w:val="0"/>
    <w:pPr>
      <w:keepNext/>
      <w:keepLines/>
      <w:widowControl w:val="0"/>
      <w:autoSpaceDE w:val="0"/>
      <w:autoSpaceDN w:val="0"/>
      <w:adjustRightInd w:val="0"/>
      <w:spacing w:before="360" w:after="120" w:line="240" w:lineRule="auto"/>
      <w:ind w:left="709" w:hanging="709"/>
      <w:jc w:val="left"/>
      <w:outlineLvl w:val="2"/>
    </w:pPr>
    <w:rPr>
      <w:rFonts w:ascii="宋体" w:hAnsi="宋体" w:eastAsia="楷体" w:cs="Times New Roman"/>
      <w:b/>
      <w:bCs/>
      <w:kern w:val="0"/>
      <w:sz w:val="28"/>
      <w:szCs w:val="28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7">
    <w:name w:val="Normal Indent"/>
    <w:basedOn w:val="1"/>
    <w:qFormat/>
    <w:uiPriority w:val="0"/>
    <w:pPr>
      <w:ind w:firstLine="420" w:firstLineChars="200"/>
    </w:pPr>
  </w:style>
  <w:style w:type="paragraph" w:styleId="8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kern w:val="0"/>
      <w:sz w:val="18"/>
    </w:rPr>
  </w:style>
  <w:style w:type="paragraph" w:styleId="10">
    <w:name w:val="Body Text First Indent"/>
    <w:basedOn w:val="2"/>
    <w:qFormat/>
    <w:uiPriority w:val="0"/>
    <w:pPr>
      <w:ind w:firstLine="420" w:firstLineChars="100"/>
    </w:pPr>
  </w:style>
  <w:style w:type="table" w:styleId="12">
    <w:name w:val="Table Grid"/>
    <w:basedOn w:val="11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2275</Words>
  <Characters>2288</Characters>
  <Lines>0</Lines>
  <Paragraphs>0</Paragraphs>
  <TotalTime>1</TotalTime>
  <ScaleCrop>false</ScaleCrop>
  <LinksUpToDate>false</LinksUpToDate>
  <CharactersWithSpaces>2455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2025-05-14T08:28:00Z</dcterms:created>
  <dc:creator>河北首富花少北</dc:creator>
  <cp:lastModifiedBy>gaoxi</cp:lastModifiedBy>
  <cp:lastPrinted>2025-07-08T05:31:00Z</cp:lastPrinted>
  <dcterms:modified xsi:type="dcterms:W3CDTF">2026-08-02T14:07:39Z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95E0EEF4A6C84BB8B5085D92A87996F1_11</vt:lpwstr>
  </property>
  <property fmtid="{D5CDD505-2E9C-101B-9397-08002B2CF9AE}" pid="4" name="KSOTemplateDocerSaveRecord">
    <vt:lpwstr>eyJoZGlkIjoiMDE2YTkxZmNhZDMyNGUyNjUxN2Y2YjM5ZGEyMDYzZTEiLCJ1c2VySWQiOiI1MDk3MzQ0MDUifQ==</vt:lpwstr>
  </property>
</Properties>
</file>