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版本号：SDZC2026-03120260506001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水路交通“一套表”联网直报与经济运行分析及碳排放核算技术服务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SDZC2026-031</w:t>
      </w:r>
      <w:r>
        <w:br/>
      </w:r>
      <w:r>
        <w:br/>
      </w:r>
      <w:r>
        <w:br/>
      </w:r>
    </w:p>
    <w:p>
      <w:pPr>
        <w:pStyle w:val="null3"/>
        <w:jc w:val="center"/>
        <w:outlineLvl w:val="2"/>
      </w:pPr>
      <w:r>
        <w:rPr>
          <w:rFonts w:ascii="仿宋_GB2312" w:hAnsi="仿宋_GB2312" w:cs="仿宋_GB2312" w:eastAsia="仿宋_GB2312"/>
          <w:sz w:val="28"/>
          <w:b/>
        </w:rPr>
        <w:t>陕西省水路交通事业发展中心</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陕西省水路交通事业发展中心</w:t>
      </w:r>
      <w:r>
        <w:rPr>
          <w:rFonts w:ascii="仿宋_GB2312" w:hAnsi="仿宋_GB2312" w:cs="仿宋_GB2312" w:eastAsia="仿宋_GB2312"/>
        </w:rPr>
        <w:t>委托，拟对</w:t>
      </w:r>
      <w:r>
        <w:rPr>
          <w:rFonts w:ascii="仿宋_GB2312" w:hAnsi="仿宋_GB2312" w:cs="仿宋_GB2312" w:eastAsia="仿宋_GB2312"/>
        </w:rPr>
        <w:t>水路交通“一套表”联网直报与经济运行分析及碳排放核算技术服务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SDZC2026-031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水路交通“一套表”联网直报与经济运行分析及碳排放核算技术服务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水路交通“一套表”联网直报与经济运行分析及碳排放核算技术服务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采购包1（水路交通“一套表”联网直报与经济运行分析及碳排放核算技术服务）：属于专门面向中小企业采购。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1、营业执照：提供供应商合法注册的法人或者其他组织的营业执照等证明文件、自然人的身份证明；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的2024年度或2025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文件）</w:t>
      </w:r>
    </w:p>
    <w:p>
      <w:pPr>
        <w:pStyle w:val="null3"/>
      </w:pPr>
      <w:r>
        <w:rPr>
          <w:rFonts w:ascii="仿宋_GB2312" w:hAnsi="仿宋_GB2312" w:cs="仿宋_GB2312" w:eastAsia="仿宋_GB2312"/>
        </w:rPr>
        <w:t>5、履行合同承诺：提供具有履行本合同所必需的设备和专业技术能力的说明及承诺（提供书面说明及承诺，加盖供应商公章）；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6、无违法声明：提供参加政府采购活动前三年内在经营活动中没有重大违法记录的书面声明（提供书面声明，加盖供应商公章）；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pPr>
        <w:pStyle w:val="null3"/>
      </w:pPr>
      <w:r>
        <w:rPr>
          <w:rFonts w:ascii="仿宋_GB2312" w:hAnsi="仿宋_GB2312" w:cs="仿宋_GB2312" w:eastAsia="仿宋_GB2312"/>
        </w:rPr>
        <w:t>8、磋商保证金或担保函：磋商保证金交纳凭证或担保函；（磋商保证金交纳凭证为银行凭证及基本账户证明资料，担保函为财政部门认可的政府采购信用担保机构出具）</w:t>
      </w:r>
    </w:p>
    <w:p>
      <w:pPr>
        <w:pStyle w:val="null3"/>
      </w:pPr>
      <w:r>
        <w:rPr>
          <w:rFonts w:ascii="仿宋_GB2312" w:hAnsi="仿宋_GB2312" w:cs="仿宋_GB2312" w:eastAsia="仿宋_GB2312"/>
        </w:rPr>
        <w:t>9、信用查询：不得为“信用中国”网站(http://www.creditchina.gov.cn)列入“重大税收违法失信主体、政府采购严重违法失信行为记录名单”的供应商；不得为“中国执行信息公开网”（http://zxgk.court.gov.cn/shixin/）列入“失信被执行人”的供应商；不得为中国政府采购网(http://www.ccgp.gov.cn)“政府采购严重违法失信行为记录名单”中的供应商。（此项在投标截止日当天在“信用中国”网站、中国执行信息公开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10、控股关系：单位负责人为同一人或者存在直接控股、管理关系的不同供应商，不得参加同一合同项下的政府采购活动。（此项在磋商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陕西省水路交通事业发展中心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西安市莲湖区药王洞18号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029-87320478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西安市经开区凤城八路正尚国际金融广场A座7层703（张家堡十字东南角）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郅龙（08号工位）、姚文霄、魏蕾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 1151 0000 0135 22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说明：本采购包履约保证金为合同金额的5% 注：财政预算执行时限内乙方按要求向甲方提供合同金额5%的履约保函，验收合格后，无异议，乙方提交申请，甲方一次性退还。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人在领取成交通知书时，向陕西上德招标有限公司交纳招标代理服务费。服务费收费标准参照原《国家计委关于印发&lt;招标代理服务收费管理暂行办法&gt;的通知》(计价格〔2002〕1980号)规定执行（按中标金额的1.5%收取），招标代理服务费不足陆仟元时按陆仟元收取。汇款账户： 1.开户行名称：陕西上德招标有限公司 2.开户行：西安银行股份有限公司文景路支行 3.帐号：707011510000013522 财务部联系方式：029-86673953、029-86518381、029-89299829、029-89293231 转813 备注：供应商在汇款（成交服务费）时须注明项目编号+项目简称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陕西省水路交通事业发展中心</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陕西省水路交通事业发展中心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陕西省水路交通事业发展中心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和及合同要求，符合竞争性磋商文件、成交供应商的磋商文件、澄清文件和成交通知书的要求等,乙方应严格按照上述及采购人要求实施项目服务，甲方有权对服务质量进行评估，若服务评估结果不合格，乙方应负责无偿予以重制或采取补救措施，以达到质量要求。若返工后还无法通过验收，甲方有权单方解除合同，并追回所付项目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联系人：郅龙（08号工位）、姚文霄、魏蕾</w:t>
      </w:r>
    </w:p>
    <w:p>
      <w:pPr>
        <w:pStyle w:val="null3"/>
      </w:pPr>
      <w:r>
        <w:rPr>
          <w:rFonts w:ascii="仿宋_GB2312" w:hAnsi="仿宋_GB2312" w:cs="仿宋_GB2312" w:eastAsia="仿宋_GB2312"/>
        </w:rPr>
        <w:t>联系电话：029-86673953、86518381、89299829、89293231转808</w:t>
      </w:r>
    </w:p>
    <w:p>
      <w:pPr>
        <w:pStyle w:val="null3"/>
      </w:pPr>
      <w:r>
        <w:rPr>
          <w:rFonts w:ascii="仿宋_GB2312" w:hAnsi="仿宋_GB2312" w:cs="仿宋_GB2312" w:eastAsia="仿宋_GB2312"/>
        </w:rPr>
        <w:t>地址：西安市经开区凤城八路正尚国际金融广场A座7层703（张家堡十字东南角）</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水路交通一套表联网直报与经济运行分析及碳排放核算技术服务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一套表数据相关服务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标的名称：一套表数据相关服务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一、主要功能及目标</w:t>
            </w:r>
          </w:p>
          <w:p>
            <w:pPr>
              <w:pStyle w:val="null3"/>
            </w:pPr>
            <w:r>
              <w:rPr>
                <w:rFonts w:ascii="仿宋_GB2312" w:hAnsi="仿宋_GB2312" w:cs="仿宋_GB2312" w:eastAsia="仿宋_GB2312"/>
              </w:rPr>
              <w:t>编订本年一套表报送数据成果；报送的水路运输企业</w:t>
            </w:r>
            <w:r>
              <w:rPr>
                <w:rFonts w:ascii="仿宋_GB2312" w:hAnsi="仿宋_GB2312" w:cs="仿宋_GB2312" w:eastAsia="仿宋_GB2312"/>
              </w:rPr>
              <w:t>“一套表”涉及的各类报表，指导企业填写并进行审核报送，保证报表准确及时报送。</w:t>
            </w:r>
          </w:p>
          <w:p>
            <w:pPr>
              <w:pStyle w:val="null3"/>
            </w:pPr>
            <w:r>
              <w:rPr>
                <w:rFonts w:ascii="仿宋_GB2312" w:hAnsi="仿宋_GB2312" w:cs="仿宋_GB2312" w:eastAsia="仿宋_GB2312"/>
              </w:rPr>
              <w:t>二、采购需求</w:t>
            </w:r>
          </w:p>
          <w:p>
            <w:pPr>
              <w:pStyle w:val="null3"/>
            </w:pPr>
            <w:r>
              <w:rPr>
                <w:rFonts w:ascii="仿宋_GB2312" w:hAnsi="仿宋_GB2312" w:cs="仿宋_GB2312" w:eastAsia="仿宋_GB2312"/>
              </w:rPr>
              <w:t>1.按照交通运输部相关要求，完成全省水路基本名录库经营业户信息日常更新维护工作。</w:t>
            </w:r>
          </w:p>
          <w:p>
            <w:pPr>
              <w:pStyle w:val="null3"/>
            </w:pPr>
            <w:r>
              <w:rPr>
                <w:rFonts w:ascii="仿宋_GB2312" w:hAnsi="仿宋_GB2312" w:cs="仿宋_GB2312" w:eastAsia="仿宋_GB2312"/>
              </w:rPr>
              <w:t>2.完成企业一套表联网直报工作，包括一套表运输生产情况月报、单位基本情况及能源消费情况年报的填报指导、数据催报及审定工作，并按照要求分月度整理汇总分析企业数据。</w:t>
            </w:r>
          </w:p>
          <w:p>
            <w:pPr>
              <w:pStyle w:val="null3"/>
            </w:pPr>
            <w:r>
              <w:rPr>
                <w:rFonts w:ascii="仿宋_GB2312" w:hAnsi="仿宋_GB2312" w:cs="仿宋_GB2312" w:eastAsia="仿宋_GB2312"/>
              </w:rPr>
              <w:t>3.与部统计人员保持联系，掌握报表制度变化情况，反馈报表系统存在问题。</w:t>
            </w:r>
          </w:p>
          <w:p>
            <w:pPr>
              <w:pStyle w:val="null3"/>
            </w:pPr>
            <w:r>
              <w:rPr>
                <w:rFonts w:ascii="仿宋_GB2312" w:hAnsi="仿宋_GB2312" w:cs="仿宋_GB2312" w:eastAsia="仿宋_GB2312"/>
              </w:rPr>
              <w:t>4.参加一套表统计调查制度的相关培训及业务交流会，了解报表统计最新要求。</w:t>
            </w:r>
          </w:p>
          <w:p>
            <w:pPr>
              <w:pStyle w:val="null3"/>
            </w:pPr>
            <w:r>
              <w:rPr>
                <w:rFonts w:ascii="仿宋_GB2312" w:hAnsi="仿宋_GB2312" w:cs="仿宋_GB2312" w:eastAsia="仿宋_GB2312"/>
              </w:rPr>
              <w:t>5.组织全省水路交通运输一套表统计培训会，要求覆盖至县级管理单位及所有填报企业。</w:t>
            </w:r>
          </w:p>
          <w:p>
            <w:pPr>
              <w:pStyle w:val="null3"/>
            </w:pPr>
            <w:r>
              <w:rPr>
                <w:rFonts w:ascii="仿宋_GB2312" w:hAnsi="仿宋_GB2312" w:cs="仿宋_GB2312" w:eastAsia="仿宋_GB2312"/>
              </w:rPr>
              <w:t>6.定期开展省内外统计交流及座谈会。</w:t>
            </w:r>
          </w:p>
          <w:p>
            <w:pPr>
              <w:pStyle w:val="null3"/>
            </w:pPr>
            <w:r>
              <w:rPr>
                <w:rFonts w:ascii="仿宋_GB2312" w:hAnsi="仿宋_GB2312" w:cs="仿宋_GB2312" w:eastAsia="仿宋_GB2312"/>
              </w:rPr>
              <w:t>7.开展统计数据督导检查，通过座谈、问卷调查、实地走访及电话问询等方式了解企业经营状况，规范企业数据填报。</w:t>
            </w:r>
          </w:p>
          <w:p>
            <w:pPr>
              <w:pStyle w:val="null3"/>
            </w:pPr>
            <w:r>
              <w:rPr>
                <w:rFonts w:ascii="仿宋_GB2312" w:hAnsi="仿宋_GB2312" w:cs="仿宋_GB2312" w:eastAsia="仿宋_GB2312"/>
              </w:rPr>
              <w:t>8.根据采购人要求，按季度、年度开展一套表数据分析，综合研判全省水路客货运输经济运行情况，准确把握行业发展趋势，分析存在问题，形成相应经济运行分析报告，研究下一步工作建议及措施。</w:t>
            </w:r>
          </w:p>
          <w:p>
            <w:pPr>
              <w:pStyle w:val="null3"/>
            </w:pPr>
            <w:r>
              <w:rPr>
                <w:rFonts w:ascii="仿宋_GB2312" w:hAnsi="仿宋_GB2312" w:cs="仿宋_GB2312" w:eastAsia="仿宋_GB2312"/>
              </w:rPr>
              <w:t>9.</w:t>
            </w:r>
            <w:r>
              <w:rPr>
                <w:rFonts w:ascii="仿宋_GB2312" w:hAnsi="仿宋_GB2312" w:cs="仿宋_GB2312" w:eastAsia="仿宋_GB2312"/>
              </w:rPr>
              <w:t>负责协助完成交通运输部或交通运输厅要求的各种专项调查</w:t>
            </w:r>
            <w:r>
              <w:rPr>
                <w:rFonts w:ascii="仿宋_GB2312" w:hAnsi="仿宋_GB2312" w:cs="仿宋_GB2312" w:eastAsia="仿宋_GB2312"/>
              </w:rPr>
              <w:t>。</w:t>
            </w:r>
          </w:p>
          <w:p>
            <w:pPr>
              <w:pStyle w:val="null3"/>
            </w:pPr>
            <w:r>
              <w:rPr>
                <w:rFonts w:ascii="仿宋_GB2312" w:hAnsi="仿宋_GB2312" w:cs="仿宋_GB2312" w:eastAsia="仿宋_GB2312"/>
              </w:rPr>
              <w:t>10.为各地市及填报单位提供一套表技术支持。主要通过线下及线上服务管理单位及填报企业。可根据地市需求，开展专项统计培训。</w:t>
            </w:r>
          </w:p>
          <w:p>
            <w:pPr>
              <w:pStyle w:val="null3"/>
            </w:pPr>
            <w:r>
              <w:rPr>
                <w:rFonts w:ascii="仿宋_GB2312" w:hAnsi="仿宋_GB2312" w:cs="仿宋_GB2312" w:eastAsia="仿宋_GB2312"/>
                <w:sz w:val="21"/>
              </w:rPr>
              <w:t>11.配合采购人完成各类临时性工作要求。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根据服务要求自行配备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根据服务要求自行配备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陕西省水路交通事业发展中心指定地点。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和及合同要求，符合竞争性磋商文件、成交供应商的磋商文件、澄清文件和成交通知书的要求等,乙方应严格按照上述及采购人要求实施项目服务，甲方有权对服务质量进行评估，若服务评估结果不合格，乙方应负责无偿予以重制或采取补救措施，以达到质量要求。若返工后还无法通过验收，甲方有权单方解除合同，并追回所付项目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合同签订后，乙方向甲方开具等额发票，甲方在收到发票后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财政预算执行时限内乙方提供履约保函（合同总金额的5%）及甲方认可的阶段性成果后，乙方向甲方开具等额发票，甲方在收到发票后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按《中华人民共和国民法典》中的相关条款执行。 2.未按合同要求提供服务或服务质量不能满足技术要求，采购人有权终止合同，并对供方违约行为进行追究，同时按《中华人民共和国政府采购法》的有关规定进行处罚。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1、成交人在领取成交通知书时提供一正两副纸质竞争性磋商响应文件。 装订：纸质竞争性磋商响应文件采用书籍（胶装）方式装订成册，与电子版文件一致的签字、盖章的完整版本，编制书脊（注明项目名称、项目编号）。 2.退还磋商保证金2.1在磋商截止时间前撤回已提交磋商响应文件的供应商的磋商保证金，将在采购代理机构收到供应商书面撤回通知之日起5个工作日内退还；2.2所有未成交供应商的磋商保证金，将在成交通知书发出后5个工作日内退还；2.3成交的供应商的磋商保证金在签订合同后，执合同予以5个工作日内退还。3.如磋商发生下列情况之一时，磋商保证金将不予退还，提供担保函的供应商将由专业担保机构先行偿付采购人损失：3.1供应商提供虚假资质谋取成交的；3.2供应商有围标、串标现象，经查证属实的；3.3供应商在竞争性磋商文件规定的磋商响应有效期内撤回磋商响应文件的；3.4供应商自行放弃成交资格的；3.5成交供应商不在规定的时效内领取《成交通知书》的；3.6成交供应商不按规定支付招标代理服务费的；3.7成交供应商因自身原因未能在规定期限内与采购人签订合同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供应商需在项目电子化交易系统中按要求上传相应证明文件并进行电子签章。此项审查内容与特定资格条件中的第二项“财务状况报告”为同一审查内容。</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供应商需在项目电子化交易系统中按要求填写《投标函》完成承诺并进行电子签章。此项审查内容与特定资格条件中的第十项“控股关系查询”为同一审查内容。</w:t>
            </w:r>
          </w:p>
        </w:tc>
        <w:tc>
          <w:tcPr>
            <w:tcW w:type="dxa" w:w="1661"/>
          </w:tcPr>
          <w:p>
            <w:pPr>
              <w:pStyle w:val="null3"/>
            </w:pPr>
            <w:r>
              <w:rPr>
                <w:rFonts w:ascii="仿宋_GB2312" w:hAnsi="仿宋_GB2312" w:cs="仿宋_GB2312" w:eastAsia="仿宋_GB2312"/>
              </w:rPr>
              <w:t>供应商资格要求.docx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或2025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磋商保证金或担保函</w:t>
            </w:r>
          </w:p>
        </w:tc>
        <w:tc>
          <w:tcPr>
            <w:tcW w:type="dxa" w:w="3322"/>
          </w:tcPr>
          <w:p>
            <w:pPr>
              <w:pStyle w:val="null3"/>
            </w:pPr>
            <w:r>
              <w:rPr>
                <w:rFonts w:ascii="仿宋_GB2312" w:hAnsi="仿宋_GB2312" w:cs="仿宋_GB2312" w:eastAsia="仿宋_GB2312"/>
              </w:rPr>
              <w:t>磋商保证金交纳凭证或担保函；（磋商保证金交纳凭证为银行凭证及基本账户证明资料，担保函为财政部门认可的政府采购信用担保机构出具）</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重大税收违法失信主体、政府采购严重违法失信行为记录名单”的供应商；不得为“中国执行信息公开网”（http://zxgk.court.gov.cn/shixin/）列入“失信被执行人”的供应商；不得为中国政府采购网(http://www.ccgp.gov.cn)“政府采购严重违法失信行为记录名单”中的供应商。（此项在投标截止日当天在“信用中国”网站、中国执行信息公开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在磋商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根据《关于推动解决政府采购异常低价问题的通知》（财库〔2026〕2号）规定，出现下列情形之一的，评审委员会应当启动异常低价投标（响应）审查程序： 3.1投标（响应）报价低于全部通过符合性审查供应商投标（响应）报价平均值50%的，即投标（响应）报价&lt;全部通过符合性审查供应商投标（响应）报价平均值×50%； 3.2投标（响应）报价低于通过符合性审查的次低报价供应商投标（响应）报价50%的，即投标（响应）报价&lt;通过符合性审查的次低报价供应商投标（响应）报价×50%； 3.3投标（响应）报价低于采购项目最高限价45%的，即投标（响应）报价&lt;采购项目最高限价×45%； 3.4评审委员会基于专业判断，认为供应商报价过低，有可能影响产品质量或者不能诚信履约的其他情形。 相关供应商在评审现场合理的时间内对投标（响应）价格作出解释，提供项目具体成本测算等与报价合理性相关的书面说明及必要的证明材料，包括但不限于原材料成本、人工成本、制造费用等；其中，属于3.3项情形，供应商已随投标（响应）文件一并提交相关书面说明及必要的证明材料的，在评审现场可不再重复提交。投标（响应）供应商不能提供书面说明、证明材料，或者提供的书面说明、证明材料不能证明其报价合理性的，评审委员会应当将其作为无效投标（响应）处理。 相关法律法规对供应商报价有规定的，从其规定。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除明确允许供应商可以自行编写的外，磋商响应文件按照磋商文件给定的格式编制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中小企业声明函 授权委托书.docx 工作进度计划保障措施.docx 项目团队配置.docx 服务承诺.docx 企业业绩.docx 承诺书.docx 质量管理措施.docx 响应文件封面 分项报价表.docx 供应商资格要求.docx 残疾人福利性单位声明函 拒绝政府采购领域商业贿赂承诺书.docx 标的清单 实施方案.docx 供应商认为有必要说明的事宜.docx 响应函 监狱企业的证明文件 技术、服务、商务及其他要求响应偏离表.docx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磋商响应文件按照磋商文件的要求盖章签字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中小企业声明函 授权委托书.docx 工作进度计划保障措施.docx 项目团队配置.docx 服务承诺.docx 企业业绩.docx 承诺书.docx 质量管理措施.docx 响应文件封面 分项报价表.docx 供应商资格要求.docx 残疾人福利性单位声明函 拒绝政府采购领域商业贿赂承诺书.docx 标的清单 实施方案.docx 供应商认为有必要说明的事宜.docx 响应函 监狱企业的证明文件 技术、服务、商务及其他要求响应偏离表.docx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磋商报价不得超过采购预算</w:t>
            </w:r>
          </w:p>
        </w:tc>
        <w:tc>
          <w:tcPr>
            <w:tcW w:type="dxa" w:w="3322"/>
          </w:tcPr>
          <w:p>
            <w:pPr>
              <w:pStyle w:val="null3"/>
            </w:pPr>
            <w:r>
              <w:rPr>
                <w:rFonts w:ascii="仿宋_GB2312" w:hAnsi="仿宋_GB2312" w:cs="仿宋_GB2312" w:eastAsia="仿宋_GB2312"/>
              </w:rPr>
              <w:t>磋商报价是否超过采购预算</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磋商有效期符合磋商文件的要求</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对磋商文件商务要求作出明确且实质性响应</w:t>
            </w:r>
          </w:p>
        </w:tc>
        <w:tc>
          <w:tcPr>
            <w:tcW w:type="dxa" w:w="3322"/>
          </w:tcPr>
          <w:p>
            <w:pPr>
              <w:pStyle w:val="null3"/>
            </w:pPr>
            <w:r>
              <w:rPr>
                <w:rFonts w:ascii="仿宋_GB2312" w:hAnsi="仿宋_GB2312" w:cs="仿宋_GB2312" w:eastAsia="仿宋_GB2312"/>
              </w:rPr>
              <w:t>对磋商文件商务要求是否作出明确且实质性响应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对磋商文件服务内容及服务要求作出明确响应，对不得偏离的要求作出实质性响应</w:t>
            </w:r>
          </w:p>
        </w:tc>
        <w:tc>
          <w:tcPr>
            <w:tcW w:type="dxa" w:w="3322"/>
          </w:tcPr>
          <w:p>
            <w:pPr>
              <w:pStyle w:val="null3"/>
            </w:pPr>
            <w:r>
              <w:rPr>
                <w:rFonts w:ascii="仿宋_GB2312" w:hAnsi="仿宋_GB2312" w:cs="仿宋_GB2312" w:eastAsia="仿宋_GB2312"/>
              </w:rPr>
              <w:t>对磋商文件服务内容及服务要求是否作出明确响应，对不得偏离的要求是否作出了实质性响应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是否有法律、法规和磋商文件规定的其他无效响应情形</w:t>
            </w:r>
          </w:p>
        </w:tc>
        <w:tc>
          <w:tcPr>
            <w:tcW w:type="dxa" w:w="1661"/>
          </w:tcPr>
          <w:p>
            <w:pPr>
              <w:pStyle w:val="null3"/>
            </w:pPr>
            <w:r>
              <w:rPr>
                <w:rFonts w:ascii="仿宋_GB2312" w:hAnsi="仿宋_GB2312" w:cs="仿宋_GB2312" w:eastAsia="仿宋_GB2312"/>
              </w:rPr>
              <w:t>中小企业声明函 授权委托书.docx 工作进度计划保障措施.docx 项目团队配置.docx 服务承诺.docx 企业业绩.docx 承诺书.docx 质量管理措施.docx 响应文件封面 分项报价表.docx 供应商资格要求.docx 残疾人福利性单位声明函 拒绝政府采购领域商业贿赂承诺书.docx 标的清单 实施方案.docx 供应商认为有必要说明的事宜.docx 响应函 监狱企业的证明文件 技术、服务、商务及其他要求响应偏离表.docx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磋商响应文件含有采购人不能接受的附加条件</w:t>
            </w:r>
          </w:p>
        </w:tc>
        <w:tc>
          <w:tcPr>
            <w:tcW w:type="dxa" w:w="3322"/>
          </w:tcPr>
          <w:p>
            <w:pPr>
              <w:pStyle w:val="null3"/>
            </w:pPr>
            <w:r>
              <w:rPr>
                <w:rFonts w:ascii="仿宋_GB2312" w:hAnsi="仿宋_GB2312" w:cs="仿宋_GB2312" w:eastAsia="仿宋_GB2312"/>
              </w:rPr>
              <w:t>磋商响应文件是否含有采购人不能接受的附加条件</w:t>
            </w:r>
          </w:p>
        </w:tc>
        <w:tc>
          <w:tcPr>
            <w:tcW w:type="dxa" w:w="1661"/>
          </w:tcPr>
          <w:p>
            <w:pPr>
              <w:pStyle w:val="null3"/>
            </w:pPr>
            <w:r>
              <w:rPr>
                <w:rFonts w:ascii="仿宋_GB2312" w:hAnsi="仿宋_GB2312" w:cs="仿宋_GB2312" w:eastAsia="仿宋_GB2312"/>
              </w:rPr>
              <w:t>中小企业声明函 授权委托书.docx 工作进度计划保障措施.docx 项目团队配置.docx 服务承诺.docx 企业业绩.docx 承诺书.docx 质量管理措施.docx 响应文件封面 分项报价表.docx 供应商资格要求.docx 残疾人福利性单位声明函 拒绝政府采购领域商业贿赂承诺书.docx 标的清单 实施方案.docx 供应商认为有必要说明的事宜.docx 响应函 监狱企业的证明文件 技术、服务、商务及其他要求响应偏离表.docx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制定实施方案，包括①名录库信息维护、②一套表联网直报服务、③培训与交流组织、④经济运行分析、⑤专项调查协助等方案。实施方案科学、完整、合理、具备可操作性并贴合本项目需求得15分，每缺一项内容扣3分,若上述内容存在缺陷，每出现一处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工作进度计划保障措施</w:t>
            </w:r>
          </w:p>
        </w:tc>
        <w:tc>
          <w:tcPr>
            <w:tcW w:type="dxa" w:w="2492"/>
          </w:tcPr>
          <w:p>
            <w:pPr>
              <w:pStyle w:val="null3"/>
            </w:pPr>
            <w:r>
              <w:rPr>
                <w:rFonts w:ascii="仿宋_GB2312" w:hAnsi="仿宋_GB2312" w:cs="仿宋_GB2312" w:eastAsia="仿宋_GB2312"/>
              </w:rPr>
              <w:t>供应商针对本项目提供实施进度计划，内容包括但不限于①项目实施进度计划；②项目完成进度保障措施；③突发情况的应急方案等。 以上内容专门针对本项目且阐述明晰、全面、合理得15分，每缺一项内容扣5分，若上述内容存在缺陷，每出现一处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工作进度计划保障措施.docx</w:t>
            </w:r>
          </w:p>
        </w:tc>
      </w:tr>
      <w:tr>
        <w:tc>
          <w:tcPr>
            <w:tcW w:type="dxa" w:w="831"/>
            <w:vMerge/>
          </w:tcPr>
          <w:p/>
        </w:tc>
        <w:tc>
          <w:tcPr>
            <w:tcW w:type="dxa" w:w="1661"/>
          </w:tcPr>
          <w:p>
            <w:pPr>
              <w:pStyle w:val="null3"/>
            </w:pPr>
            <w:r>
              <w:rPr>
                <w:rFonts w:ascii="仿宋_GB2312" w:hAnsi="仿宋_GB2312" w:cs="仿宋_GB2312" w:eastAsia="仿宋_GB2312"/>
              </w:rPr>
              <w:t>质量管理措施</w:t>
            </w:r>
          </w:p>
        </w:tc>
        <w:tc>
          <w:tcPr>
            <w:tcW w:type="dxa" w:w="2492"/>
          </w:tcPr>
          <w:p>
            <w:pPr>
              <w:pStyle w:val="null3"/>
            </w:pPr>
            <w:r>
              <w:rPr>
                <w:rFonts w:ascii="仿宋_GB2312" w:hAnsi="仿宋_GB2312" w:cs="仿宋_GB2312" w:eastAsia="仿宋_GB2312"/>
              </w:rPr>
              <w:t>供应商针对本项目提供质量管理措施，内容包括但不限于①服务质量标准②质量保障措施③质量保证体系④质量管理制度⑤考核制度等。以上内容专门针对本项目且阐述明晰、全面、合理得15分，每缺一项内容扣3分，若上述内容存在缺陷，每出现一处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质量管理措施.docx</w:t>
            </w:r>
          </w:p>
        </w:tc>
      </w:tr>
      <w:tr>
        <w:tc>
          <w:tcPr>
            <w:tcW w:type="dxa" w:w="831"/>
            <w:vMerge/>
          </w:tcPr>
          <w:p/>
        </w:tc>
        <w:tc>
          <w:tcPr>
            <w:tcW w:type="dxa" w:w="1661"/>
          </w:tcPr>
          <w:p>
            <w:pPr>
              <w:pStyle w:val="null3"/>
            </w:pPr>
            <w:r>
              <w:rPr>
                <w:rFonts w:ascii="仿宋_GB2312" w:hAnsi="仿宋_GB2312" w:cs="仿宋_GB2312" w:eastAsia="仿宋_GB2312"/>
              </w:rPr>
              <w:t>项目团队配置1</w:t>
            </w:r>
          </w:p>
        </w:tc>
        <w:tc>
          <w:tcPr>
            <w:tcW w:type="dxa" w:w="2492"/>
          </w:tcPr>
          <w:p>
            <w:pPr>
              <w:pStyle w:val="null3"/>
            </w:pPr>
            <w:r>
              <w:rPr>
                <w:rFonts w:ascii="仿宋_GB2312" w:hAnsi="仿宋_GB2312" w:cs="仿宋_GB2312" w:eastAsia="仿宋_GB2312"/>
              </w:rPr>
              <w:t>项目负责人具备高级工程师职称，提供职称证明资料的计3分，未提供的不计分。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项目团队配置.docx</w:t>
            </w:r>
          </w:p>
        </w:tc>
      </w:tr>
      <w:tr>
        <w:tc>
          <w:tcPr>
            <w:tcW w:type="dxa" w:w="831"/>
            <w:vMerge/>
          </w:tcPr>
          <w:p/>
        </w:tc>
        <w:tc>
          <w:tcPr>
            <w:tcW w:type="dxa" w:w="1661"/>
          </w:tcPr>
          <w:p>
            <w:pPr>
              <w:pStyle w:val="null3"/>
            </w:pPr>
            <w:r>
              <w:rPr>
                <w:rFonts w:ascii="仿宋_GB2312" w:hAnsi="仿宋_GB2312" w:cs="仿宋_GB2312" w:eastAsia="仿宋_GB2312"/>
              </w:rPr>
              <w:t>项目团队配置2</w:t>
            </w:r>
          </w:p>
        </w:tc>
        <w:tc>
          <w:tcPr>
            <w:tcW w:type="dxa" w:w="2492"/>
          </w:tcPr>
          <w:p>
            <w:pPr>
              <w:pStyle w:val="null3"/>
            </w:pPr>
            <w:r>
              <w:rPr>
                <w:rFonts w:ascii="仿宋_GB2312" w:hAnsi="仿宋_GB2312" w:cs="仿宋_GB2312" w:eastAsia="仿宋_GB2312"/>
              </w:rPr>
              <w:t>团队总人数不少于6人，其中硕士占比不少于三分之一。提供人员学历、工作经验等证明资料，人员配置齐全，证明资料完整的计6分；每缺少1人或证明资料有欠缺的扣1分，扣完为止。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项目团队配置.docx</w:t>
            </w:r>
          </w:p>
        </w:tc>
      </w:tr>
      <w:tr>
        <w:tc>
          <w:tcPr>
            <w:tcW w:type="dxa" w:w="831"/>
            <w:vMerge/>
          </w:tcPr>
          <w:p/>
        </w:tc>
        <w:tc>
          <w:tcPr>
            <w:tcW w:type="dxa" w:w="1661"/>
          </w:tcPr>
          <w:p>
            <w:pPr>
              <w:pStyle w:val="null3"/>
            </w:pPr>
            <w:r>
              <w:rPr>
                <w:rFonts w:ascii="仿宋_GB2312" w:hAnsi="仿宋_GB2312" w:cs="仿宋_GB2312" w:eastAsia="仿宋_GB2312"/>
              </w:rPr>
              <w:t>项目团队配置3</w:t>
            </w:r>
          </w:p>
        </w:tc>
        <w:tc>
          <w:tcPr>
            <w:tcW w:type="dxa" w:w="2492"/>
          </w:tcPr>
          <w:p>
            <w:pPr>
              <w:pStyle w:val="null3"/>
            </w:pPr>
            <w:r>
              <w:rPr>
                <w:rFonts w:ascii="仿宋_GB2312" w:hAnsi="仿宋_GB2312" w:cs="仿宋_GB2312" w:eastAsia="仿宋_GB2312"/>
              </w:rPr>
              <w:t>提供针对本项目的①团队人员管理制度；②各专业岗位分工及职责；以上内容专门针对本项目且阐述明晰、全面、合理得6分，每缺一项内容扣3分，若上述内容存在缺陷，每出现一处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项目团队配置.docx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完善的服务承诺及措施，内容包括但不限于①服务质量承诺②服务实施计划③现场技术支持④可提供的咨询或后期服务内容⑤售后服务措施及承诺。以上内容专门针对本项目且阐述明晰、全面、合理得15分，每缺一项内容扣3分，若上述内容存在缺陷，每出现一处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供应商提供2022年1月1日起至今的类似项目业绩（类似项目业绩指：报表编订及报送类项目），每提供一份得2分，满分10分。（业绩以合同扫描件为准，时间以合同签订日期为准。）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竞争性磋商文件要求且最后报价最低的磋商报价为评标基准价，其价格分为满分。其他供应商的价格分统一按照下列公式计算： 磋商报价得分=(磋商基准价／磋商报价)×价格权值（即15%）×100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详见附件：技术、服务、商务及其他要求响应偏离表.docx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详见附件：工作进度计划保障措施.docx</w:t>
      </w:r>
    </w:p>
    <w:p>
      <w:pPr>
        <w:pStyle w:val="null3"/>
        <w:ind w:firstLine="960"/>
      </w:pPr>
      <w:r>
        <w:rPr>
          <w:rFonts w:ascii="仿宋_GB2312" w:hAnsi="仿宋_GB2312" w:cs="仿宋_GB2312" w:eastAsia="仿宋_GB2312"/>
        </w:rPr>
        <w:t>详见附件：质量管理措施.docx</w:t>
      </w:r>
    </w:p>
    <w:p>
      <w:pPr>
        <w:pStyle w:val="null3"/>
        <w:ind w:firstLine="960"/>
      </w:pPr>
      <w:r>
        <w:rPr>
          <w:rFonts w:ascii="仿宋_GB2312" w:hAnsi="仿宋_GB2312" w:cs="仿宋_GB2312" w:eastAsia="仿宋_GB2312"/>
        </w:rPr>
        <w:t>详见附件：项目团队配置.docx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详见附件：供应商认为有必要说明的事宜.docx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