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9C60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设备技术条款响应偏离表</w:t>
      </w:r>
    </w:p>
    <w:tbl>
      <w:tblPr>
        <w:tblStyle w:val="5"/>
        <w:tblW w:w="86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413"/>
        <w:gridCol w:w="2638"/>
        <w:gridCol w:w="2318"/>
        <w:gridCol w:w="1488"/>
      </w:tblGrid>
      <w:tr w14:paraId="60F6C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761" w:type="dxa"/>
            <w:noWrap w:val="0"/>
            <w:vAlign w:val="center"/>
          </w:tcPr>
          <w:p w14:paraId="28BDAC88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3" w:type="dxa"/>
            <w:noWrap w:val="0"/>
            <w:vAlign w:val="center"/>
          </w:tcPr>
          <w:p w14:paraId="567AD62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  <w:t>设备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功能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2638" w:type="dxa"/>
            <w:noWrap w:val="0"/>
            <w:vAlign w:val="center"/>
          </w:tcPr>
          <w:p w14:paraId="2A0719C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6BEBFB2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技术参数要求</w:t>
            </w:r>
          </w:p>
        </w:tc>
        <w:tc>
          <w:tcPr>
            <w:tcW w:w="2318" w:type="dxa"/>
            <w:noWrap w:val="0"/>
            <w:vAlign w:val="center"/>
          </w:tcPr>
          <w:p w14:paraId="1229F9D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89FEE5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技术参数响应</w:t>
            </w:r>
          </w:p>
        </w:tc>
        <w:tc>
          <w:tcPr>
            <w:tcW w:w="1488" w:type="dxa"/>
            <w:noWrap w:val="0"/>
            <w:vAlign w:val="center"/>
          </w:tcPr>
          <w:p w14:paraId="56D2AD6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00956A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0E32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761" w:type="dxa"/>
            <w:noWrap w:val="0"/>
            <w:vAlign w:val="top"/>
          </w:tcPr>
          <w:p w14:paraId="149550A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3" w:type="dxa"/>
            <w:noWrap w:val="0"/>
            <w:vAlign w:val="top"/>
          </w:tcPr>
          <w:p w14:paraId="7802DF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38" w:type="dxa"/>
            <w:noWrap w:val="0"/>
            <w:vAlign w:val="top"/>
          </w:tcPr>
          <w:p w14:paraId="6F78FA8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18" w:type="dxa"/>
            <w:noWrap w:val="0"/>
            <w:vAlign w:val="top"/>
          </w:tcPr>
          <w:p w14:paraId="3EA57A4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top"/>
          </w:tcPr>
          <w:p w14:paraId="7F1C5F3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3D80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761" w:type="dxa"/>
            <w:noWrap w:val="0"/>
            <w:vAlign w:val="top"/>
          </w:tcPr>
          <w:p w14:paraId="64A978F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3" w:type="dxa"/>
            <w:noWrap w:val="0"/>
            <w:vAlign w:val="top"/>
          </w:tcPr>
          <w:p w14:paraId="6CC95CB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38" w:type="dxa"/>
            <w:noWrap w:val="0"/>
            <w:vAlign w:val="top"/>
          </w:tcPr>
          <w:p w14:paraId="6EEC637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18" w:type="dxa"/>
            <w:noWrap w:val="0"/>
            <w:vAlign w:val="top"/>
          </w:tcPr>
          <w:p w14:paraId="4716EC4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top"/>
          </w:tcPr>
          <w:p w14:paraId="12191CA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A758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761" w:type="dxa"/>
            <w:noWrap w:val="0"/>
            <w:vAlign w:val="top"/>
          </w:tcPr>
          <w:p w14:paraId="31BFE11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3" w:type="dxa"/>
            <w:noWrap w:val="0"/>
            <w:vAlign w:val="top"/>
          </w:tcPr>
          <w:p w14:paraId="5F272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38" w:type="dxa"/>
            <w:noWrap w:val="0"/>
            <w:vAlign w:val="top"/>
          </w:tcPr>
          <w:p w14:paraId="61B0927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18" w:type="dxa"/>
            <w:noWrap w:val="0"/>
            <w:vAlign w:val="top"/>
          </w:tcPr>
          <w:p w14:paraId="3E1D781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top"/>
          </w:tcPr>
          <w:p w14:paraId="4E814ED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F29BA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761" w:type="dxa"/>
            <w:noWrap w:val="0"/>
            <w:vAlign w:val="top"/>
          </w:tcPr>
          <w:p w14:paraId="7BEAFA1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3" w:type="dxa"/>
            <w:noWrap w:val="0"/>
            <w:vAlign w:val="top"/>
          </w:tcPr>
          <w:p w14:paraId="60AA553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38" w:type="dxa"/>
            <w:noWrap w:val="0"/>
            <w:vAlign w:val="top"/>
          </w:tcPr>
          <w:p w14:paraId="6D7AE1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18" w:type="dxa"/>
            <w:noWrap w:val="0"/>
            <w:vAlign w:val="top"/>
          </w:tcPr>
          <w:p w14:paraId="19E6B19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top"/>
          </w:tcPr>
          <w:p w14:paraId="3B4CD2A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DCF6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761" w:type="dxa"/>
            <w:noWrap w:val="0"/>
            <w:vAlign w:val="top"/>
          </w:tcPr>
          <w:p w14:paraId="3C9AC0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3" w:type="dxa"/>
            <w:noWrap w:val="0"/>
            <w:vAlign w:val="top"/>
          </w:tcPr>
          <w:p w14:paraId="60F26E5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38" w:type="dxa"/>
            <w:noWrap w:val="0"/>
            <w:vAlign w:val="top"/>
          </w:tcPr>
          <w:p w14:paraId="5FDE04A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18" w:type="dxa"/>
            <w:noWrap w:val="0"/>
            <w:vAlign w:val="top"/>
          </w:tcPr>
          <w:p w14:paraId="40C8683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top"/>
          </w:tcPr>
          <w:p w14:paraId="6964986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10DD5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761" w:type="dxa"/>
            <w:noWrap w:val="0"/>
            <w:vAlign w:val="top"/>
          </w:tcPr>
          <w:p w14:paraId="43F9F0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1413" w:type="dxa"/>
            <w:noWrap w:val="0"/>
            <w:vAlign w:val="top"/>
          </w:tcPr>
          <w:p w14:paraId="1733A39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638" w:type="dxa"/>
            <w:noWrap w:val="0"/>
            <w:vAlign w:val="top"/>
          </w:tcPr>
          <w:p w14:paraId="6C451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318" w:type="dxa"/>
            <w:noWrap w:val="0"/>
            <w:vAlign w:val="top"/>
          </w:tcPr>
          <w:p w14:paraId="31357E7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1488" w:type="dxa"/>
            <w:noWrap w:val="0"/>
            <w:vAlign w:val="top"/>
          </w:tcPr>
          <w:p w14:paraId="1D6E1C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</w:tr>
    </w:tbl>
    <w:p w14:paraId="6A94607C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说明：</w:t>
      </w:r>
    </w:p>
    <w:p w14:paraId="3E273891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1、本表须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对磋商文件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lang w:val="en-US" w:eastAsia="zh-CN"/>
        </w:rPr>
        <w:t xml:space="preserve">“第三章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-3.2.2 服务要求-二、水灾害防御物资采购清单/抗旱应急保障物资采购清单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lang w:val="en-US" w:eastAsia="zh-CN"/>
        </w:rPr>
        <w:t>”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中的内容</w:t>
      </w:r>
      <w:r>
        <w:rPr>
          <w:rFonts w:hint="eastAsia" w:ascii="仿宋_GB2312" w:eastAsia="仿宋_GB2312"/>
          <w:color w:val="auto"/>
          <w:sz w:val="28"/>
          <w:szCs w:val="28"/>
        </w:rPr>
        <w:t>按照顺序逐</w:t>
      </w:r>
      <w:bookmarkStart w:id="0" w:name="_GoBack"/>
      <w:bookmarkEnd w:id="0"/>
      <w:r>
        <w:rPr>
          <w:rFonts w:hint="eastAsia" w:ascii="仿宋_GB2312" w:eastAsia="仿宋_GB2312"/>
          <w:color w:val="auto"/>
          <w:sz w:val="28"/>
          <w:szCs w:val="28"/>
        </w:rPr>
        <w:t>项填写，不得空缺；如空缺将视为没有实质性响应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文件</w:t>
      </w:r>
      <w:r>
        <w:rPr>
          <w:rFonts w:hint="eastAsia" w:ascii="仿宋_GB2312" w:eastAsia="仿宋_GB2312"/>
          <w:color w:val="auto"/>
          <w:sz w:val="28"/>
          <w:szCs w:val="28"/>
        </w:rPr>
        <w:t>。</w:t>
      </w:r>
    </w:p>
    <w:p w14:paraId="0BE8670F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2、偏离填写：正偏离、负偏离、相同。</w:t>
      </w:r>
    </w:p>
    <w:p w14:paraId="4C56DCE9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3、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必须据实填写设备功能技术参数响应情况，▲参数必须按照招标文件要求提供相应</w:t>
      </w:r>
      <w:r>
        <w:rPr>
          <w:rFonts w:hint="eastAsia" w:ascii="仿宋_GB2312" w:eastAsia="仿宋_GB2312"/>
          <w:color w:val="auto"/>
          <w:sz w:val="28"/>
          <w:szCs w:val="28"/>
          <w:lang w:val="zh-CN" w:eastAsia="zh-CN"/>
        </w:rPr>
        <w:t>的佐证材料予以证明参数的技术响应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情况并加盖公章，如若虚假响应，将取消其投标或成交资格，并按有关规定进行处罚。</w:t>
      </w:r>
    </w:p>
    <w:p w14:paraId="6EF536B4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829E4DB">
      <w:pPr>
        <w:ind w:firstLine="2520" w:firstLineChars="900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21C4FF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25DE597E"/>
    <w:rsid w:val="2D694E20"/>
    <w:rsid w:val="334718A4"/>
    <w:rsid w:val="4FBA5B2D"/>
    <w:rsid w:val="5BCF2B8D"/>
    <w:rsid w:val="61152276"/>
    <w:rsid w:val="63B235F6"/>
    <w:rsid w:val="6A04035A"/>
    <w:rsid w:val="6C4F17F7"/>
    <w:rsid w:val="77100B4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adjustRightInd w:val="0"/>
      <w:snapToGrid w:val="0"/>
      <w:spacing w:beforeLines="0" w:beforeAutospacing="0" w:after="80" w:afterLines="80" w:afterAutospacing="0" w:line="288" w:lineRule="auto"/>
      <w:outlineLvl w:val="0"/>
    </w:pPr>
    <w:rPr>
      <w:b/>
      <w:bCs/>
      <w:kern w:val="44"/>
      <w:sz w:val="36"/>
      <w:szCs w:val="36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character" w:customStyle="1" w:styleId="7">
    <w:name w:val="标题 1 Char"/>
    <w:link w:val="2"/>
    <w:qFormat/>
    <w:uiPriority w:val="0"/>
    <w:rPr>
      <w:b/>
      <w:bCs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230</Characters>
  <Lines>0</Lines>
  <Paragraphs>0</Paragraphs>
  <TotalTime>0</TotalTime>
  <ScaleCrop>false</ScaleCrop>
  <LinksUpToDate>false</LinksUpToDate>
  <CharactersWithSpaces>306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2026-05-11T12:35:14Z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