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版本号：0617-2611GZ198120260715001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北校区篮球、排球场改造项目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0617-2611GZ1981</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北校区篮球、排球场改造项目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0617-2611GZ1981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北校区篮球、排球场改造项目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校区主干道以西篮球场及排球场改造，新做匹克球场及周围围网，拆除篮球、排球场悬浮地板，铺设沥青，面层8mm厚做硅PU，篮球场东、西及北面水沟加设盖板，主席台及看台铺设4mm厚硅PU。场地内增设照明及水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采购包1（北校区篮球、排球场改造项目）：属于专门面向中小企业采购。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1、供应商资质要求：供应商具备建筑工程施工总承包三级及以上资质，并具有有效的安全生产许可证</w:t>
      </w:r>
    </w:p>
    <w:p>
      <w:pPr>
        <w:pStyle w:val="null3"/>
      </w:pPr>
      <w:r>
        <w:rPr>
          <w:rFonts w:ascii="仿宋_GB2312" w:hAnsi="仿宋_GB2312" w:cs="仿宋_GB2312" w:eastAsia="仿宋_GB2312"/>
        </w:rPr>
        <w:t>2、供应商拟派项目经理：拟派项目经理具备建筑工程专业二级或以上注册建造师证书，在本单位注册，具有有效的安全生产考核合格证（建安B证），未担任其它在施建设工程的项目经理（承诺书）</w:t>
      </w:r>
    </w:p>
    <w:p>
      <w:pPr>
        <w:pStyle w:val="null3"/>
      </w:pPr>
      <w:r>
        <w:rPr>
          <w:rFonts w:ascii="仿宋_GB2312" w:hAnsi="仿宋_GB2312" w:cs="仿宋_GB2312" w:eastAsia="仿宋_GB2312"/>
        </w:rPr>
        <w:t>3、供应商及项目经理截图：供应商及项目经理信息在“陕西省住房和城乡建设厅系统平台”或“陕西省建筑市场监管与诚信信息发布平台”备案可查询，提供查询截图。</w:t>
      </w:r>
    </w:p>
    <w:p>
      <w:pPr>
        <w:pStyle w:val="null3"/>
      </w:pPr>
      <w:r>
        <w:rPr>
          <w:rFonts w:ascii="仿宋_GB2312" w:hAnsi="仿宋_GB2312" w:cs="仿宋_GB2312" w:eastAsia="仿宋_GB2312"/>
        </w:rPr>
        <w:t>4、授权委托书/法定代表人身份证明：提供法定代表人授权书 (附法定代表人、被授权人身份证复印件) 或提供法定代表人身份证明及身份证复印件（法定代表人直接参加磋商)。</w:t>
      </w:r>
    </w:p>
    <w:p>
      <w:pPr>
        <w:pStyle w:val="null3"/>
      </w:pPr>
      <w:r>
        <w:rPr>
          <w:rFonts w:ascii="仿宋_GB2312" w:hAnsi="仿宋_GB2312" w:cs="仿宋_GB2312" w:eastAsia="仿宋_GB2312"/>
        </w:rPr>
        <w:t>5、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蔺荻、王森、田凯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029-85398605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说明：成交供应商在与采购人签订合同前，须缴纳履约保证金;履约保证金金额为成交金额的5%。待验收合格后，予以退还(无息)。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代理服务费收费标准：由成交人按照国家计委颁发的《招标代理服务收费管理暂行办法》（计价格〔2002〕1980号）下浮30%的标准向采购代理机构一次付清采购代理服务费，不足3000元按3000元计取。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按合同文本，磋商文件，响应文件，国内相应的标准、规范等。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联系电话：029-89651862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2,180,000.00</w:t>
      </w:r>
    </w:p>
    <w:p>
      <w:pPr>
        <w:pStyle w:val="null3"/>
      </w:pPr>
      <w:r>
        <w:rPr>
          <w:rFonts w:ascii="仿宋_GB2312" w:hAnsi="仿宋_GB2312" w:cs="仿宋_GB2312" w:eastAsia="仿宋_GB2312"/>
        </w:rPr>
        <w:t>采购包最高限价（元）: 2,176,081.72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篮球场、排球场改造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标的名称：篮球场、排球场改造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工程概况：</w:t>
            </w:r>
          </w:p>
          <w:p>
            <w:pPr>
              <w:pStyle w:val="null3"/>
              <w:jc w:val="both"/>
            </w:pPr>
            <w:r>
              <w:rPr>
                <w:rFonts w:ascii="仿宋_GB2312" w:hAnsi="仿宋_GB2312" w:cs="仿宋_GB2312" w:eastAsia="仿宋_GB2312"/>
                <w:sz w:val="20"/>
              </w:rPr>
              <w:t>北校区主干道以西篮球场及排球场改造，新做匹克球场及周围围网，</w:t>
            </w:r>
            <w:r>
              <w:rPr>
                <w:rFonts w:ascii="仿宋_GB2312" w:hAnsi="仿宋_GB2312" w:cs="仿宋_GB2312" w:eastAsia="仿宋_GB2312"/>
                <w:sz w:val="20"/>
              </w:rPr>
              <w:t>拆除</w:t>
            </w:r>
            <w:r>
              <w:rPr>
                <w:rFonts w:ascii="仿宋_GB2312" w:hAnsi="仿宋_GB2312" w:cs="仿宋_GB2312" w:eastAsia="仿宋_GB2312"/>
                <w:sz w:val="20"/>
              </w:rPr>
              <w:t>篮球、排球场悬浮地板，铺设沥青，面层</w:t>
            </w:r>
            <w:r>
              <w:rPr>
                <w:rFonts w:ascii="仿宋_GB2312" w:hAnsi="仿宋_GB2312" w:cs="仿宋_GB2312" w:eastAsia="仿宋_GB2312"/>
                <w:sz w:val="20"/>
              </w:rPr>
              <w:t>8mm</w:t>
            </w:r>
            <w:r>
              <w:rPr>
                <w:rFonts w:ascii="仿宋_GB2312" w:hAnsi="仿宋_GB2312" w:cs="仿宋_GB2312" w:eastAsia="仿宋_GB2312"/>
                <w:sz w:val="20"/>
              </w:rPr>
              <w:t>厚做硅</w:t>
            </w:r>
            <w:r>
              <w:rPr>
                <w:rFonts w:ascii="仿宋_GB2312" w:hAnsi="仿宋_GB2312" w:cs="仿宋_GB2312" w:eastAsia="仿宋_GB2312"/>
                <w:sz w:val="20"/>
              </w:rPr>
              <w:t>PU</w:t>
            </w:r>
            <w:r>
              <w:rPr>
                <w:rFonts w:ascii="仿宋_GB2312" w:hAnsi="仿宋_GB2312" w:cs="仿宋_GB2312" w:eastAsia="仿宋_GB2312"/>
                <w:sz w:val="20"/>
              </w:rPr>
              <w:t>，篮球场东、西及北面水沟加设盖板，主席台及看台铺设</w:t>
            </w:r>
            <w:r>
              <w:rPr>
                <w:rFonts w:ascii="仿宋_GB2312" w:hAnsi="仿宋_GB2312" w:cs="仿宋_GB2312" w:eastAsia="仿宋_GB2312"/>
                <w:sz w:val="20"/>
              </w:rPr>
              <w:t>4mm</w:t>
            </w:r>
            <w:r>
              <w:rPr>
                <w:rFonts w:ascii="仿宋_GB2312" w:hAnsi="仿宋_GB2312" w:cs="仿宋_GB2312" w:eastAsia="仿宋_GB2312"/>
                <w:sz w:val="20"/>
              </w:rPr>
              <w:t>厚硅</w:t>
            </w:r>
            <w:r>
              <w:rPr>
                <w:rFonts w:ascii="仿宋_GB2312" w:hAnsi="仿宋_GB2312" w:cs="仿宋_GB2312" w:eastAsia="仿宋_GB2312"/>
                <w:sz w:val="20"/>
              </w:rPr>
              <w:t>PU</w:t>
            </w:r>
            <w:r>
              <w:rPr>
                <w:rFonts w:ascii="仿宋_GB2312" w:hAnsi="仿宋_GB2312" w:cs="仿宋_GB2312" w:eastAsia="仿宋_GB2312"/>
                <w:sz w:val="20"/>
              </w:rPr>
              <w:t>。场地内增设照明及水源。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售后服务要求</w:t>
            </w:r>
          </w:p>
          <w:p>
            <w:pPr>
              <w:pStyle w:val="null3"/>
              <w:jc w:val="both"/>
            </w:pPr>
            <w:r>
              <w:rPr>
                <w:rFonts w:ascii="仿宋_GB2312" w:hAnsi="仿宋_GB2312" w:cs="仿宋_GB2312" w:eastAsia="仿宋_GB2312"/>
                <w:sz w:val="20"/>
              </w:rPr>
              <w:t>质保期：验收合格后</w:t>
            </w:r>
            <w:r>
              <w:rPr>
                <w:rFonts w:ascii="仿宋_GB2312" w:hAnsi="仿宋_GB2312" w:cs="仿宋_GB2312" w:eastAsia="仿宋_GB2312"/>
                <w:sz w:val="20"/>
              </w:rPr>
              <w:t>24</w:t>
            </w:r>
            <w:r>
              <w:rPr>
                <w:rFonts w:ascii="仿宋_GB2312" w:hAnsi="仿宋_GB2312" w:cs="仿宋_GB2312" w:eastAsia="仿宋_GB2312"/>
                <w:sz w:val="20"/>
              </w:rPr>
              <w:t>个月</w:t>
            </w:r>
          </w:p>
          <w:p>
            <w:pPr>
              <w:pStyle w:val="null3"/>
              <w:jc w:val="both"/>
            </w:pPr>
            <w:r>
              <w:rPr>
                <w:rFonts w:ascii="仿宋_GB2312" w:hAnsi="仿宋_GB2312" w:cs="仿宋_GB2312" w:eastAsia="仿宋_GB2312"/>
                <w:sz w:val="20"/>
              </w:rPr>
              <w:t>售后响应时效：即时响应（包括电话响应）：电话响应无法解决</w:t>
            </w:r>
            <w:r>
              <w:rPr>
                <w:rFonts w:ascii="仿宋_GB2312" w:hAnsi="仿宋_GB2312" w:cs="仿宋_GB2312" w:eastAsia="仿宋_GB2312"/>
                <w:sz w:val="20"/>
              </w:rPr>
              <w:t>24</w:t>
            </w:r>
            <w:r>
              <w:rPr>
                <w:rFonts w:ascii="仿宋_GB2312" w:hAnsi="仿宋_GB2312" w:cs="仿宋_GB2312" w:eastAsia="仿宋_GB2312"/>
                <w:sz w:val="20"/>
              </w:rPr>
              <w:t>小时到达现场。修复时间</w:t>
            </w:r>
            <w:r>
              <w:rPr>
                <w:rFonts w:ascii="仿宋_GB2312" w:hAnsi="仿宋_GB2312" w:cs="仿宋_GB2312" w:eastAsia="仿宋_GB2312"/>
                <w:sz w:val="20"/>
              </w:rPr>
              <w:t>48</w:t>
            </w:r>
            <w:r>
              <w:rPr>
                <w:rFonts w:ascii="仿宋_GB2312" w:hAnsi="仿宋_GB2312" w:cs="仿宋_GB2312" w:eastAsia="仿宋_GB2312"/>
                <w:sz w:val="20"/>
              </w:rPr>
              <w:t>小时内解决，如</w:t>
            </w:r>
            <w:r>
              <w:rPr>
                <w:rFonts w:ascii="仿宋_GB2312" w:hAnsi="仿宋_GB2312" w:cs="仿宋_GB2312" w:eastAsia="仿宋_GB2312"/>
                <w:sz w:val="20"/>
              </w:rPr>
              <w:t>48</w:t>
            </w:r>
            <w:r>
              <w:rPr>
                <w:rFonts w:ascii="仿宋_GB2312" w:hAnsi="仿宋_GB2312" w:cs="仿宋_GB2312" w:eastAsia="仿宋_GB2312"/>
                <w:sz w:val="20"/>
              </w:rPr>
              <w:t>小时内无法修复，应提供相应解决方案。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履约保证金</w:t>
            </w:r>
          </w:p>
          <w:p>
            <w:pPr>
              <w:pStyle w:val="null3"/>
              <w:jc w:val="both"/>
            </w:pPr>
            <w:r>
              <w:rPr>
                <w:rFonts w:ascii="仿宋_GB2312" w:hAnsi="仿宋_GB2312" w:cs="仿宋_GB2312" w:eastAsia="仿宋_GB2312"/>
                <w:sz w:val="20"/>
              </w:rPr>
              <w:t>成交供应商在与采购人签订合同前，须缴纳履约保证金</w:t>
            </w:r>
            <w:r>
              <w:rPr>
                <w:rFonts w:ascii="仿宋_GB2312" w:hAnsi="仿宋_GB2312" w:cs="仿宋_GB2312" w:eastAsia="仿宋_GB2312"/>
                <w:sz w:val="20"/>
              </w:rPr>
              <w:t>;</w:t>
            </w:r>
            <w:r>
              <w:rPr>
                <w:rFonts w:ascii="仿宋_GB2312" w:hAnsi="仿宋_GB2312" w:cs="仿宋_GB2312" w:eastAsia="仿宋_GB2312"/>
                <w:sz w:val="20"/>
              </w:rPr>
              <w:t>履约保证金金额为成交金额的</w:t>
            </w:r>
            <w:r>
              <w:rPr>
                <w:rFonts w:ascii="仿宋_GB2312" w:hAnsi="仿宋_GB2312" w:cs="仿宋_GB2312" w:eastAsia="仿宋_GB2312"/>
                <w:sz w:val="20"/>
              </w:rPr>
              <w:t>5%</w:t>
            </w:r>
            <w:r>
              <w:rPr>
                <w:rFonts w:ascii="仿宋_GB2312" w:hAnsi="仿宋_GB2312" w:cs="仿宋_GB2312" w:eastAsia="仿宋_GB2312"/>
                <w:sz w:val="20"/>
              </w:rPr>
              <w:t>。待验收合格后，予以退还</w:t>
            </w:r>
            <w:r>
              <w:rPr>
                <w:rFonts w:ascii="仿宋_GB2312" w:hAnsi="仿宋_GB2312" w:cs="仿宋_GB2312" w:eastAsia="仿宋_GB2312"/>
                <w:sz w:val="20"/>
              </w:rPr>
              <w:t>(</w:t>
            </w:r>
            <w:r>
              <w:rPr>
                <w:rFonts w:ascii="仿宋_GB2312" w:hAnsi="仿宋_GB2312" w:cs="仿宋_GB2312" w:eastAsia="仿宋_GB2312"/>
                <w:sz w:val="20"/>
              </w:rPr>
              <w:t>无息</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工期：</w:t>
            </w:r>
            <w:r>
              <w:rPr>
                <w:rFonts w:ascii="仿宋_GB2312" w:hAnsi="仿宋_GB2312" w:cs="仿宋_GB2312" w:eastAsia="仿宋_GB2312"/>
                <w:sz w:val="20"/>
              </w:rPr>
              <w:t>25</w:t>
            </w:r>
            <w:r>
              <w:rPr>
                <w:rFonts w:ascii="仿宋_GB2312" w:hAnsi="仿宋_GB2312" w:cs="仿宋_GB2312" w:eastAsia="仿宋_GB2312"/>
                <w:sz w:val="20"/>
              </w:rPr>
              <w:t>日历天</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工程质量：合格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交付（实施）的地点（范围）：陕西理工大学北校区指定地点。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付款条件（进度和方式）：</w:t>
            </w:r>
          </w:p>
          <w:p>
            <w:pPr>
              <w:pStyle w:val="null3"/>
              <w:jc w:val="both"/>
            </w:pPr>
            <w:r>
              <w:rPr>
                <w:rFonts w:ascii="仿宋_GB2312" w:hAnsi="仿宋_GB2312" w:cs="仿宋_GB2312" w:eastAsia="仿宋_GB2312"/>
                <w:sz w:val="20"/>
              </w:rPr>
              <w:t>①承包人工程量完成进行到</w:t>
            </w:r>
            <w:r>
              <w:rPr>
                <w:rFonts w:ascii="仿宋_GB2312" w:hAnsi="仿宋_GB2312" w:cs="仿宋_GB2312" w:eastAsia="仿宋_GB2312"/>
                <w:sz w:val="20"/>
              </w:rPr>
              <w:t>70%</w:t>
            </w:r>
            <w:r>
              <w:rPr>
                <w:rFonts w:ascii="仿宋_GB2312" w:hAnsi="仿宋_GB2312" w:cs="仿宋_GB2312" w:eastAsia="仿宋_GB2312"/>
                <w:sz w:val="20"/>
              </w:rPr>
              <w:t>后，发包人支付至合同价减去未发生的暂列金额的</w:t>
            </w:r>
            <w:r>
              <w:rPr>
                <w:rFonts w:ascii="仿宋_GB2312" w:hAnsi="仿宋_GB2312" w:cs="仿宋_GB2312" w:eastAsia="仿宋_GB2312"/>
                <w:sz w:val="20"/>
              </w:rPr>
              <w:t>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②工程竣工验收合格，报齐结算资料后付至合同价减去未发生的暂列金额的</w:t>
            </w:r>
            <w:r>
              <w:rPr>
                <w:rFonts w:ascii="仿宋_GB2312" w:hAnsi="仿宋_GB2312" w:cs="仿宋_GB2312" w:eastAsia="仿宋_GB2312"/>
                <w:sz w:val="20"/>
              </w:rPr>
              <w:t>80%</w:t>
            </w:r>
            <w:r>
              <w:rPr>
                <w:rFonts w:ascii="仿宋_GB2312" w:hAnsi="仿宋_GB2312" w:cs="仿宋_GB2312" w:eastAsia="仿宋_GB2312"/>
                <w:sz w:val="20"/>
              </w:rPr>
              <w:t>（包含已支付的安全文明施工措施费）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③发包人或经发包人委托的第三方</w:t>
            </w:r>
            <w:r>
              <w:rPr>
                <w:rFonts w:ascii="仿宋_GB2312" w:hAnsi="仿宋_GB2312" w:cs="仿宋_GB2312" w:eastAsia="仿宋_GB2312"/>
                <w:sz w:val="20"/>
              </w:rPr>
              <w:t>,</w:t>
            </w:r>
            <w:r>
              <w:rPr>
                <w:rFonts w:ascii="仿宋_GB2312" w:hAnsi="仿宋_GB2312" w:cs="仿宋_GB2312" w:eastAsia="仿宋_GB2312"/>
                <w:sz w:val="20"/>
              </w:rPr>
              <w:t>对承包人提交的工程结算进行审核后</w:t>
            </w:r>
            <w:r>
              <w:rPr>
                <w:rFonts w:ascii="仿宋_GB2312" w:hAnsi="仿宋_GB2312" w:cs="仿宋_GB2312" w:eastAsia="仿宋_GB2312"/>
                <w:sz w:val="20"/>
              </w:rPr>
              <w:t>,</w:t>
            </w:r>
            <w:r>
              <w:rPr>
                <w:rFonts w:ascii="仿宋_GB2312" w:hAnsi="仿宋_GB2312" w:cs="仿宋_GB2312" w:eastAsia="仿宋_GB2312"/>
                <w:sz w:val="20"/>
              </w:rPr>
              <w:t>发包人依据工程结算审核结果金额，在一个月内一次性支付至工程审核价的</w:t>
            </w:r>
            <w:r>
              <w:rPr>
                <w:rFonts w:ascii="仿宋_GB2312" w:hAnsi="仿宋_GB2312" w:cs="仿宋_GB2312" w:eastAsia="仿宋_GB2312"/>
                <w:sz w:val="20"/>
              </w:rPr>
              <w:t>97%</w:t>
            </w:r>
            <w:r>
              <w:rPr>
                <w:rFonts w:ascii="仿宋_GB2312" w:hAnsi="仿宋_GB2312" w:cs="仿宋_GB2312" w:eastAsia="仿宋_GB2312"/>
                <w:sz w:val="20"/>
              </w:rPr>
              <w:t>，承包人持《终验合格单》原件和全额发票在发包人处办理此项工程款；剩余结算审核总价款的</w:t>
            </w:r>
            <w:r>
              <w:rPr>
                <w:rFonts w:ascii="仿宋_GB2312" w:hAnsi="仿宋_GB2312" w:cs="仿宋_GB2312" w:eastAsia="仿宋_GB2312"/>
                <w:sz w:val="20"/>
              </w:rPr>
              <w:t xml:space="preserve"> 3% </w:t>
            </w:r>
            <w:r>
              <w:rPr>
                <w:rFonts w:ascii="仿宋_GB2312" w:hAnsi="仿宋_GB2312" w:cs="仿宋_GB2312" w:eastAsia="仿宋_GB2312"/>
                <w:sz w:val="20"/>
              </w:rPr>
              <w:t>作为质量保证金。</w:t>
            </w:r>
          </w:p>
          <w:p>
            <w:pPr>
              <w:pStyle w:val="null3"/>
              <w:jc w:val="both"/>
            </w:pPr>
            <w:r>
              <w:rPr>
                <w:rFonts w:ascii="仿宋_GB2312" w:hAnsi="仿宋_GB2312" w:cs="仿宋_GB2312" w:eastAsia="仿宋_GB2312"/>
                <w:sz w:val="20"/>
              </w:rPr>
              <w:t>④自竣工验收合格之日起</w:t>
            </w:r>
            <w:r>
              <w:rPr>
                <w:rFonts w:ascii="仿宋_GB2312" w:hAnsi="仿宋_GB2312" w:cs="仿宋_GB2312" w:eastAsia="仿宋_GB2312"/>
                <w:sz w:val="20"/>
              </w:rPr>
              <w:t>24</w:t>
            </w:r>
            <w:r>
              <w:rPr>
                <w:rFonts w:ascii="仿宋_GB2312" w:hAnsi="仿宋_GB2312" w:cs="仿宋_GB2312" w:eastAsia="仿宋_GB2312"/>
                <w:sz w:val="20"/>
              </w:rPr>
              <w:t>个月后，在无索赔争议的情况下，由发包人组织、承包人参与共同对工程质保情况现场核验，核验无问题后，承包人在发包人处办理剩余</w:t>
            </w:r>
            <w:r>
              <w:rPr>
                <w:rFonts w:ascii="仿宋_GB2312" w:hAnsi="仿宋_GB2312" w:cs="仿宋_GB2312" w:eastAsia="仿宋_GB2312"/>
                <w:sz w:val="20"/>
              </w:rPr>
              <w:t>3%</w:t>
            </w:r>
            <w:r>
              <w:rPr>
                <w:rFonts w:ascii="仿宋_GB2312" w:hAnsi="仿宋_GB2312" w:cs="仿宋_GB2312" w:eastAsia="仿宋_GB2312"/>
                <w:sz w:val="20"/>
              </w:rPr>
              <w:t>工程款（质量保证金）的支付手续，一次性不计利息返还。</w:t>
            </w:r>
          </w:p>
          <w:p>
            <w:pPr>
              <w:pStyle w:val="null3"/>
              <w:jc w:val="both"/>
            </w:pPr>
            <w:r>
              <w:rPr>
                <w:rFonts w:ascii="仿宋_GB2312" w:hAnsi="仿宋_GB2312" w:cs="仿宋_GB2312" w:eastAsia="仿宋_GB2312"/>
                <w:sz w:val="20"/>
              </w:rPr>
              <w:t>⑤发票必须为承包人单位全额开具。</w:t>
            </w:r>
          </w:p>
          <w:p>
            <w:pPr>
              <w:pStyle w:val="null3"/>
              <w:jc w:val="both"/>
            </w:pPr>
            <w:r>
              <w:rPr>
                <w:rFonts w:ascii="仿宋_GB2312" w:hAnsi="仿宋_GB2312" w:cs="仿宋_GB2312" w:eastAsia="仿宋_GB2312"/>
                <w:sz w:val="20"/>
              </w:rPr>
              <w:t>⑥所有工程款项必须支付至合同约定的承包人银行账户，否则视为未支付工程款。</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合同专用条款和通用条款的全部内容。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其他：</w:t>
            </w:r>
          </w:p>
          <w:p>
            <w:pPr>
              <w:pStyle w:val="null3"/>
              <w:jc w:val="both"/>
            </w:pPr>
            <w:r>
              <w:rPr>
                <w:rFonts w:ascii="仿宋_GB2312" w:hAnsi="仿宋_GB2312" w:cs="仿宋_GB2312" w:eastAsia="仿宋_GB2312"/>
                <w:sz w:val="20"/>
              </w:rPr>
              <w:t>9.1</w:t>
            </w:r>
            <w:r>
              <w:rPr>
                <w:rFonts w:ascii="仿宋_GB2312" w:hAnsi="仿宋_GB2312" w:cs="仿宋_GB2312" w:eastAsia="仿宋_GB2312"/>
                <w:sz w:val="20"/>
              </w:rPr>
              <w:t>广联达云计价（版本为：</w:t>
            </w:r>
            <w:r>
              <w:rPr>
                <w:rFonts w:ascii="仿宋_GB2312" w:hAnsi="仿宋_GB2312" w:cs="仿宋_GB2312" w:eastAsia="仿宋_GB2312"/>
                <w:sz w:val="20"/>
              </w:rPr>
              <w:t>GCCP7.5000.23.3</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9.2</w:t>
            </w:r>
            <w:r>
              <w:rPr>
                <w:rFonts w:ascii="仿宋_GB2312" w:hAnsi="仿宋_GB2312" w:cs="仿宋_GB2312" w:eastAsia="仿宋_GB2312"/>
                <w:sz w:val="20"/>
              </w:rPr>
              <w:t>该项目含暂列金</w:t>
            </w:r>
            <w:r>
              <w:rPr>
                <w:rFonts w:ascii="仿宋_GB2312" w:hAnsi="仿宋_GB2312" w:cs="仿宋_GB2312" w:eastAsia="仿宋_GB2312"/>
                <w:sz w:val="20"/>
              </w:rPr>
              <w:t>70000.00</w:t>
            </w:r>
            <w:r>
              <w:rPr>
                <w:rFonts w:ascii="仿宋_GB2312" w:hAnsi="仿宋_GB2312" w:cs="仿宋_GB2312" w:eastAsia="仿宋_GB2312"/>
                <w:sz w:val="20"/>
              </w:rPr>
              <w:t>元</w:t>
            </w:r>
          </w:p>
          <w:p>
            <w:pPr>
              <w:pStyle w:val="null3"/>
            </w:pPr>
            <w:r>
              <w:rPr>
                <w:rFonts w:ascii="仿宋_GB2312" w:hAnsi="仿宋_GB2312" w:cs="仿宋_GB2312" w:eastAsia="仿宋_GB2312"/>
                <w:sz w:val="20"/>
              </w:rPr>
              <w:t>9.3</w:t>
            </w:r>
            <w:r>
              <w:rPr>
                <w:rFonts w:ascii="仿宋_GB2312" w:hAnsi="仿宋_GB2312" w:cs="仿宋_GB2312" w:eastAsia="仿宋_GB2312"/>
                <w:sz w:val="20"/>
              </w:rPr>
              <w:t>供应商按照采购人提供的工程量清单中的工程数量的进行报价，最终结算以现场工程量确认单为准。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按照国家工程质量标准验收。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1、本项目采购标的对应的中小企业划分标准所属行业为 建筑业 。 2、本项目采购活动执行下列政府采购政策（具体办法详见招标文件）：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中国人民银行西安分行关于深入推进政府采购信用融资业务通知(陕财办[2023]5号)； （14）《国务院办公厅关于在政府采购中实施本国产品标准及相关政策的通知》（国办发〔2025〕34号）； （15）《关于推动解决政府采购异常低价问题的通知》(财库〔2026〕2号)； （16）《陕西省财政厅关于规范政府采购项目评审主观分赋分有关事项的通知》（陕财办采函〔2026〕10 号） （17）其他需执行的政府采购政策。 3、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4、根据《陕西省财政厅关于在全省开展电子化投诉工作有关事项的通知》（陕财办采函〔2022〕15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提供注册登记凭证（营业执照、其他组织经营的合法凭证，自然人的提供身份证明文件）。2.提供具有履行合同所必需的设备和专业技术能力的承诺。3. 提供缴费所属日期为投标截止时间前12个月内任一月份（磋商截止时间当月不计入）的缴费凭据(企业及营利性组织参加磋商的提供增值税及企业所得税；非营利性组织及自然人参加磋商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4. 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5. 参加政府采购活动前3年内在经营活动中没有重大违法记录的书面声明。</w:t>
            </w:r>
          </w:p>
        </w:tc>
        <w:tc>
          <w:tcPr>
            <w:tcW w:type="dxa" w:w="1661"/>
          </w:tcPr>
          <w:p>
            <w:pPr>
              <w:pStyle w:val="null3"/>
            </w:pPr>
            <w:r>
              <w:rPr>
                <w:rFonts w:ascii="仿宋_GB2312" w:hAnsi="仿宋_GB2312" w:cs="仿宋_GB2312" w:eastAsia="仿宋_GB2312"/>
              </w:rPr>
              <w:t>附件.docx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具有注册会计师行业统一监管平台出具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供应商应为中小微企业、监狱企业、残疾人福利性单位；其中中小企业应符合《政府采购促进中小企业发展暂行办法》（财库〔2020〕46号）要求， 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 。供应商应填写符合上述文件规定的中小企业声明函或残疾人福利性单位声明函或监狱企业证明文件，并对真实性负责。）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供应商具备建筑工程施工总承包三级及以上资质，并具有有效的安全生产许可证</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供应商拟派项目经理</w:t>
            </w:r>
          </w:p>
        </w:tc>
        <w:tc>
          <w:tcPr>
            <w:tcW w:type="dxa" w:w="3322"/>
          </w:tcPr>
          <w:p>
            <w:pPr>
              <w:pStyle w:val="null3"/>
            </w:pPr>
            <w:r>
              <w:rPr>
                <w:rFonts w:ascii="仿宋_GB2312" w:hAnsi="仿宋_GB2312" w:cs="仿宋_GB2312" w:eastAsia="仿宋_GB2312"/>
              </w:rPr>
              <w:t>拟派项目经理具备建筑工程专业二级或以上注册建造师证书，在本单位注册，具有有效的安全生产考核合格证（建安B证），未担任其它在施建设工程的项目经理（承诺书）</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供应商及项目经理截图</w:t>
            </w:r>
          </w:p>
        </w:tc>
        <w:tc>
          <w:tcPr>
            <w:tcW w:type="dxa" w:w="3322"/>
          </w:tcPr>
          <w:p>
            <w:pPr>
              <w:pStyle w:val="null3"/>
            </w:pPr>
            <w:r>
              <w:rPr>
                <w:rFonts w:ascii="仿宋_GB2312" w:hAnsi="仿宋_GB2312" w:cs="仿宋_GB2312" w:eastAsia="仿宋_GB2312"/>
              </w:rPr>
              <w:t>供应商及项目经理信息在“陕西省住房和城乡建设厅系统平台”或“陕西省建筑市场监管与诚信信息发布平台”备案可查询，提供查询截图。</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或提供法定代表人身份证明及身份证复印件（法定代表人直接参加磋商)。</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w:t>
            </w:r>
          </w:p>
        </w:tc>
        <w:tc>
          <w:tcPr>
            <w:tcW w:type="dxa" w:w="1661"/>
          </w:tcPr>
          <w:p>
            <w:pPr>
              <w:pStyle w:val="null3"/>
            </w:pPr>
            <w:r>
              <w:rPr>
                <w:rFonts w:ascii="仿宋_GB2312" w:hAnsi="仿宋_GB2312" w:cs="仿宋_GB2312" w:eastAsia="仿宋_GB2312"/>
              </w:rPr>
              <w:t>响应文件封面 已标价工程量清单 附件.docx 中小企业声明函 残疾人福利性单位声明函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已标价工程量清单 附件.docx 中小企业声明函 残疾人福利性单位声明函 报价函 标的清单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是否存在异常低价，涉嫌不正当竞争；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2.1政府采购评审中出现下列情形之一的，评审委员会应当启动异常低价投标(响应)审查程序：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4）评审委员会基于专业判断，认为供应商报价过低，有可能影响工程质量或者不能诚信履约的其他情形。 2.2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已标价工程量清单 报价函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针对本项目提供的实施方案进行综合评审。 A.实施方案完整详细、有针对性，完全满足项目实施，具有优化建议的得[6-8]分；B.实施方案完整，可行，有针对性，能满足项目实施的全部要求的得[4-6）分；C.实施方案有较大缺陷，或完全套用其他项目且内容较少的得[2-4）分;D.实施方案存在不利于采购人安全作业要求实现的，得（0-2）分。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具体的安全作业方案及安全配套措施进行综合评审。A.提供具体详细、有针对性的安全作业方案及安全配套措施，完全符合采购人安全作业要求且具有优化建议的，得[6-8]分；B.提供安全作业方案及安全配套措施，符合采购人安全作业的要求，得[4-6）分；C.提供的安全作业方案及安全配套措施非专门针对本项目，套用其他项目内容，存在逻辑漏洞或前后内容不一致的得[2-4）分；D.提供的安全作业方案及安全配套措施简陋，存在不利于采购人安全作业要求实现的，得（0-2）分。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A.措施计划详细齐全、合理且切实可行，完全满足采购人需求，具有优化建议的得[6-7]分；B.措施计划齐全、合理、切实可行，满足采购人需求得[4-6）分；C.措施计划非专门针对本项目，存在逻辑漏洞或前后内容不一致的得[2-4）分；D.措施计划有较大缺陷，或完全套用其他项目且内容较少的得（0-2）分；E.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根据供应商制定的确保工程质量及工期的技术组织措施进行综合评审。A.措施计划详细齐全、合理且切实可行，完全满足采购人需求，具有优化建议的得[6-8]分；B.措施计划齐全、合理、切实可行，满足采购人需求得[4-6）分；C.措施计划非专门针对本项目，存在逻辑漏洞或前后内容不一致的得[2-4）分；D.措施计划有较大缺陷，或完全套用其他项目且内容较少的得（0-2）分；E.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项目经理学历</w:t>
            </w:r>
          </w:p>
        </w:tc>
        <w:tc>
          <w:tcPr>
            <w:tcW w:type="dxa" w:w="2492"/>
          </w:tcPr>
          <w:p>
            <w:pPr>
              <w:pStyle w:val="null3"/>
            </w:pPr>
            <w:r>
              <w:rPr>
                <w:rFonts w:ascii="仿宋_GB2312" w:hAnsi="仿宋_GB2312" w:cs="仿宋_GB2312" w:eastAsia="仿宋_GB2312"/>
              </w:rPr>
              <w:t>具备本科及以上学历（以供应商加盖公章的学历证复印件或扫描件为准）得2分，其它不得分。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具备工程类中级及以上职称（以供应商加盖公章的职称证复印件或扫描件为准）得2分，其它不得分。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提供供应商拟派项目经理2023年1月至今同类工程项目业绩 (业绩证明材料为加盖供应商公章的合同复印件或扫描件为准，时间以合同签订日期为准，项目经理以合同或中标通知书中约定的项目经理姓名或其他有效证明资料为准。)，每有1项得2分，最多得4分；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A.施工机械配备合理并提供设备来源证明材料，证明材料齐全且投入材料环保性优于国家标准的得[4-6]分；B.施工机械配备合理和材料环保性较好，提供了设备来源证明材料的得[2-4）分；C.施工机械配备和材料投入计划基本合理、可行，但未提供其他证明材料的得（0-2）分；D.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供应商提供针对本项目提供主要材料清单（清单内容包括但不限于材料名称、品牌、规格、技术参数等）。A、主要材料配备合理并提供来源证明材料，证明材料齐全、投入材料环保性优于国家标准且主要材料通过FIBA认证的计[9-12]分； B、主要材料配备齐全、合理，材料环保性符合国家标准，提供了来源证明材料的计[7-9）分； C、主要材料清单内容不全，技术参数简单，材料环保性符合国家标准的计[3-7）分；D.主要材料配备和材料投入计划存在逻辑漏洞或前后内容不一致计（0-3）分；E、未提供得0分。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提供供应商2023年1月至今同类工程项目业绩；每提供1份计4分，满分8分。（以合同签订日期为准）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满足磋商文件要求且最后报价最低的磋商报价为磋商基准价，其价格分为满分。其他供应商的价格分统一按照下列公式计算：报价得分=（磋商基准价/最后报价）×最后报价总分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