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版本号：WDZB2026-123920260713001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政务大厅工作人员工服采购项目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WDZB2026-1239</w:t>
      </w:r>
      <w:r>
        <w:br/>
      </w:r>
      <w:r>
        <w:br/>
      </w:r>
      <w:r>
        <w:br/>
      </w:r>
    </w:p>
    <w:p>
      <w:pPr>
        <w:pStyle w:val="null3"/>
        <w:jc w:val="center"/>
        <w:outlineLvl w:val="2"/>
      </w:pPr>
      <w:r>
        <w:rPr>
          <w:rFonts w:ascii="仿宋_GB2312" w:hAnsi="仿宋_GB2312" w:cs="仿宋_GB2312" w:eastAsia="仿宋_GB2312"/>
          <w:sz w:val="28"/>
          <w:b/>
        </w:rPr>
        <w:t>富平县行政服务中心</w:t>
      </w:r>
    </w:p>
    <w:p>
      <w:pPr>
        <w:pStyle w:val="null3"/>
        <w:jc w:val="center"/>
        <w:outlineLvl w:val="2"/>
      </w:pPr>
      <w:r>
        <w:rPr>
          <w:rFonts w:ascii="仿宋_GB2312" w:hAnsi="仿宋_GB2312" w:cs="仿宋_GB2312" w:eastAsia="仿宋_GB2312"/>
          <w:sz w:val="28"/>
          <w:b/>
        </w:rPr>
        <w:t>陕西万德招标有限公司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陕西万德招标有限公司</w:t>
      </w:r>
      <w:r>
        <w:rPr>
          <w:rFonts w:ascii="仿宋_GB2312" w:hAnsi="仿宋_GB2312" w:cs="仿宋_GB2312" w:eastAsia="仿宋_GB2312"/>
        </w:rPr>
        <w:t>（以下简称“代理机构”）受</w:t>
      </w:r>
      <w:r>
        <w:rPr>
          <w:rFonts w:ascii="仿宋_GB2312" w:hAnsi="仿宋_GB2312" w:cs="仿宋_GB2312" w:eastAsia="仿宋_GB2312"/>
        </w:rPr>
        <w:t>富平县行政服务中心</w:t>
      </w:r>
      <w:r>
        <w:rPr>
          <w:rFonts w:ascii="仿宋_GB2312" w:hAnsi="仿宋_GB2312" w:cs="仿宋_GB2312" w:eastAsia="仿宋_GB2312"/>
        </w:rPr>
        <w:t>委托，拟对</w:t>
      </w:r>
      <w:r>
        <w:rPr>
          <w:rFonts w:ascii="仿宋_GB2312" w:hAnsi="仿宋_GB2312" w:cs="仿宋_GB2312" w:eastAsia="仿宋_GB2312"/>
        </w:rPr>
        <w:t>政务大厅工作人员工服采购项目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WDZB2026-1239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政务大厅工作人员工服采购项目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富平县行政服务中心政务大厅工作人员工服采购项目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采购包1（富平县行政服务中心政务大厅工作人员工服采购项目）：属于专门面向小微企业采购。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代表身份证明：投标人应授权合法的人员参加投标，其中法定代表人或单位负责人直接参加的，须出具法定代表人或单位负责人身份证明书；被授权人参加的，须出具法定代表人或单位负责人身份证明书及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富平县行政服务中心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富平县莲湖大街东段便民服务大厅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惠琳娜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0913-8220856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西安市南二环西段21号华融国际商务大厦A座10层D区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张亚亚、曹国霞、张静、戚洪良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029-85561862/85561863转810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及《国家发展改革委办公厅关于招标代理服务收费有关问题的通知》（发改办价格[2003]857号）中的规定，按差额定率累进法计算，以中标通知书确定的中标金额作为收费计算依据，按标准不足人民币陆仟伍佰元整（¥6500.00元）的，按人民币陆仟伍佰元整（¥6500.00元）收取。经甲乙双方协商后决定，由中标（成交）人在领取中标（成交）通知书前向采购代理机构一次性支付。 招标代理服务费支付方式：银行转账或现金方式。收款单位：陕西万德招标有限公司；开户银行：中国银行西安南二环支行；银行账号：103673241394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富平县行政服务中心</w:t>
      </w:r>
      <w:r>
        <w:rPr>
          <w:rFonts w:ascii="仿宋_GB2312" w:hAnsi="仿宋_GB2312" w:cs="仿宋_GB2312" w:eastAsia="仿宋_GB2312"/>
        </w:rPr>
        <w:t>和</w:t>
      </w:r>
      <w:r>
        <w:rPr>
          <w:rFonts w:ascii="仿宋_GB2312" w:hAnsi="仿宋_GB2312" w:cs="仿宋_GB2312" w:eastAsia="仿宋_GB2312"/>
        </w:rPr>
        <w:t>陕西万德招标有限公司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富平县行政服务中心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富平县行政服务中心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联系人：张亚亚</w:t>
      </w:r>
    </w:p>
    <w:p>
      <w:pPr>
        <w:pStyle w:val="null3"/>
      </w:pPr>
      <w:r>
        <w:rPr>
          <w:rFonts w:ascii="仿宋_GB2312" w:hAnsi="仿宋_GB2312" w:cs="仿宋_GB2312" w:eastAsia="仿宋_GB2312"/>
        </w:rPr>
        <w:t>联系电话：029-85561862转810</w:t>
      </w:r>
    </w:p>
    <w:p>
      <w:pPr>
        <w:pStyle w:val="null3"/>
      </w:pPr>
      <w:r>
        <w:rPr>
          <w:rFonts w:ascii="仿宋_GB2312" w:hAnsi="仿宋_GB2312" w:cs="仿宋_GB2312" w:eastAsia="仿宋_GB2312"/>
        </w:rPr>
        <w:t>地址：西安市南二环西段21号华融国际商务大厦A座10层D区</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富平县行政服务中心政务大厅工作人员工服采购项目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468,000.00</w:t>
      </w:r>
    </w:p>
    <w:p>
      <w:pPr>
        <w:pStyle w:val="null3"/>
      </w:pPr>
      <w:r>
        <w:rPr>
          <w:rFonts w:ascii="仿宋_GB2312" w:hAnsi="仿宋_GB2312" w:cs="仿宋_GB2312" w:eastAsia="仿宋_GB2312"/>
        </w:rPr>
        <w:t>采购包最高限价（元）: 468,000.00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富平县行政服务中心政务大厅工作人员工服采购项目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标的名称：富平县行政服务中心政务大厅工作人员工服采购项目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4"/>
              <w:gridCol w:w="228"/>
              <w:gridCol w:w="622"/>
              <w:gridCol w:w="965"/>
              <w:gridCol w:w="223"/>
              <w:gridCol w:w="169"/>
              <w:gridCol w:w="218"/>
            </w:tblGrid>
            <w:tr>
              <w:tc>
                <w:tcPr>
                  <w:tcW w:type="dxa" w:w="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面料成分</w:t>
                  </w:r>
                </w:p>
              </w:tc>
              <w:tc>
                <w:tcPr>
                  <w:tcW w:type="dxa" w:w="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款式描述</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r>
                    <w:rPr>
                      <w:rFonts w:ascii="仿宋_GB2312" w:hAnsi="仿宋_GB2312" w:cs="仿宋_GB2312" w:eastAsia="仿宋_GB2312"/>
                      <w:sz w:val="21"/>
                    </w:rPr>
                    <w:t>/人</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男士西装</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50%丝光羊毛20%聚酯纤维10%竹纤维20%弹力纤维</w:t>
                  </w:r>
                  <w:r>
                    <w:rPr>
                      <w:rFonts w:ascii="仿宋_GB2312" w:hAnsi="仿宋_GB2312" w:cs="仿宋_GB2312" w:eastAsia="仿宋_GB2312"/>
                      <w:sz w:val="21"/>
                    </w:rPr>
                    <w:t>（</w:t>
                  </w:r>
                  <w:r>
                    <w:rPr>
                      <w:rFonts w:ascii="仿宋_GB2312" w:hAnsi="仿宋_GB2312" w:cs="仿宋_GB2312" w:eastAsia="仿宋_GB2312"/>
                      <w:sz w:val="21"/>
                    </w:rPr>
                    <w:t>允许误差</w:t>
                  </w:r>
                  <w:r>
                    <w:rPr>
                      <w:rFonts w:ascii="仿宋_GB2312" w:hAnsi="仿宋_GB2312" w:cs="仿宋_GB2312" w:eastAsia="仿宋_GB2312"/>
                      <w:sz w:val="21"/>
                    </w:rPr>
                    <w:t>±2%以内）</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平驳领，门襟二粒扣，后中开叉，领子门襟带盖贡针，上手巾袋，下平袋盖，袖口半真叉真眼不开刀四粒叠扣，藏青色。</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男士西裤</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50%丝光羊毛20%聚酯纤维10%竹纤维20%弹力纤维（允许误差±2%以内）</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前无折，后单省，内松紧腰，加防滑腰里，前斜插袋，后双支线口袋，藏青色。</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女士西装</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50%丝光羊毛20%聚酯纤维10%竹纤维20%弹力纤维</w:t>
                  </w:r>
                  <w:r>
                    <w:rPr>
                      <w:rFonts w:ascii="仿宋_GB2312" w:hAnsi="仿宋_GB2312" w:cs="仿宋_GB2312" w:eastAsia="仿宋_GB2312"/>
                      <w:sz w:val="21"/>
                    </w:rPr>
                    <w:t>（</w:t>
                  </w:r>
                  <w:r>
                    <w:rPr>
                      <w:rFonts w:ascii="仿宋_GB2312" w:hAnsi="仿宋_GB2312" w:cs="仿宋_GB2312" w:eastAsia="仿宋_GB2312"/>
                      <w:sz w:val="21"/>
                    </w:rPr>
                    <w:t>允许误差</w:t>
                  </w:r>
                  <w:r>
                    <w:rPr>
                      <w:rFonts w:ascii="仿宋_GB2312" w:hAnsi="仿宋_GB2312" w:cs="仿宋_GB2312" w:eastAsia="仿宋_GB2312"/>
                      <w:sz w:val="21"/>
                    </w:rPr>
                    <w:t>±2%以内</w:t>
                  </w:r>
                  <w:r>
                    <w:rPr>
                      <w:rFonts w:ascii="仿宋_GB2312" w:hAnsi="仿宋_GB2312" w:cs="仿宋_GB2312" w:eastAsia="仿宋_GB2312"/>
                      <w:sz w:val="21"/>
                    </w:rPr>
                    <w:t>）</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平驳领，门襟二粒扣，平袋盖，后不开叉，袖口半真叉真眼不开刀四粒叠扣，藏青色。</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女士西裤</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50%丝光羊毛20%聚酯纤维10%竹纤维20%弹力纤维</w:t>
                  </w:r>
                  <w:r>
                    <w:rPr>
                      <w:rFonts w:ascii="仿宋_GB2312" w:hAnsi="仿宋_GB2312" w:cs="仿宋_GB2312" w:eastAsia="仿宋_GB2312"/>
                      <w:sz w:val="21"/>
                    </w:rPr>
                    <w:t>（</w:t>
                  </w:r>
                  <w:r>
                    <w:rPr>
                      <w:rFonts w:ascii="仿宋_GB2312" w:hAnsi="仿宋_GB2312" w:cs="仿宋_GB2312" w:eastAsia="仿宋_GB2312"/>
                      <w:sz w:val="21"/>
                    </w:rPr>
                    <w:t>允许误差</w:t>
                  </w:r>
                  <w:r>
                    <w:rPr>
                      <w:rFonts w:ascii="仿宋_GB2312" w:hAnsi="仿宋_GB2312" w:cs="仿宋_GB2312" w:eastAsia="仿宋_GB2312"/>
                      <w:sz w:val="21"/>
                    </w:rPr>
                    <w:t>±2%以内</w:t>
                  </w:r>
                  <w:r>
                    <w:rPr>
                      <w:rFonts w:ascii="仿宋_GB2312" w:hAnsi="仿宋_GB2312" w:cs="仿宋_GB2312" w:eastAsia="仿宋_GB2312"/>
                      <w:sz w:val="21"/>
                    </w:rPr>
                    <w:t>）</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前单省，后单省，两侧松紧腰，前斜插袋冬裤有里布，藏青色。</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男女短袖</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74%聚酯纤维23%再生纤维素纤维3%氨纶</w:t>
                  </w:r>
                  <w:r>
                    <w:rPr>
                      <w:rFonts w:ascii="仿宋_GB2312" w:hAnsi="仿宋_GB2312" w:cs="仿宋_GB2312" w:eastAsia="仿宋_GB2312"/>
                      <w:sz w:val="21"/>
                    </w:rPr>
                    <w:t>（</w:t>
                  </w:r>
                  <w:r>
                    <w:rPr>
                      <w:rFonts w:ascii="仿宋_GB2312" w:hAnsi="仿宋_GB2312" w:cs="仿宋_GB2312" w:eastAsia="仿宋_GB2312"/>
                      <w:sz w:val="21"/>
                    </w:rPr>
                    <w:t>允许误差</w:t>
                  </w:r>
                  <w:r>
                    <w:rPr>
                      <w:rFonts w:ascii="仿宋_GB2312" w:hAnsi="仿宋_GB2312" w:cs="仿宋_GB2312" w:eastAsia="仿宋_GB2312"/>
                      <w:sz w:val="21"/>
                    </w:rPr>
                    <w:t>±2%以内</w:t>
                  </w:r>
                  <w:r>
                    <w:rPr>
                      <w:rFonts w:ascii="仿宋_GB2312" w:hAnsi="仿宋_GB2312" w:cs="仿宋_GB2312" w:eastAsia="仿宋_GB2312"/>
                      <w:sz w:val="21"/>
                    </w:rPr>
                    <w:t>）</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正版修身，嵌条工艺，精心匠作，袖笼，直缝，肩缝，后复司加衬条，蓝色。</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男女长袖</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71%聚酯纤维27%莫代尔2%氨纶</w:t>
                  </w:r>
                  <w:r>
                    <w:rPr>
                      <w:rFonts w:ascii="仿宋_GB2312" w:hAnsi="仿宋_GB2312" w:cs="仿宋_GB2312" w:eastAsia="仿宋_GB2312"/>
                      <w:sz w:val="21"/>
                    </w:rPr>
                    <w:t>（</w:t>
                  </w:r>
                  <w:r>
                    <w:rPr>
                      <w:rFonts w:ascii="仿宋_GB2312" w:hAnsi="仿宋_GB2312" w:cs="仿宋_GB2312" w:eastAsia="仿宋_GB2312"/>
                      <w:sz w:val="21"/>
                    </w:rPr>
                    <w:t>允许误差</w:t>
                  </w:r>
                  <w:r>
                    <w:rPr>
                      <w:rFonts w:ascii="仿宋_GB2312" w:hAnsi="仿宋_GB2312" w:cs="仿宋_GB2312" w:eastAsia="仿宋_GB2312"/>
                      <w:sz w:val="21"/>
                    </w:rPr>
                    <w:t>±1%以内）</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正版修身，嵌条工艺，精心匠作，袖笼，直缝，肩缝，后复司加衬条，蓝色。</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男士夏裤</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20%舒弹丝24%竹纤维10%粘纤46%聚酯纤维</w:t>
                  </w:r>
                  <w:r>
                    <w:rPr>
                      <w:rFonts w:ascii="仿宋_GB2312" w:hAnsi="仿宋_GB2312" w:cs="仿宋_GB2312" w:eastAsia="仿宋_GB2312"/>
                      <w:sz w:val="21"/>
                    </w:rPr>
                    <w:t>（</w:t>
                  </w:r>
                  <w:r>
                    <w:rPr>
                      <w:rFonts w:ascii="仿宋_GB2312" w:hAnsi="仿宋_GB2312" w:cs="仿宋_GB2312" w:eastAsia="仿宋_GB2312"/>
                      <w:sz w:val="21"/>
                    </w:rPr>
                    <w:t>允许误差</w:t>
                  </w:r>
                  <w:r>
                    <w:rPr>
                      <w:rFonts w:ascii="仿宋_GB2312" w:hAnsi="仿宋_GB2312" w:cs="仿宋_GB2312" w:eastAsia="仿宋_GB2312"/>
                      <w:sz w:val="21"/>
                    </w:rPr>
                    <w:t>±2%以内</w:t>
                  </w:r>
                  <w:r>
                    <w:rPr>
                      <w:rFonts w:ascii="仿宋_GB2312" w:hAnsi="仿宋_GB2312" w:cs="仿宋_GB2312" w:eastAsia="仿宋_GB2312"/>
                      <w:sz w:val="21"/>
                    </w:rPr>
                    <w:t>）</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前无折，后单省，夏裤无里布，暗松紧，加防滑条，藏青色。</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女士夏裤</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20%舒弹丝24%竹纤维10%粘纤46%聚酯纤维</w:t>
                  </w:r>
                  <w:r>
                    <w:rPr>
                      <w:rFonts w:ascii="仿宋_GB2312" w:hAnsi="仿宋_GB2312" w:cs="仿宋_GB2312" w:eastAsia="仿宋_GB2312"/>
                      <w:sz w:val="21"/>
                    </w:rPr>
                    <w:t>（</w:t>
                  </w:r>
                  <w:r>
                    <w:rPr>
                      <w:rFonts w:ascii="仿宋_GB2312" w:hAnsi="仿宋_GB2312" w:cs="仿宋_GB2312" w:eastAsia="仿宋_GB2312"/>
                      <w:sz w:val="21"/>
                    </w:rPr>
                    <w:t>允许误差</w:t>
                  </w:r>
                  <w:r>
                    <w:rPr>
                      <w:rFonts w:ascii="仿宋_GB2312" w:hAnsi="仿宋_GB2312" w:cs="仿宋_GB2312" w:eastAsia="仿宋_GB2312"/>
                      <w:sz w:val="21"/>
                    </w:rPr>
                    <w:t>±2%以内</w:t>
                  </w:r>
                  <w:r>
                    <w:rPr>
                      <w:rFonts w:ascii="仿宋_GB2312" w:hAnsi="仿宋_GB2312" w:cs="仿宋_GB2312" w:eastAsia="仿宋_GB2312"/>
                      <w:sz w:val="21"/>
                    </w:rPr>
                    <w:t>）</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弧形腰两侧暗松紧，夏裤无里布，藏青色。</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253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注：</w:t>
                  </w:r>
                  <w:r>
                    <w:rPr>
                      <w:rFonts w:ascii="仿宋_GB2312" w:hAnsi="仿宋_GB2312" w:cs="仿宋_GB2312" w:eastAsia="仿宋_GB2312"/>
                      <w:sz w:val="20"/>
                      <w:b/>
                    </w:rPr>
                    <w:t>1、人数：228人。</w:t>
                  </w:r>
                </w:p>
                <w:p>
                  <w:pPr>
                    <w:pStyle w:val="null3"/>
                    <w:ind w:firstLine="402"/>
                    <w:jc w:val="left"/>
                  </w:pPr>
                  <w:r>
                    <w:rPr>
                      <w:rFonts w:ascii="仿宋_GB2312" w:hAnsi="仿宋_GB2312" w:cs="仿宋_GB2312" w:eastAsia="仿宋_GB2312"/>
                      <w:sz w:val="20"/>
                      <w:b/>
                    </w:rPr>
                    <w:t>2、供应商需安排专业人员提供全员量体服务，确保尺寸精准。</w:t>
                  </w:r>
                </w:p>
                <w:p>
                  <w:pPr>
                    <w:pStyle w:val="null3"/>
                    <w:ind w:firstLine="402"/>
                    <w:jc w:val="left"/>
                  </w:pPr>
                  <w:r>
                    <w:rPr>
                      <w:rFonts w:ascii="仿宋_GB2312" w:hAnsi="仿宋_GB2312" w:cs="仿宋_GB2312" w:eastAsia="仿宋_GB2312"/>
                      <w:sz w:val="20"/>
                      <w:b/>
                    </w:rPr>
                    <w:t>3、供应商提供的服装面料、辅料、配件（料）和制作工艺等有关安全与质量应执行国家标准。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与采购人应严格按照政府采购相关法律法规以及《财政部关于进一步加强政府采购需求和履约验收管理的指导意见》（财库〔2016〕205号）、《政府采购需求管理办法》（财库〔2021〕22号）、《陕西省财政厅关于进一步加强政府采购履约验收管理有关事项的通知》（陕财办采函〔2025〕19 号）的要求进行验收。 2、本项目在中标人通知服务履约完毕后进行验收。 3、验收依据包括但不限于合同文本、招标文件、投标文件。 4、验收合格后，填写验收单，并向采购人提交所有资料，以便使用单位日后管理和维护。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1、投标人必须保证提供的货物更换或修补等均要符合有关法律、法规；投标人必须承担因所供货物而引起的全部法律责任。 2、质保期为:12个月（国家标准有要求或产品厂商有更高质保承诺或招标文件技术参数中有单独要求的，按更长质保期进行质保。）若投标人承诺质保期限超过招标文件要求，按其承诺执行。 3、投标人承诺的质保期起始时间为终验合格之日。 4、质量保证期内，投标人免费负责服装本身质量原因造成的修补或者换新。 5、超过质保期后，如服装需要换新，投标人须按采购人要求提供服装，费用由采购人支付。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1、按《中华人民共和国民法典》及有关法律法规中的相关条款对违约情况进行处理。 2、未按合同要求提供货物或货物质量不能满足要求，采购人会同相关单位有权终止合同，并对违约方的违约行为进行追究，同时按有关法规进行相应的处罚。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1、投标人需要在线提交所有通过电子化交易平台实施的政府采购项目的投标文件，结果公告发布后，中标人须线下提交纸质投标文件正本壹份、副本贰份。 2、样品须知： ①样品清单：男士西装1件、男士西裤1条、女士西装1件、女士西裤1条、男女短袖1件、男女长袖1件、男士夏裤1条、女士夏裤1条。备注：按技术参数与性能指标要求提供（不需要随样品提交相关检测报告）。 ②投标人的样品制作、搬运等相关费用由投标人承担。 ③投标人应当于投标文件截止时间前将样品送达接收地点，包装不得出现公司名称及商标，密封提交，工作人员将对样品进行编号，逾期送达或未密封提交的样品，均不予接收。接收时间：须于投标文件递交截止时间前提交，递交受理时段为每日 08:30—17:30。接收地点：西安市南二环西段21号华融国际商务大厦A座10层D区。 ④送达样品时，投标人应按代理机构工作人员指示进行封样。封样后，由代理机构保存。 ⑤中标结果公告后，中标人的封样样品移交采购人保存，用于验收比对。中标人最终提供的服装配件用料、外观质量、制作工艺、款式档次等均不得低于样品的相关标准，且完全满足采购文件对产品的要求和标准。未中标人样品如数退回，在收到代理机构工作人员通知领取样品后，3个工作日内办理移交。中标人的样品在全部产品供货完成并验收合格后退还。 3、特殊要求： ①本项目样品评审采用盲样，投标人递交的样品上不得看见可以识别投标人的任何标志或标识或具有暗示性的文字、图案、装饰等。 ②盲样评审前进行随机编号后进入评审。 说明：投标人若未按送样须知送样，给本次采购项目造成影响的由其自身承担。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有效的主体资格证明：具有独立承担民事责任能力的法人、其他组织或自然人，并出具合法有效的营业执照或事业单位法人证书等国家规定的相关证明，自然人参与的提供其身份证明；1-2、财务状况报告（任选其一）：(1)、提供2025年度经审计的财务报告（须包含：资产负债表、现金流量表、利润表、所有者权益变动表、财务报表附注、审计公司证照及经办注册会计师资格证书）；(2)、提供2026年01月01日至今中任意一天出具的基本账户银行出具的资信证明（附开户行许可证或基本存款账户信息）；1-3、税收缴纳证明：提供2026年01月01日至今中已缴纳的至少一个月的纳税证明或完税证明，依法免税的单位应提供相关证明材料；1-4、社会保障资金缴纳证明：提供2026年01月01日至今中已缴纳的至少一个月的社会保障资金缴存单据或社保机构开具的社会保险参保缴费情况证明，依法不需要缴纳社会保障资金的单位应提供相关证明材料；1-5、无重大违法记录的声明：提供参加政府采购活动前三年内在经营活动中没有重大违法记录的书面声明；（招标采购单位将于本项目投标截止日在‘信用中国’网站、‘中国政府采购网’网站等渠道对投标人进行信用记录查询，凡被列入失信被执行人、重大税收违法失信主体、政府采购严重违法失信行为记录名单的，视为存在不良信用记录，参与本项目的将被拒绝。）； 1-6、履行本合同所必需的设备和专业技术能力：提供具有履行本合同所必需的设备和专业技术能力的说明及承诺。</w:t>
            </w:r>
          </w:p>
        </w:tc>
        <w:tc>
          <w:tcPr>
            <w:tcW w:type="dxa" w:w="1661"/>
          </w:tcPr>
          <w:p>
            <w:pPr>
              <w:pStyle w:val="null3"/>
            </w:pPr>
            <w:r>
              <w:rPr>
                <w:rFonts w:ascii="仿宋_GB2312" w:hAnsi="仿宋_GB2312" w:cs="仿宋_GB2312" w:eastAsia="仿宋_GB2312"/>
              </w:rPr>
              <w:t>投标函 投标人应提交的相关资格证明材料 附件一、投标人资格证明文件.docx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投标人代表身份证明</w:t>
            </w:r>
          </w:p>
        </w:tc>
        <w:tc>
          <w:tcPr>
            <w:tcW w:type="dxa" w:w="3322"/>
          </w:tcPr>
          <w:p>
            <w:pPr>
              <w:pStyle w:val="null3"/>
            </w:pPr>
            <w:r>
              <w:rPr>
                <w:rFonts w:ascii="仿宋_GB2312" w:hAnsi="仿宋_GB2312" w:cs="仿宋_GB2312" w:eastAsia="仿宋_GB2312"/>
              </w:rPr>
              <w:t>投标人应授权合法的人员参加投标，其中法定代表人或单位负责人直接参加的，须出具法定代表人或单位负责人身份证明书；被授权人参加的，须出具法定代表人或单位负责人身份证明书及授权书。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附件一、投标人资格证明文件.docx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30分钟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附件三、分项报价表.docx 中小企业声明函 商务应答表 附件四、投标方案.docx 投标人应提交的相关资格证明材料 附件一、投标人资格证明文件.docx 产品技术参数表 投标函 附件二、投标人业绩.docx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（3）未超出采购预算或最高限价； （4）符合“开标一览表”的填报要求。</w:t>
            </w:r>
          </w:p>
        </w:tc>
        <w:tc>
          <w:tcPr>
            <w:tcW w:type="dxa" w:w="1661"/>
          </w:tcPr>
          <w:p>
            <w:pPr>
              <w:pStyle w:val="null3"/>
            </w:pPr>
            <w:r>
              <w:rPr>
                <w:rFonts w:ascii="仿宋_GB2312" w:hAnsi="仿宋_GB2312" w:cs="仿宋_GB2312" w:eastAsia="仿宋_GB2312"/>
              </w:rPr>
              <w:t>开标一览表 附件三、分项报价表.docx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完全响应招标文件商务要求实质性条款。 注：第三部分商务要求均为实质性条款。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投标产品完全符合、响应招标文件要求，无负偏离的计满分15分，参数中每有一条负偏离扣1分，扣完为止。 注：投标人应尽可能的提供相关技术指标的证明材料，包括但不限于产品证书、检测报告等相关资料，予以证明其技术参数的响应性。</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1.投标人为代理商时，提供所投产品制造商授权证明（包括但不限于产品制造商授权书、销售协议、代理协议等），每提供1个产品的得0.5分，最多得4分（相同产品的不同证明文件不重复计分）。 2.投标人为所投产品制造商的，提供所投品牌为本制造商合法生产制造声明函及质量保证承诺函（格式自拟），每个产品得0.5分，最多得4分。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附件四、投标方案.docx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1.提供所投产品制造商出具的售后服务承诺书。每提供1个产品的得0.5分，最多得4分（相同产品的不同证明文件不重复计分）。 2.原厂质保满足招标文件基本要求的，不得分；在此基础上，每增加1年免费质保得1分（不足1年不计，以制造商出具的售后服务承诺书为准），最多得2分；若投标文件中出现前后不一致的情况，以制造商出具的售后服务承诺书最低免费质保期作为评分依据。 3.投标人具备售后服务机构，提供有效的办公场所证明材料的，得2分，未提供不得分。 4.投标人提供售后服务范围、售后服务快速响应时限及7*24小时响应服务的，得2分，缺少任意一项或未提供不得分。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附件四、投标方案.docx</w:t>
            </w:r>
          </w:p>
        </w:tc>
      </w:tr>
      <w:tr>
        <w:tc>
          <w:tcPr>
            <w:tcW w:type="dxa" w:w="831"/>
            <w:vMerge/>
          </w:tcPr>
          <w:p/>
        </w:tc>
        <w:tc>
          <w:tcPr>
            <w:tcW w:type="dxa" w:w="1661"/>
          </w:tcPr>
          <w:p>
            <w:pPr>
              <w:pStyle w:val="null3"/>
            </w:pPr>
            <w:r>
              <w:rPr>
                <w:rFonts w:ascii="仿宋_GB2312" w:hAnsi="仿宋_GB2312" w:cs="仿宋_GB2312" w:eastAsia="仿宋_GB2312"/>
              </w:rPr>
              <w:t>交货时间</w:t>
            </w:r>
          </w:p>
        </w:tc>
        <w:tc>
          <w:tcPr>
            <w:tcW w:type="dxa" w:w="2492"/>
          </w:tcPr>
          <w:p>
            <w:pPr>
              <w:pStyle w:val="null3"/>
            </w:pPr>
            <w:r>
              <w:rPr>
                <w:rFonts w:ascii="仿宋_GB2312" w:hAnsi="仿宋_GB2312" w:cs="仿宋_GB2312" w:eastAsia="仿宋_GB2312"/>
              </w:rPr>
              <w:t>交货时间响应（2分）：以招标文件规定交货期限为基准，与招标文件基本要求的相等的不得分，投标人承诺交货时间较基准期限每缩短3天（以开标一览表为准）得1分，本项满分2分。若投标文件中出现前后不一致的情况，以开标一览表中的交货时间作为评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附件四、投标方案.docx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项目专业人员团队配置</w:t>
            </w:r>
          </w:p>
        </w:tc>
        <w:tc>
          <w:tcPr>
            <w:tcW w:type="dxa" w:w="2492"/>
          </w:tcPr>
          <w:p>
            <w:pPr>
              <w:pStyle w:val="null3"/>
            </w:pPr>
            <w:r>
              <w:rPr>
                <w:rFonts w:ascii="仿宋_GB2312" w:hAnsi="仿宋_GB2312" w:cs="仿宋_GB2312" w:eastAsia="仿宋_GB2312"/>
              </w:rPr>
              <w:t>1、项目经理（或负责人）（3分）： 具有项目经理（或负责人）岗位的工作经验，5年或以上的得3分，2年（含）-5年（不含）得1分，其余不得分。提供由投标人出具的工作履历表（应包含该人员从事对应工作内容的起止时间及所负责的工作内容）。 2、其余人员（项目负责人除外）（3分）： 每提供一个服装类设计师相关证书得1分，满分3分，未提供不得分。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附件四、投标方案.docx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投标人根据本项目特点，提供质量保证方案。具体包括：①原材料、配件质量安全保障措施；②服装质量保证措施及承诺；③特型、尺寸误差、产品质量问题处理及补救措施。 注：3项资料全部齐全且全部列明完整信息得9分；缺任意1项扣3分，扣完为止，未提供不得分。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附件四、投标方案.docx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提供2023年06月至今同类业绩（仅限于投标人自己实施的），每提供1个得1分，最多得3分。 注：提供合同复印件（内容至少包括签订合同的首页、签字盖章页及货物明细页）。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附件二、投标人业绩.docx</w:t>
            </w:r>
          </w:p>
        </w:tc>
      </w:tr>
      <w:tr>
        <w:tc>
          <w:tcPr>
            <w:tcW w:type="dxa" w:w="831"/>
            <w:vMerge/>
          </w:tcPr>
          <w:p/>
        </w:tc>
        <w:tc>
          <w:tcPr>
            <w:tcW w:type="dxa" w:w="1661"/>
          </w:tcPr>
          <w:p>
            <w:pPr>
              <w:pStyle w:val="null3"/>
            </w:pPr>
            <w:r>
              <w:rPr>
                <w:rFonts w:ascii="仿宋_GB2312" w:hAnsi="仿宋_GB2312" w:cs="仿宋_GB2312" w:eastAsia="仿宋_GB2312"/>
              </w:rPr>
              <w:t>节能、 环保</w:t>
            </w:r>
          </w:p>
        </w:tc>
        <w:tc>
          <w:tcPr>
            <w:tcW w:type="dxa" w:w="2492"/>
          </w:tcPr>
          <w:p>
            <w:pPr>
              <w:pStyle w:val="null3"/>
            </w:pPr>
            <w:r>
              <w:rPr>
                <w:rFonts w:ascii="仿宋_GB2312" w:hAnsi="仿宋_GB2312" w:cs="仿宋_GB2312" w:eastAsia="仿宋_GB2312"/>
              </w:rPr>
              <w:t>所投产品中属于政府采购优先采购范围的，则每有一项为节能产品或者环境标志产品的得0.5分，每有一项既是节能产品又是环境标志产品的得1分，非节能、环境标志产品的不得分。本项最多得1分。 注：①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 ②所投产品属于优先采购范围内的节能产品或者环境标志产品的，提供国家确定的认证机构出具的、处于有效期之内的节能产品、环境标志产品认证证书复印件加盖公章。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附件四、投标方案.docx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根据本项目特点，提供项目实施方案。具体包括：①加工及制作流程；②生产设备；③量体方案；④针对项目实际配置的服务人员及岗位分工等；⑤供货方案，包装、运输、配送方案；⑥突发事件应急预案。 注：每具有一项得1分，最多得6分。在此基础上，方案中存在缺陷的，每1项中每有1处扣0.1分，每项最多扣1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附件四、投标方案.docx</w:t>
            </w:r>
          </w:p>
        </w:tc>
      </w:tr>
      <w:tr>
        <w:tc>
          <w:tcPr>
            <w:tcW w:type="dxa" w:w="831"/>
            <w:vMerge/>
          </w:tcPr>
          <w:p/>
        </w:tc>
        <w:tc>
          <w:tcPr>
            <w:tcW w:type="dxa" w:w="1661"/>
          </w:tcPr>
          <w:p>
            <w:pPr>
              <w:pStyle w:val="null3"/>
            </w:pPr>
            <w:r>
              <w:rPr>
                <w:rFonts w:ascii="仿宋_GB2312" w:hAnsi="仿宋_GB2312" w:cs="仿宋_GB2312" w:eastAsia="仿宋_GB2312"/>
              </w:rPr>
              <w:t>样品质量</w:t>
            </w:r>
          </w:p>
        </w:tc>
        <w:tc>
          <w:tcPr>
            <w:tcW w:type="dxa" w:w="2492"/>
          </w:tcPr>
          <w:p>
            <w:pPr>
              <w:pStyle w:val="null3"/>
            </w:pPr>
            <w:r>
              <w:rPr>
                <w:rFonts w:ascii="仿宋_GB2312" w:hAnsi="仿宋_GB2312" w:cs="仿宋_GB2312" w:eastAsia="仿宋_GB2312"/>
              </w:rPr>
              <w:t>根据投标人提供的样品质量综合评审，具体包括： ①样品数量齐全完整无缺漏，且水洗唛（耐久性标签）上纤维成分及含量符合招标文件技术参数要求； ②服装版型及款式设计简约大气、制作精美； ③服装整体外观效果配色合理美观、穿着舒适； ④服装的耐磨性、舒适性、透气性、色牢度性能达标，水洗、摩擦不褪色、不沾染面料； ⑤面料选用、成分、色泽、克重符合采购要求，触感柔软舒适、光滑不粗糙，质感、垂感达标，无异味； ⑥辅料及配件工艺：拉链平直，拉动顺滑无卡顿；纽扣钉扣线密实；五金无毛刺、锈斑、划痕、不易氧化；松紧弹性均匀、反复拉伸不松弛；衬布无掉粉；辅料无刺鼻异味； ⑦制作工艺、剪裁工艺：纱线顺直、无毛边、无疵点；成衣车缝工艺及拼接缝制工艺：做工精细、线迹均匀美观、顺直平整对称、不扭曲、不起皱、面（底）线迹均匀、不跳针、不浮线、无接线；整烫工艺：各部位熨烫平服整洁自然、无污染、无线头、无烫黄、无水渍及无亮光，粘合衬部位不渗胶、不脱胶。 注：完全符合上述要求的，每符合一项得2分，最多得14分。在此基础上，样品存在缺陷的，每1项中每有1处扣0.1分，每项最多扣2分，扣完为止。缺陷是指：样品不符合招标文件及上述评审要求、样品数量缺漏不完整、服装版型设计差、制作差、服装存在色差、配色不合理、色泽不均、穿着不舒适、服装功能性能不达标、面料手感触感差、不光滑易起皱、质感、垂感不达标、有污渍、有异味、工艺细节缺失或错误、针脚杂乱、跳线断线、拼接错位、毛边、缝线不规整等问题。不提供样品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附件三、分项报价表.docx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最低有效报价得30分。以本次最低有效投标报价为基准价，投标报价得分=(基准价÷投标报价)×价格权值×100。 【注：满足招标文件要求且投标价格最低的投标报价为评标基准价。】最低报价不是中标的唯一依据。因落实政府采购政策进行价格调整的，以调整后的价格计算评标基准价和投标报价。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附件三、分项报价表.docx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注：根据相关规定，对适用本国产品标准的采购包，既有本国产品又有非本国产品参与竞争的，依法对本国产品给予价格评审优惠；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详见附件：附件一、投标人资格证明文件.docx</w:t>
      </w:r>
    </w:p>
    <w:p>
      <w:pPr>
        <w:pStyle w:val="null3"/>
        <w:ind w:firstLine="960"/>
      </w:pPr>
      <w:r>
        <w:rPr>
          <w:rFonts w:ascii="仿宋_GB2312" w:hAnsi="仿宋_GB2312" w:cs="仿宋_GB2312" w:eastAsia="仿宋_GB2312"/>
        </w:rPr>
        <w:t>详见附件：附件二、投标人业绩.docx</w:t>
      </w:r>
    </w:p>
    <w:p>
      <w:pPr>
        <w:pStyle w:val="null3"/>
        <w:ind w:firstLine="960"/>
      </w:pPr>
      <w:r>
        <w:rPr>
          <w:rFonts w:ascii="仿宋_GB2312" w:hAnsi="仿宋_GB2312" w:cs="仿宋_GB2312" w:eastAsia="仿宋_GB2312"/>
        </w:rPr>
        <w:t>详见附件：附件三、分项报价表.docx</w:t>
      </w:r>
    </w:p>
    <w:p>
      <w:pPr>
        <w:pStyle w:val="null3"/>
        <w:ind w:firstLine="960"/>
      </w:pPr>
      <w:r>
        <w:rPr>
          <w:rFonts w:ascii="仿宋_GB2312" w:hAnsi="仿宋_GB2312" w:cs="仿宋_GB2312" w:eastAsia="仿宋_GB2312"/>
        </w:rPr>
        <w:t>详见附件：附件四、投标方案.docx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