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64EFA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 xml:space="preserve">签订地点： XXXX。                                        </w:t>
      </w:r>
    </w:p>
    <w:p w14:paraId="369B6D45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 xml:space="preserve">签订时间： XXXX年XX月XX日。                                        </w:t>
      </w:r>
    </w:p>
    <w:p w14:paraId="14C12D3B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>采购人（甲方）：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u w:val="single"/>
          <w:lang w:val="en-US" w:eastAsia="zh-CN" w:bidi="ar-SA"/>
        </w:rPr>
        <w:t xml:space="preserve">                     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 xml:space="preserve">                                          </w:t>
      </w:r>
    </w:p>
    <w:p w14:paraId="50CF8504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>供应商（乙方）：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u w:val="single"/>
          <w:lang w:val="en-US" w:eastAsia="zh-CN" w:bidi="ar-SA"/>
        </w:rPr>
        <w:t xml:space="preserve">                     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 xml:space="preserve">                                      </w:t>
      </w:r>
    </w:p>
    <w:p w14:paraId="24325D68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ind w:firstLine="400" w:firstLineChars="20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>根据《中华人民共和国政府采购法》、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《中华人民共和国民法典》及陕西万德招标有限公司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u w:val="single"/>
          <w:lang w:val="en-US" w:eastAsia="zh-CN" w:bidi="ar-SA"/>
        </w:rPr>
        <w:t xml:space="preserve">            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采购项目（项目编号：XX-x包）的《招标文件》、乙方的《投标文件》及《中标通知书》，甲、乙双方同意签订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>本合同。详细技术说明及其他有关合同项目的特定信息由合同附件予以说明，合同附件及本项目的招标文件、投标文件、《中标通知书</w:t>
      </w:r>
      <w:bookmarkStart w:id="2" w:name="_GoBack"/>
      <w:bookmarkEnd w:id="2"/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>》等均为本合同不可分割的部分。双方同意共同遵守如下条款：</w:t>
      </w:r>
    </w:p>
    <w:p w14:paraId="06F81D2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一、</w:t>
      </w: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合同内容</w:t>
      </w:r>
    </w:p>
    <w:tbl>
      <w:tblPr>
        <w:tblStyle w:val="2"/>
        <w:tblW w:w="9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2587"/>
        <w:gridCol w:w="1435"/>
        <w:gridCol w:w="1435"/>
        <w:gridCol w:w="1425"/>
        <w:gridCol w:w="1340"/>
      </w:tblGrid>
      <w:tr w14:paraId="7D26A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1254" w:type="dxa"/>
            <w:vAlign w:val="center"/>
          </w:tcPr>
          <w:p w14:paraId="730B0EF5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  <w:t>编号</w:t>
            </w:r>
          </w:p>
        </w:tc>
        <w:tc>
          <w:tcPr>
            <w:tcW w:w="2587" w:type="dxa"/>
            <w:vAlign w:val="center"/>
          </w:tcPr>
          <w:p w14:paraId="5191C922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  <w:t>产品名称</w:t>
            </w:r>
          </w:p>
        </w:tc>
        <w:tc>
          <w:tcPr>
            <w:tcW w:w="1435" w:type="dxa"/>
            <w:vAlign w:val="center"/>
          </w:tcPr>
          <w:p w14:paraId="3D78DDAA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  <w:t>数量</w:t>
            </w:r>
          </w:p>
        </w:tc>
        <w:tc>
          <w:tcPr>
            <w:tcW w:w="1435" w:type="dxa"/>
            <w:vAlign w:val="center"/>
          </w:tcPr>
          <w:p w14:paraId="2817F3D6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  <w:t>单价</w:t>
            </w:r>
          </w:p>
        </w:tc>
        <w:tc>
          <w:tcPr>
            <w:tcW w:w="1425" w:type="dxa"/>
            <w:vAlign w:val="center"/>
          </w:tcPr>
          <w:p w14:paraId="4A00E99B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  <w:t>总价</w:t>
            </w:r>
          </w:p>
        </w:tc>
        <w:tc>
          <w:tcPr>
            <w:tcW w:w="1340" w:type="dxa"/>
            <w:vAlign w:val="center"/>
          </w:tcPr>
          <w:p w14:paraId="5244DACB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  <w:t>备注</w:t>
            </w:r>
          </w:p>
        </w:tc>
      </w:tr>
      <w:tr w14:paraId="46D1C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1254" w:type="dxa"/>
            <w:vAlign w:val="center"/>
          </w:tcPr>
          <w:p w14:paraId="7DF778E7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1</w:t>
            </w:r>
          </w:p>
        </w:tc>
        <w:tc>
          <w:tcPr>
            <w:tcW w:w="2587" w:type="dxa"/>
            <w:vAlign w:val="center"/>
          </w:tcPr>
          <w:p w14:paraId="548263D7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6F8D0869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73480A38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0B55B3B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  <w:vAlign w:val="center"/>
          </w:tcPr>
          <w:p w14:paraId="39CAA337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F50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1254" w:type="dxa"/>
            <w:vAlign w:val="center"/>
          </w:tcPr>
          <w:p w14:paraId="57DFE5A8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587" w:type="dxa"/>
            <w:vAlign w:val="center"/>
          </w:tcPr>
          <w:p w14:paraId="30E309F6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1DC50B10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365D357A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624EC5BB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  <w:vAlign w:val="center"/>
          </w:tcPr>
          <w:p w14:paraId="7ED23834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62DF8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3841" w:type="dxa"/>
            <w:gridSpan w:val="2"/>
            <w:vAlign w:val="center"/>
          </w:tcPr>
          <w:p w14:paraId="57FA3033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  <w:t>总计（人民币/元）</w:t>
            </w:r>
          </w:p>
        </w:tc>
        <w:tc>
          <w:tcPr>
            <w:tcW w:w="5635" w:type="dxa"/>
            <w:gridSpan w:val="4"/>
            <w:vAlign w:val="center"/>
          </w:tcPr>
          <w:p w14:paraId="670D4691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</w:rPr>
              <w:t>￥：       （大写）</w:t>
            </w:r>
          </w:p>
        </w:tc>
      </w:tr>
    </w:tbl>
    <w:p w14:paraId="2ECE4EE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bidi w:val="0"/>
        <w:spacing w:line="360" w:lineRule="auto"/>
        <w:ind w:firstLine="500" w:firstLineChars="25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乙方负责按以上确定的产品进行供货，及时运到甲方指定交货地点。</w:t>
      </w:r>
    </w:p>
    <w:p w14:paraId="4AC92EFB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二、合同价格</w:t>
      </w:r>
    </w:p>
    <w:p w14:paraId="7AFA1D6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bidi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合同总价：人民币大写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>：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u w:val="single"/>
        </w:rPr>
        <w:t xml:space="preserve">          </w:t>
      </w: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元整；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￥ 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元。</w:t>
      </w:r>
    </w:p>
    <w:p w14:paraId="6D03059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合同总价包括：包括设计、量体、制作、运输、配送、保险、质量检测、后期技术支持、税费、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招标文件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规定的其它费用。合同总价不可变更，不受市场价变化的影响，不受实际数量变化的影响。</w:t>
      </w:r>
    </w:p>
    <w:p w14:paraId="1A23854A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三、款项支付</w:t>
      </w:r>
    </w:p>
    <w:p w14:paraId="296E0E67">
      <w:pPr>
        <w:keepNext w:val="0"/>
        <w:keepLines w:val="0"/>
        <w:pageBreakBefore w:val="0"/>
        <w:widowControl w:val="0"/>
        <w:tabs>
          <w:tab w:val="left" w:pos="480"/>
        </w:tabs>
        <w:wordWrap/>
        <w:overflowPunct/>
        <w:topLinePunct w:val="0"/>
        <w:autoSpaceDE/>
        <w:bidi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1、支付时间：</w:t>
      </w:r>
    </w:p>
    <w:p w14:paraId="1BC047FD">
      <w:pPr>
        <w:keepNext w:val="0"/>
        <w:keepLines w:val="0"/>
        <w:pageBreakBefore w:val="0"/>
        <w:widowControl w:val="0"/>
        <w:tabs>
          <w:tab w:val="left" w:pos="480"/>
        </w:tabs>
        <w:wordWrap/>
        <w:overflowPunct/>
        <w:topLinePunct w:val="0"/>
        <w:autoSpaceDE/>
        <w:bidi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2、支付方式：银行转帐。</w:t>
      </w:r>
    </w:p>
    <w:p w14:paraId="14B12185">
      <w:pPr>
        <w:keepNext w:val="0"/>
        <w:keepLines w:val="0"/>
        <w:pageBreakBefore w:val="0"/>
        <w:widowControl w:val="0"/>
        <w:tabs>
          <w:tab w:val="left" w:pos="480"/>
        </w:tabs>
        <w:wordWrap/>
        <w:overflowPunct/>
        <w:topLinePunct w:val="0"/>
        <w:autoSpaceDE/>
        <w:bidi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3、结算方式：</w:t>
      </w:r>
    </w:p>
    <w:p w14:paraId="4E53D09D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四、交货条件</w:t>
      </w:r>
    </w:p>
    <w:p w14:paraId="7BFEA1B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bidi w:val="0"/>
        <w:spacing w:line="360" w:lineRule="auto"/>
        <w:ind w:firstLine="500" w:firstLineChars="25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1、交货地点：</w:t>
      </w:r>
    </w:p>
    <w:p w14:paraId="13DB304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bidi w:val="0"/>
        <w:spacing w:line="360" w:lineRule="auto"/>
        <w:ind w:firstLine="500" w:firstLineChars="25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2、交货日期：</w:t>
      </w:r>
    </w:p>
    <w:p w14:paraId="48FC40EA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五、运输方式：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根据产品特性，由乙方在保证产品质量的前提下，自行选择运输及包装方式，发生的一切费用全部由乙方承担。</w:t>
      </w:r>
    </w:p>
    <w:p w14:paraId="37124276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六、质量保证</w:t>
      </w:r>
    </w:p>
    <w:p w14:paraId="7A7B2C14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1、乙方保证所提供的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产品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质量可靠，进货渠道正常，配置合理，技术性能完全满足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招标文件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要求；</w:t>
      </w:r>
    </w:p>
    <w:p w14:paraId="63274D4A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2、若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产品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所用原材料或加工工艺造成的质量和内外观缺陷问题，由乙方负责解决并承担费用。（卖方保证货物是全新的、未曾使用过的、以优质工艺及材料制造，并保证所供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产品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的完整性，本合同产品为成套供货，合同总价中已包括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产品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配套件等，产品质量应符合国标标准和本合同附件的要求,卖方应随机提供产品检验报告。）</w:t>
      </w:r>
    </w:p>
    <w:p w14:paraId="198BF0D9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500" w:firstLineChars="25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3、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产品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的质保期为产品验收合格后XX年，质保期内若发生产品质量问题，卖方应立即免费解决；否则，甲方有权从质保金中支付相关费用；超过质保期的，按照厂家承诺进行。</w:t>
      </w:r>
    </w:p>
    <w:p w14:paraId="4F7554DD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七、技术服务</w:t>
      </w:r>
    </w:p>
    <w:p w14:paraId="01FF6BBC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ind w:firstLine="413" w:firstLineChars="207"/>
        <w:rPr>
          <w:rFonts w:hint="eastAsia" w:ascii="仿宋" w:hAnsi="仿宋" w:eastAsia="仿宋" w:cs="仿宋"/>
          <w:color w:val="auto"/>
          <w:sz w:val="20"/>
          <w:szCs w:val="2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1、技术资料包括：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  <w:lang w:val="en-US" w:eastAsia="zh-CN"/>
        </w:rPr>
        <w:t xml:space="preserve">    </w:t>
      </w:r>
    </w:p>
    <w:p w14:paraId="7F61B875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2、在质保期内（保修起始日为货到验收合格之日起），乙方在接到用户对所购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产品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进行维修的要求后，XX小时内到用户现场进行维修服务，全部费用由乙方支付，若需将产品送回生产厂，由乙方支付维修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产品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所需的往返费用。</w:t>
      </w:r>
    </w:p>
    <w:p w14:paraId="02E5476C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3、乙方保证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产品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完全按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采购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要求提供，若达不到要求，乙方须及时跟甲方沟通协商更换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产品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，并按照再次验收合格时间相应延长该产品保修期。</w:t>
      </w:r>
    </w:p>
    <w:p w14:paraId="2FB1CCB4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、服务承诺：按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投标文件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中的服务承诺执行。</w:t>
      </w:r>
    </w:p>
    <w:p w14:paraId="6F144D5F">
      <w:pPr>
        <w:keepNext w:val="0"/>
        <w:keepLines w:val="0"/>
        <w:pageBreakBefore w:val="0"/>
        <w:widowControl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八、违约责任：</w:t>
      </w:r>
    </w:p>
    <w:p w14:paraId="49B7FDB9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1、按《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中华人民共和国民法典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》中的相关条款执行。</w:t>
      </w:r>
    </w:p>
    <w:p w14:paraId="2AAAF2E2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2、未按合同要求提供产品质量不能满足技术要求，甲方有权终止合同，并保留追究乙方违约责任的权利。</w:t>
      </w:r>
    </w:p>
    <w:p w14:paraId="5817880F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3、时间迟延的，违约方按照每天1%向对方承担违约责任。产品质量问题违约的，除了按照迟延时间计算违约金外，另可以采取退货、换货等方式，由供方承担一切费用。</w:t>
      </w:r>
    </w:p>
    <w:p w14:paraId="6F80599C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九、产品验收</w:t>
      </w:r>
    </w:p>
    <w:p w14:paraId="63DB4155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、提供制造厂家的检验测试报告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等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。</w:t>
      </w:r>
    </w:p>
    <w:p w14:paraId="178AFCDB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、甲方根据合同要求对产品进行验收、确认产品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规格、型号和数量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等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。验收依据为</w:t>
      </w:r>
      <w:bookmarkStart w:id="0" w:name="_Toc337393760"/>
      <w:r>
        <w:rPr>
          <w:rFonts w:hint="eastAsia" w:ascii="仿宋" w:hAnsi="仿宋" w:eastAsia="仿宋" w:cs="仿宋"/>
          <w:color w:val="auto"/>
          <w:sz w:val="20"/>
          <w:szCs w:val="20"/>
        </w:rPr>
        <w:t>本合同文本、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招标文件、投标文件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和国内相应的标准、规范</w:t>
      </w:r>
      <w:bookmarkEnd w:id="0"/>
      <w:bookmarkStart w:id="1" w:name="_Toc337393761"/>
      <w:r>
        <w:rPr>
          <w:rFonts w:hint="eastAsia" w:ascii="仿宋" w:hAnsi="仿宋" w:eastAsia="仿宋" w:cs="仿宋"/>
          <w:color w:val="auto"/>
          <w:sz w:val="20"/>
          <w:szCs w:val="20"/>
        </w:rPr>
        <w:t>。</w:t>
      </w:r>
      <w:bookmarkEnd w:id="1"/>
    </w:p>
    <w:p w14:paraId="22F71274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、验收合格后，填写验收单，并向甲方提交产品所包含的所有资料，以便使用单位日后管理和维护。</w:t>
      </w:r>
    </w:p>
    <w:p w14:paraId="58EDF64A">
      <w:pPr>
        <w:keepNext w:val="0"/>
        <w:keepLines w:val="0"/>
        <w:pageBreakBefore w:val="0"/>
        <w:widowControl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十、合同争议的解决：</w:t>
      </w:r>
    </w:p>
    <w:p w14:paraId="5EE09FCA">
      <w:pPr>
        <w:keepNext w:val="0"/>
        <w:keepLines w:val="0"/>
        <w:pageBreakBefore w:val="0"/>
        <w:widowControl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00" w:firstLineChars="200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合同一经签订，不得随意变更、中止或终止。对确需变更、调整或者中止、终止合同的，应按规定履行相应的手续。</w:t>
      </w:r>
    </w:p>
    <w:p w14:paraId="6F04C9C2">
      <w:pPr>
        <w:keepNext w:val="0"/>
        <w:keepLines w:val="0"/>
        <w:pageBreakBefore w:val="0"/>
        <w:widowControl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合同执行中发生争议的，甲、乙双方应协商解决，协商达不成一致时，可向合同履行地人民法院提请诉讼。</w:t>
      </w:r>
    </w:p>
    <w:p w14:paraId="7C28C29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lang w:eastAsia="zh-CN"/>
        </w:rPr>
        <w:t>十一、</w:t>
      </w: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其它事项</w:t>
      </w:r>
    </w:p>
    <w:p w14:paraId="24876316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甲、乙双方做为合同执行的主体，有义务及时完全履行合同。</w:t>
      </w:r>
    </w:p>
    <w:p w14:paraId="64CAF350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2、合同未尽事宜，由甲、乙双方协商，协商方案作为本合同不可分割的组成部分，与本合同具有同等法律效力。</w:t>
      </w:r>
    </w:p>
    <w:p w14:paraId="540D8590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3、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招标文件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和乙方的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投标文件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以及合同附件均为合同不可分割的部分。</w:t>
      </w:r>
    </w:p>
    <w:p w14:paraId="37FCDF1F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4、合同一式**份，甲方**份、乙方**份（返回招标代理机构壹份）。甲方、乙方及确认方签字盖章后生效，合同执行完毕自动失效。（合同的服务承诺长期有效）。</w:t>
      </w:r>
    </w:p>
    <w:p w14:paraId="388E3C2C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甲  方：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（公章）              乙  方：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（公章）</w:t>
      </w:r>
    </w:p>
    <w:p w14:paraId="4610F2D4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地  址：                                 地    址： </w:t>
      </w:r>
    </w:p>
    <w:p w14:paraId="7ECF3019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法定代表人：（签字）                      法定代表人：（签字）</w:t>
      </w:r>
    </w:p>
    <w:p w14:paraId="16C80C36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500" w:firstLineChars="25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</w:t>
      </w:r>
    </w:p>
    <w:p w14:paraId="769CFFD5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代理人：（签字）                          代理人：（签字）</w:t>
      </w:r>
    </w:p>
    <w:p w14:paraId="40BC3ECA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联系电话：                               开户银行：</w:t>
      </w:r>
    </w:p>
    <w:p w14:paraId="38C8A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00" w:firstLineChars="205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帐   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号： </w:t>
      </w:r>
    </w:p>
    <w:p w14:paraId="08406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00" w:firstLineChars="205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联系电话：</w:t>
      </w:r>
    </w:p>
    <w:p w14:paraId="52AD15E7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签订日期：   年  月  日                  签订日期：   年  月  日</w:t>
      </w:r>
    </w:p>
    <w:p w14:paraId="68A93AE3">
      <w:pPr>
        <w:rPr>
          <w:rFonts w:hint="eastAsia" w:ascii="仿宋" w:hAnsi="仿宋" w:eastAsia="仿宋" w:cs="仿宋"/>
          <w:lang w:val="en-US" w:eastAsia="zh-Hans"/>
        </w:rPr>
      </w:pPr>
    </w:p>
    <w:p w14:paraId="2D74FE78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19C49">
    <w:pPr>
      <w:widowControl w:val="0"/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B5C9CE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>39</w: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>43</w: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B5C9CE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t xml:space="preserve">第 </w:t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t>39</w:t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t xml:space="preserve"> 页 共 </w:t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t>43</w:t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F558C1"/>
    <w:rsid w:val="3E8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1642</Words>
  <Characters>1659</Characters>
  <Lines>0</Lines>
  <Paragraphs>0</Paragraphs>
  <TotalTime>1</TotalTime>
  <ScaleCrop>false</ScaleCrop>
  <LinksUpToDate>false</LinksUpToDate>
  <CharactersWithSpaces>2101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2026-07-13T06:54:00Z</dcterms:created>
  <dc:creator>Administrator</dc:creator>
  <cp:lastModifiedBy>QL</cp:lastModifiedBy>
  <dcterms:modified xsi:type="dcterms:W3CDTF">2026-07-13T08:34:52Z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eyJoZGlkIjoiZjQ3Yzk0N2U5MDkwMWM1ZDc3OWVjYTg0MDA4ZDA4YWEiLCJ1c2VySWQiOiIzNTM3NDI5MzQifQ==</vt:lpwstr>
  </property>
  <property fmtid="{D5CDD505-2E9C-101B-9397-08002B2CF9AE}" pid="4" name="ICV">
    <vt:lpwstr>BE7EC4F728974CA8A86BA56DE94690D9_12</vt:lpwstr>
  </property>
</Properties>
</file>