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版本号：【KRDL】K4-260508120260528001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金花校区经纬苑学生宿舍楼项目场地清表工程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【KRDL】K4-2605081</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金花校区经纬苑学生宿舍楼项目场地清表工程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【KRDL】K4-2605081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金花校区经纬苑学生宿舍楼项目场地清表工程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西安工程大学金花校区经纬苑学生宿舍楼项目场地清表工程，拟对西安工程大学金花校区东南角原游泳池及附属工程场地开展清表工作，以满足文勘要求，工程内容包含对项目用地范围内地表沥青路面、混凝土场地、游泳池、塑胶跑道等破除及垃圾外运，土方开挖及外运等，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采购包1（金花校区经纬苑学生宿舍楼项目场地清表工程）：属于专门面向中小企业采购。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2、供应商资质要求：供应商须具备建设行政主管部门颁发合法有效的建筑工程施工总承包三级(含)以上，并具备有效的安全生产许可证，且在人员、设备、资金等方面具备相应施工能力；</w:t>
      </w:r>
    </w:p>
    <w:p>
      <w:pPr>
        <w:pStyle w:val="null3"/>
      </w:pPr>
      <w:r>
        <w:rPr>
          <w:rFonts w:ascii="仿宋_GB2312" w:hAnsi="仿宋_GB2312" w:cs="仿宋_GB2312" w:eastAsia="仿宋_GB2312"/>
        </w:rPr>
        <w:t>3、供应商拟派项目经理资质和专业要求：供应商拟派项目经理具备合法有效的建筑工程专业注册建造师二级（含）以上执业资格及安全生产考核合格证书（安全B证），在本单位注册且无在建工程；</w:t>
      </w:r>
    </w:p>
    <w:p>
      <w:pPr>
        <w:pStyle w:val="null3"/>
      </w:pPr>
      <w:r>
        <w:rPr>
          <w:rFonts w:ascii="仿宋_GB2312" w:hAnsi="仿宋_GB2312" w:cs="仿宋_GB2312" w:eastAsia="仿宋_GB2312"/>
        </w:rPr>
        <w:t>4、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5、其他要求：供应商及其拟派项目经理须在“陕西省住房和城乡建设厅”官方网站可查询；如供应商为外省进陕企业，还须同时提供“陕西省住房和城乡建设厅”官网企业库外省进陕施工企业信息首页截图；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采购包1：2,745,207.43元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说明：（1）供应商成交后凭中标（成交）通知书向采购人缴纳成交金额的5%作为履约保证金；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代理服务费收费标准：参照国家计委颁布的《招标代理服务收费管理暂行办法》（计价格[2002]1980号）及发改办价格[2003]857号文件的规定标准收取，本项目代理服务费按服务计取。 备注：在对采购代理服务费或者响应保证金转账时需备注项目名称+采购代理服务费或响应保证金。</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踏勘时间：2026-06-05 09:30:00</w:t>
            </w:r>
          </w:p>
          <w:p>
            <w:pPr>
              <w:pStyle w:val="null3"/>
              <w:ind w:firstLine="975"/>
            </w:pPr>
            <w:r>
              <w:rPr>
                <w:rFonts w:ascii="仿宋_GB2312" w:hAnsi="仿宋_GB2312" w:cs="仿宋_GB2312" w:eastAsia="仿宋_GB2312"/>
              </w:rPr>
              <w:t>踏勘地点：西安工程大学金花校区经纬苑学生宿舍楼</w:t>
            </w:r>
          </w:p>
          <w:p>
            <w:pPr>
              <w:pStyle w:val="null3"/>
              <w:ind w:firstLine="975"/>
            </w:pPr>
            <w:r>
              <w:rPr>
                <w:rFonts w:ascii="仿宋_GB2312" w:hAnsi="仿宋_GB2312" w:cs="仿宋_GB2312" w:eastAsia="仿宋_GB2312"/>
              </w:rPr>
              <w:t>联系人：屈延洁</w:t>
            </w:r>
          </w:p>
          <w:p>
            <w:pPr>
              <w:pStyle w:val="null3"/>
              <w:ind w:firstLine="975"/>
            </w:pPr>
            <w:r>
              <w:rPr>
                <w:rFonts w:ascii="仿宋_GB2312" w:hAnsi="仿宋_GB2312" w:cs="仿宋_GB2312" w:eastAsia="仿宋_GB2312"/>
              </w:rPr>
              <w:t>联系电话号码：17391959019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西安工程大学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联系人：路坦</w:t>
      </w:r>
    </w:p>
    <w:p>
      <w:pPr>
        <w:pStyle w:val="null3"/>
      </w:pPr>
      <w:r>
        <w:rPr>
          <w:rFonts w:ascii="仿宋_GB2312" w:hAnsi="仿宋_GB2312" w:cs="仿宋_GB2312" w:eastAsia="仿宋_GB2312"/>
        </w:rPr>
        <w:t>联系电话：17320095323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2,745,207.43</w:t>
      </w:r>
    </w:p>
    <w:p>
      <w:pPr>
        <w:pStyle w:val="null3"/>
      </w:pPr>
      <w:r>
        <w:rPr>
          <w:rFonts w:ascii="仿宋_GB2312" w:hAnsi="仿宋_GB2312" w:cs="仿宋_GB2312" w:eastAsia="仿宋_GB2312"/>
        </w:rPr>
        <w:t>采购包最高限价（元）: 2,745,207.43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金花校区经纬苑学生宿舍楼项目场地清表工程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2,745,207.43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标的名称：金花校区经纬苑学生宿舍楼项目场地清表工程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本西安工程大学</w:t>
            </w:r>
            <w:r>
              <w:rPr>
                <w:rFonts w:ascii="仿宋_GB2312" w:hAnsi="仿宋_GB2312" w:cs="仿宋_GB2312" w:eastAsia="仿宋_GB2312"/>
                <w:sz w:val="24"/>
              </w:rPr>
              <w:t>金花校区经纬苑学生宿舍楼项目场地清表工程，</w:t>
            </w:r>
            <w:r>
              <w:rPr>
                <w:rFonts w:ascii="仿宋_GB2312" w:hAnsi="仿宋_GB2312" w:cs="仿宋_GB2312" w:eastAsia="仿宋_GB2312"/>
                <w:sz w:val="24"/>
              </w:rPr>
              <w:t>拟对</w:t>
            </w:r>
            <w:r>
              <w:rPr>
                <w:rFonts w:ascii="仿宋_GB2312" w:hAnsi="仿宋_GB2312" w:cs="仿宋_GB2312" w:eastAsia="仿宋_GB2312"/>
                <w:sz w:val="24"/>
              </w:rPr>
              <w:t>西安工程大学金花校区东南角原游泳池及附属工程场地开展清表工作，以满足文勘要求，</w:t>
            </w:r>
            <w:r>
              <w:rPr>
                <w:rFonts w:ascii="仿宋_GB2312" w:hAnsi="仿宋_GB2312" w:cs="仿宋_GB2312" w:eastAsia="仿宋_GB2312"/>
                <w:sz w:val="24"/>
              </w:rPr>
              <w:t>工程内容包含对</w:t>
            </w:r>
            <w:r>
              <w:rPr>
                <w:rFonts w:ascii="仿宋_GB2312" w:hAnsi="仿宋_GB2312" w:cs="仿宋_GB2312" w:eastAsia="仿宋_GB2312"/>
                <w:sz w:val="24"/>
              </w:rPr>
              <w:t>项目用地范围内地表沥青路面、混凝土场地、游泳池、塑胶跑道等破除及垃圾外运，现场绿化树木的清理、移栽，土方开挖及外运等，</w:t>
            </w:r>
            <w:r>
              <w:rPr>
                <w:rFonts w:ascii="仿宋_GB2312" w:hAnsi="仿宋_GB2312" w:cs="仿宋_GB2312" w:eastAsia="仿宋_GB2312"/>
                <w:sz w:val="24"/>
              </w:rPr>
              <w:t>具体详见工程量清单。</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工程技术标准及要求</w:t>
            </w:r>
          </w:p>
          <w:p>
            <w:pPr>
              <w:pStyle w:val="null3"/>
              <w:ind w:firstLine="480"/>
              <w:jc w:val="both"/>
            </w:pPr>
            <w:r>
              <w:rPr>
                <w:rFonts w:ascii="仿宋_GB2312" w:hAnsi="仿宋_GB2312" w:cs="仿宋_GB2312" w:eastAsia="仿宋_GB2312"/>
                <w:sz w:val="24"/>
              </w:rPr>
              <w:t>项目需执行的国家标准、行业标准、地方标准或者其他标准、规范等：</w:t>
            </w:r>
          </w:p>
          <w:tbl>
            <w:tblPr>
              <w:tblBorders>
                <w:top w:val="none" w:color="000000" w:sz="4"/>
                <w:left w:val="none" w:color="000000" w:sz="4"/>
                <w:bottom w:val="none" w:color="000000" w:sz="4"/>
                <w:right w:val="none" w:color="000000" w:sz="4"/>
                <w:insideH w:val="none"/>
                <w:insideV w:val="none"/>
              </w:tblBorders>
            </w:tblPr>
            <w:tblGrid>
              <w:gridCol w:w="265"/>
              <w:gridCol w:w="2282"/>
            </w:tblGrid>
            <w:tr>
              <w:tc>
                <w:tcPr>
                  <w:tcW w:type="dxa" w:w="26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28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标准、规范、规程名称</w:t>
                  </w:r>
                </w:p>
              </w:tc>
            </w:tr>
            <w:tr>
              <w:tc>
                <w:tcPr>
                  <w:tcW w:type="dxa" w:w="26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8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《建设工程施工现场环境与卫生标准》（</w:t>
                  </w:r>
                  <w:r>
                    <w:rPr>
                      <w:rFonts w:ascii="仿宋_GB2312" w:hAnsi="仿宋_GB2312" w:cs="仿宋_GB2312" w:eastAsia="仿宋_GB2312"/>
                      <w:sz w:val="24"/>
                    </w:rPr>
                    <w:t>JGJ 146-2013）</w:t>
                  </w:r>
                </w:p>
              </w:tc>
            </w:tr>
            <w:tr>
              <w:tc>
                <w:tcPr>
                  <w:tcW w:type="dxa" w:w="26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8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《建筑施工安全检查标准》（</w:t>
                  </w:r>
                  <w:r>
                    <w:rPr>
                      <w:rFonts w:ascii="仿宋_GB2312" w:hAnsi="仿宋_GB2312" w:cs="仿宋_GB2312" w:eastAsia="仿宋_GB2312"/>
                      <w:sz w:val="24"/>
                    </w:rPr>
                    <w:t>JGJ59-2011）</w:t>
                  </w:r>
                </w:p>
              </w:tc>
            </w:tr>
            <w:tr>
              <w:tc>
                <w:tcPr>
                  <w:tcW w:type="dxa" w:w="26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8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《建筑垃圾处理技术标准》</w:t>
                  </w:r>
                  <w:r>
                    <w:rPr>
                      <w:rFonts w:ascii="仿宋_GB2312" w:hAnsi="仿宋_GB2312" w:cs="仿宋_GB2312" w:eastAsia="仿宋_GB2312"/>
                      <w:sz w:val="24"/>
                    </w:rPr>
                    <w:t>CJJ/T 134-2019</w:t>
                  </w:r>
                </w:p>
              </w:tc>
            </w:tr>
            <w:tr>
              <w:tc>
                <w:tcPr>
                  <w:tcW w:type="dxa" w:w="26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8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建筑工程施工质量验收统一标准（</w:t>
                  </w:r>
                  <w:r>
                    <w:rPr>
                      <w:rFonts w:ascii="仿宋_GB2312" w:hAnsi="仿宋_GB2312" w:cs="仿宋_GB2312" w:eastAsia="仿宋_GB2312"/>
                      <w:sz w:val="24"/>
                    </w:rPr>
                    <w:t>GB50300-2013）</w:t>
                  </w:r>
                </w:p>
              </w:tc>
            </w:tr>
            <w:tr>
              <w:tc>
                <w:tcPr>
                  <w:tcW w:type="dxa" w:w="26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8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《西安市建设工地扬尘污染防治标准》（</w:t>
                  </w:r>
                  <w:r>
                    <w:rPr>
                      <w:rFonts w:ascii="仿宋_GB2312" w:hAnsi="仿宋_GB2312" w:cs="仿宋_GB2312" w:eastAsia="仿宋_GB2312"/>
                      <w:sz w:val="24"/>
                    </w:rPr>
                    <w:t>DB6101/T 30-2020）</w:t>
                  </w:r>
                </w:p>
              </w:tc>
            </w:tr>
            <w:tr>
              <w:tc>
                <w:tcPr>
                  <w:tcW w:type="dxa" w:w="26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28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《中华人民共和国环境保护法》（最新版）</w:t>
                  </w:r>
                </w:p>
              </w:tc>
            </w:tr>
            <w:tr>
              <w:tc>
                <w:tcPr>
                  <w:tcW w:type="dxa" w:w="26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8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《陕西省建设工程施工扬尘污染防治措施》（陕建发〔</w:t>
                  </w:r>
                  <w:r>
                    <w:rPr>
                      <w:rFonts w:ascii="仿宋_GB2312" w:hAnsi="仿宋_GB2312" w:cs="仿宋_GB2312" w:eastAsia="仿宋_GB2312"/>
                      <w:sz w:val="24"/>
                    </w:rPr>
                    <w:t>2021〕28号）</w:t>
                  </w:r>
                </w:p>
              </w:tc>
            </w:tr>
          </w:tbl>
          <w:p>
            <w:pPr>
              <w:pStyle w:val="null3"/>
              <w:ind w:firstLine="480"/>
              <w:jc w:val="both"/>
            </w:pPr>
            <w:r>
              <w:rPr>
                <w:rFonts w:ascii="仿宋_GB2312" w:hAnsi="仿宋_GB2312" w:cs="仿宋_GB2312" w:eastAsia="仿宋_GB2312"/>
                <w:sz w:val="24"/>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rPr>
              <w:t>2.本工程其他技术标准及要求执行现行规范和采购人实际需求。</w:t>
            </w:r>
          </w:p>
          <w:p>
            <w:pPr>
              <w:pStyle w:val="null3"/>
              <w:ind w:firstLine="480"/>
              <w:jc w:val="both"/>
            </w:pPr>
            <w:r>
              <w:rPr>
                <w:rFonts w:ascii="仿宋_GB2312" w:hAnsi="仿宋_GB2312" w:cs="仿宋_GB2312" w:eastAsia="仿宋_GB2312"/>
                <w:sz w:val="24"/>
              </w:rPr>
              <w:t>3.在施工过程中，如果国家或有关部门颁布了新的技术部分准或规范，则承包人应采用新的标准或规范进行施工。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rPr>
              <w:t>4.采购人提供工程的施工方案和相关技术文件，是采购人现有的能被供应商利用的资料，采购人对供应商做出的任何推论、理解均不负责任。</w:t>
            </w:r>
          </w:p>
          <w:p>
            <w:pPr>
              <w:pStyle w:val="null3"/>
              <w:ind w:firstLine="480"/>
              <w:jc w:val="left"/>
            </w:pPr>
            <w:r>
              <w:rPr>
                <w:rFonts w:ascii="仿宋_GB2312" w:hAnsi="仿宋_GB2312" w:cs="仿宋_GB2312" w:eastAsia="仿宋_GB2312"/>
                <w:sz w:val="24"/>
              </w:rPr>
              <w:t>5.供应商</w:t>
            </w:r>
            <w:r>
              <w:rPr>
                <w:rFonts w:ascii="仿宋_GB2312" w:hAnsi="仿宋_GB2312" w:cs="仿宋_GB2312" w:eastAsia="仿宋_GB2312"/>
                <w:sz w:val="24"/>
              </w:rPr>
              <w:t>可</w:t>
            </w:r>
            <w:r>
              <w:rPr>
                <w:rFonts w:ascii="仿宋_GB2312" w:hAnsi="仿宋_GB2312" w:cs="仿宋_GB2312" w:eastAsia="仿宋_GB2312"/>
                <w:sz w:val="24"/>
              </w:rPr>
              <w:t>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rPr>
              <w:t>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rPr>
              <w:t>7.成交供应商未经采购人及有关部门同意，不得擅自变更本项目在竞争性磋商过程承诺中认定的采购范围、实施组织方案和项目经理（响应文件中应明确项目经理的姓名及联系方法，以备检查）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rPr>
              <w:t>8.成交供应商必须自行施工，不得转包、分包。</w:t>
            </w:r>
          </w:p>
          <w:p>
            <w:pPr>
              <w:pStyle w:val="null3"/>
              <w:ind w:firstLine="480"/>
              <w:jc w:val="both"/>
            </w:pPr>
            <w:r>
              <w:rPr>
                <w:rFonts w:ascii="仿宋_GB2312" w:hAnsi="仿宋_GB2312" w:cs="仿宋_GB2312" w:eastAsia="仿宋_GB2312"/>
                <w:sz w:val="24"/>
              </w:rPr>
              <w:t>9.成交供应商在施工过程中不得影响学校的日常生活、工作秩序。</w:t>
            </w:r>
          </w:p>
          <w:p>
            <w:pPr>
              <w:pStyle w:val="null3"/>
              <w:ind w:firstLine="480"/>
              <w:jc w:val="both"/>
            </w:pPr>
            <w:r>
              <w:rPr>
                <w:rFonts w:ascii="仿宋_GB2312" w:hAnsi="仿宋_GB2312" w:cs="仿宋_GB2312" w:eastAsia="仿宋_GB2312"/>
                <w:sz w:val="24"/>
              </w:rPr>
              <w:t>10.成交供应商应严格执行西安市建设工地施工扬尘治理的相关要求。场地覆盖、场地硬化、车辆冲洗等措施的费用包含在综合单价内。</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土方开挖、渣土清运手续由成交供应商办理，</w:t>
            </w:r>
            <w:r>
              <w:rPr>
                <w:rFonts w:ascii="仿宋_GB2312" w:hAnsi="仿宋_GB2312" w:cs="仿宋_GB2312" w:eastAsia="仿宋_GB2312"/>
                <w:sz w:val="24"/>
              </w:rPr>
              <w:t>相关费用</w:t>
            </w:r>
            <w:r>
              <w:rPr>
                <w:rFonts w:ascii="仿宋_GB2312" w:hAnsi="仿宋_GB2312" w:cs="仿宋_GB2312" w:eastAsia="仿宋_GB2312"/>
                <w:sz w:val="24"/>
              </w:rPr>
              <w:t>包含在</w:t>
            </w:r>
            <w:r>
              <w:rPr>
                <w:rFonts w:ascii="仿宋_GB2312" w:hAnsi="仿宋_GB2312" w:cs="仿宋_GB2312" w:eastAsia="仿宋_GB2312"/>
                <w:sz w:val="24"/>
              </w:rPr>
              <w:t>响应报价内，采购人不再另行支付</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12.成交供应商</w:t>
            </w:r>
            <w:r>
              <w:rPr>
                <w:rFonts w:ascii="仿宋_GB2312" w:hAnsi="仿宋_GB2312" w:cs="仿宋_GB2312" w:eastAsia="仿宋_GB2312"/>
                <w:sz w:val="24"/>
              </w:rPr>
              <w:t>应对施工现场绿化树木进行清理、移栽，苗木养护期，苗木养护自验收合格之日</w:t>
            </w:r>
            <w:r>
              <w:rPr>
                <w:rFonts w:ascii="仿宋_GB2312" w:hAnsi="仿宋_GB2312" w:cs="仿宋_GB2312" w:eastAsia="仿宋_GB2312"/>
                <w:sz w:val="24"/>
              </w:rPr>
              <w:t>起</w:t>
            </w:r>
            <w:r>
              <w:rPr>
                <w:rFonts w:ascii="仿宋_GB2312" w:hAnsi="仿宋_GB2312" w:cs="仿宋_GB2312" w:eastAsia="仿宋_GB2312"/>
                <w:sz w:val="24"/>
              </w:rPr>
              <w:t>12个月，养护期内承包人负责项目场地内的苗木养护工作，每月提供</w:t>
            </w:r>
            <w:r>
              <w:rPr>
                <w:rFonts w:ascii="仿宋_GB2312" w:hAnsi="仿宋_GB2312" w:cs="仿宋_GB2312" w:eastAsia="仿宋_GB2312"/>
                <w:sz w:val="24"/>
              </w:rPr>
              <w:t>1</w:t>
            </w:r>
            <w:r>
              <w:rPr>
                <w:rFonts w:ascii="仿宋_GB2312" w:hAnsi="仿宋_GB2312" w:cs="仿宋_GB2312" w:eastAsia="仿宋_GB2312"/>
                <w:sz w:val="24"/>
              </w:rPr>
              <w:t>次养护</w:t>
            </w:r>
            <w:r>
              <w:rPr>
                <w:rFonts w:ascii="仿宋_GB2312" w:hAnsi="仿宋_GB2312" w:cs="仿宋_GB2312" w:eastAsia="仿宋_GB2312"/>
                <w:sz w:val="24"/>
              </w:rPr>
              <w:t>，</w:t>
            </w:r>
            <w:r>
              <w:rPr>
                <w:rFonts w:ascii="仿宋_GB2312" w:hAnsi="仿宋_GB2312" w:cs="仿宋_GB2312" w:eastAsia="仿宋_GB2312"/>
                <w:sz w:val="24"/>
              </w:rPr>
              <w:t>相关费用包含在响应报价中，采购人不再另行支付。</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成交供应商进场后，需进行原始地貌测绘并绘制网格图，工程完工经</w:t>
            </w:r>
            <w:r>
              <w:rPr>
                <w:rFonts w:ascii="仿宋_GB2312" w:hAnsi="仿宋_GB2312" w:cs="仿宋_GB2312" w:eastAsia="仿宋_GB2312"/>
                <w:sz w:val="24"/>
              </w:rPr>
              <w:t>采购</w:t>
            </w:r>
            <w:r>
              <w:rPr>
                <w:rFonts w:ascii="仿宋_GB2312" w:hAnsi="仿宋_GB2312" w:cs="仿宋_GB2312" w:eastAsia="仿宋_GB2312"/>
                <w:sz w:val="24"/>
              </w:rPr>
              <w:t>人确认进行测绘并绘制网格图，土方开挖及土方外运工程量以实测为准。</w:t>
            </w:r>
          </w:p>
          <w:p>
            <w:pPr>
              <w:pStyle w:val="null3"/>
              <w:ind w:firstLine="480"/>
              <w:jc w:val="both"/>
            </w:pPr>
            <w:r>
              <w:rPr>
                <w:rFonts w:ascii="仿宋_GB2312" w:hAnsi="仿宋_GB2312" w:cs="仿宋_GB2312" w:eastAsia="仿宋_GB2312"/>
                <w:sz w:val="24"/>
              </w:rPr>
              <w:t>14.施工现场围挡采购安装，彩钢板围挡高度不低于1.8m（安装方式以现场情况由成交供应商自行考虑，</w:t>
            </w:r>
            <w:r>
              <w:rPr>
                <w:rFonts w:ascii="仿宋_GB2312" w:hAnsi="仿宋_GB2312" w:cs="仿宋_GB2312" w:eastAsia="仿宋_GB2312"/>
                <w:sz w:val="24"/>
              </w:rPr>
              <w:t>彩钢板围挡采购及安装前需提供样品供</w:t>
            </w:r>
            <w:r>
              <w:rPr>
                <w:rFonts w:ascii="仿宋_GB2312" w:hAnsi="仿宋_GB2312" w:cs="仿宋_GB2312" w:eastAsia="仿宋_GB2312"/>
                <w:sz w:val="24"/>
              </w:rPr>
              <w:t>采购人</w:t>
            </w:r>
            <w:r>
              <w:rPr>
                <w:rFonts w:ascii="仿宋_GB2312" w:hAnsi="仿宋_GB2312" w:cs="仿宋_GB2312" w:eastAsia="仿宋_GB2312"/>
                <w:sz w:val="24"/>
              </w:rPr>
              <w:t>确认，符合要求后方可进行采购安装</w:t>
            </w:r>
            <w:r>
              <w:rPr>
                <w:rFonts w:ascii="仿宋_GB2312" w:hAnsi="仿宋_GB2312" w:cs="仿宋_GB2312" w:eastAsia="仿宋_GB2312"/>
                <w:sz w:val="24"/>
              </w:rPr>
              <w:t>，</w:t>
            </w:r>
            <w:r>
              <w:rPr>
                <w:rFonts w:ascii="仿宋_GB2312" w:hAnsi="仿宋_GB2312" w:cs="仿宋_GB2312" w:eastAsia="仿宋_GB2312"/>
                <w:sz w:val="24"/>
              </w:rPr>
              <w:t>相关费用包含在响应报价中，采购人不再另行支付。</w:t>
            </w:r>
          </w:p>
          <w:p>
            <w:pPr>
              <w:pStyle w:val="null3"/>
              <w:ind w:firstLine="480"/>
              <w:jc w:val="both"/>
            </w:pPr>
            <w:r>
              <w:rPr>
                <w:rFonts w:ascii="仿宋_GB2312" w:hAnsi="仿宋_GB2312" w:cs="仿宋_GB2312" w:eastAsia="仿宋_GB2312"/>
                <w:sz w:val="24"/>
              </w:rPr>
              <w:t>15.工程完工后，全部彩钢板围挡归属采购人，成交供应商无需负责拆除。</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、工程量清单、图纸及主要材料</w:t>
            </w:r>
          </w:p>
          <w:p>
            <w:pPr>
              <w:pStyle w:val="null3"/>
              <w:ind w:firstLine="482"/>
              <w:jc w:val="both"/>
            </w:pPr>
            <w:r>
              <w:rPr>
                <w:rFonts w:ascii="仿宋_GB2312" w:hAnsi="仿宋_GB2312" w:cs="仿宋_GB2312" w:eastAsia="仿宋_GB2312"/>
                <w:sz w:val="24"/>
                <w:b/>
              </w:rPr>
              <w:t>（一）工程量清单：</w:t>
            </w:r>
            <w:r>
              <w:rPr>
                <w:rFonts w:ascii="仿宋_GB2312" w:hAnsi="仿宋_GB2312" w:cs="仿宋_GB2312" w:eastAsia="仿宋_GB2312"/>
                <w:sz w:val="24"/>
              </w:rPr>
              <w:t>详见附件。</w:t>
            </w:r>
          </w:p>
          <w:p>
            <w:pPr>
              <w:pStyle w:val="null3"/>
              <w:ind w:firstLine="482"/>
              <w:jc w:val="both"/>
            </w:pPr>
            <w:r>
              <w:rPr>
                <w:rFonts w:ascii="仿宋_GB2312" w:hAnsi="仿宋_GB2312" w:cs="仿宋_GB2312" w:eastAsia="仿宋_GB2312"/>
                <w:sz w:val="24"/>
                <w:b/>
              </w:rPr>
              <w:t>（二）图纸：</w:t>
            </w:r>
            <w:r>
              <w:rPr>
                <w:rFonts w:ascii="仿宋_GB2312" w:hAnsi="仿宋_GB2312" w:cs="仿宋_GB2312" w:eastAsia="仿宋_GB2312"/>
                <w:sz w:val="24"/>
              </w:rPr>
              <w:t>无</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商务要求</w:t>
            </w:r>
          </w:p>
          <w:p>
            <w:pPr>
              <w:pStyle w:val="null3"/>
              <w:ind w:firstLine="482"/>
              <w:jc w:val="both"/>
            </w:pPr>
            <w:r>
              <w:rPr>
                <w:rFonts w:ascii="仿宋_GB2312" w:hAnsi="仿宋_GB2312" w:cs="仿宋_GB2312" w:eastAsia="仿宋_GB2312"/>
                <w:sz w:val="24"/>
                <w:b/>
              </w:rPr>
              <w:t>（一）工期：</w:t>
            </w:r>
            <w:r>
              <w:rPr>
                <w:rFonts w:ascii="仿宋_GB2312" w:hAnsi="仿宋_GB2312" w:cs="仿宋_GB2312" w:eastAsia="仿宋_GB2312"/>
                <w:sz w:val="24"/>
              </w:rPr>
              <w:t>自接到采购人开工通知之日起</w:t>
            </w:r>
            <w:r>
              <w:rPr>
                <w:rFonts w:ascii="仿宋_GB2312" w:hAnsi="仿宋_GB2312" w:cs="仿宋_GB2312" w:eastAsia="仿宋_GB2312"/>
                <w:sz w:val="24"/>
              </w:rPr>
              <w:t>30</w:t>
            </w:r>
            <w:r>
              <w:rPr>
                <w:rFonts w:ascii="仿宋_GB2312" w:hAnsi="仿宋_GB2312" w:cs="仿宋_GB2312" w:eastAsia="仿宋_GB2312"/>
                <w:sz w:val="24"/>
              </w:rPr>
              <w:t>个日历天</w:t>
            </w:r>
            <w:r>
              <w:rPr>
                <w:rFonts w:ascii="仿宋_GB2312" w:hAnsi="仿宋_GB2312" w:cs="仿宋_GB2312" w:eastAsia="仿宋_GB2312"/>
                <w:sz w:val="24"/>
              </w:rPr>
              <w:t>，具体以项目实际需求及使用单位要求为准</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（二）工程地点</w:t>
            </w:r>
            <w:r>
              <w:rPr>
                <w:rFonts w:ascii="仿宋_GB2312" w:hAnsi="仿宋_GB2312" w:cs="仿宋_GB2312" w:eastAsia="仿宋_GB2312"/>
                <w:sz w:val="24"/>
              </w:rPr>
              <w:t>：</w:t>
            </w:r>
            <w:r>
              <w:rPr>
                <w:rFonts w:ascii="仿宋_GB2312" w:hAnsi="仿宋_GB2312" w:cs="仿宋_GB2312" w:eastAsia="仿宋_GB2312"/>
                <w:sz w:val="24"/>
              </w:rPr>
              <w:t>西安工程大学</w:t>
            </w:r>
            <w:r>
              <w:rPr>
                <w:rFonts w:ascii="仿宋_GB2312" w:hAnsi="仿宋_GB2312" w:cs="仿宋_GB2312" w:eastAsia="仿宋_GB2312"/>
                <w:sz w:val="24"/>
              </w:rPr>
              <w:t>金花校区经纬苑学生宿舍楼</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（三）质量要求</w:t>
            </w:r>
            <w:r>
              <w:rPr>
                <w:rFonts w:ascii="仿宋_GB2312" w:hAnsi="仿宋_GB2312" w:cs="仿宋_GB2312" w:eastAsia="仿宋_GB2312"/>
                <w:sz w:val="24"/>
              </w:rPr>
              <w:t>：符合本工程</w:t>
            </w:r>
            <w:r>
              <w:rPr>
                <w:rFonts w:ascii="仿宋_GB2312" w:hAnsi="仿宋_GB2312" w:cs="仿宋_GB2312" w:eastAsia="仿宋_GB2312"/>
                <w:sz w:val="24"/>
              </w:rPr>
              <w:t>竞争性磋商</w:t>
            </w:r>
            <w:r>
              <w:rPr>
                <w:rFonts w:ascii="仿宋_GB2312" w:hAnsi="仿宋_GB2312" w:cs="仿宋_GB2312" w:eastAsia="仿宋_GB2312"/>
                <w:sz w:val="24"/>
              </w:rPr>
              <w:t>文件技术要求及国家、行业标准，达到合格。</w:t>
            </w:r>
          </w:p>
          <w:p>
            <w:pPr>
              <w:pStyle w:val="null3"/>
              <w:ind w:firstLine="482"/>
              <w:jc w:val="both"/>
            </w:pPr>
            <w:r>
              <w:rPr>
                <w:rFonts w:ascii="仿宋_GB2312" w:hAnsi="仿宋_GB2312" w:cs="仿宋_GB2312" w:eastAsia="仿宋_GB2312"/>
                <w:sz w:val="24"/>
                <w:b/>
              </w:rPr>
              <w:t>（四）付款方式：</w:t>
            </w:r>
          </w:p>
          <w:p>
            <w:pPr>
              <w:pStyle w:val="null3"/>
              <w:ind w:firstLine="480"/>
              <w:jc w:val="both"/>
            </w:pPr>
            <w:r>
              <w:rPr>
                <w:rFonts w:ascii="仿宋_GB2312" w:hAnsi="仿宋_GB2312" w:cs="仿宋_GB2312" w:eastAsia="仿宋_GB2312"/>
                <w:sz w:val="24"/>
              </w:rPr>
              <w:t>1.合同签订后，承包人向发包人提供预付款等额的银行、保险公司等金融机构出具的预付款保函或其他担保措施，</w:t>
            </w:r>
            <w:r>
              <w:rPr>
                <w:rFonts w:ascii="仿宋_GB2312" w:hAnsi="仿宋_GB2312" w:cs="仿宋_GB2312" w:eastAsia="仿宋_GB2312"/>
                <w:sz w:val="24"/>
              </w:rPr>
              <w:t>发包人</w:t>
            </w:r>
            <w:r>
              <w:rPr>
                <w:rFonts w:ascii="仿宋_GB2312" w:hAnsi="仿宋_GB2312" w:cs="仿宋_GB2312" w:eastAsia="仿宋_GB2312"/>
                <w:sz w:val="24"/>
              </w:rPr>
              <w:t>向</w:t>
            </w:r>
            <w:r>
              <w:rPr>
                <w:rFonts w:ascii="仿宋_GB2312" w:hAnsi="仿宋_GB2312" w:cs="仿宋_GB2312" w:eastAsia="仿宋_GB2312"/>
                <w:sz w:val="24"/>
              </w:rPr>
              <w:t>承包人支付合同总价的40%作为预付款。</w:t>
            </w:r>
          </w:p>
          <w:p>
            <w:pPr>
              <w:pStyle w:val="null3"/>
              <w:ind w:firstLine="480"/>
              <w:jc w:val="both"/>
            </w:pPr>
            <w:r>
              <w:rPr>
                <w:rFonts w:ascii="仿宋_GB2312" w:hAnsi="仿宋_GB2312" w:cs="仿宋_GB2312" w:eastAsia="仿宋_GB2312"/>
                <w:sz w:val="24"/>
              </w:rPr>
              <w:t>2.本工程完工后，支付至监理单位审核，发包人审定实际完成工程量的70%。承包人应按发包人竣工资料的归集及竣工结算审核的要求，完整归集项目资料。工程完工验收合格后承包人提交符合要求的施工资料及结算资料。工程项目结算金额以学校审计部门审核完毕后出具的审核报告为准，依据审核报告余款一次付清，付款前承包人需提供符合发包人要求的有效增值税发票，发包人见票付款，承包人不能提供的，发包人有权不支付工程款。</w:t>
            </w:r>
          </w:p>
          <w:p>
            <w:pPr>
              <w:pStyle w:val="null3"/>
              <w:ind w:firstLine="480"/>
              <w:jc w:val="both"/>
            </w:pPr>
            <w:r>
              <w:rPr>
                <w:rFonts w:ascii="仿宋_GB2312" w:hAnsi="仿宋_GB2312" w:cs="仿宋_GB2312" w:eastAsia="仿宋_GB2312"/>
                <w:sz w:val="24"/>
              </w:rPr>
              <w:t>3.工程量据实结算，工程最终价款以审计结果为准，如审减率超过5%，超出部分的审计成果费由承包人承担。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符合本工程竞争性磋商文件技术要求及国家、行业标准，达到合格。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应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本项目工程量清单依据《陕西省建设工程费用规则》、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请各供应商结合现场踏勘情况认真核对，并确认无误；供应商中标后，若出现磋商文件中工程量清单描述与实际情况不符等问题时，此部分工程量清单项的综合单价不予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1.响应保证金须从供应商户名支付，如从个人户名或非供应商户名支付， 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2973608682@qq.com（邮件命名：项目名称+项目编号）；供应商应在响应文件中附保函复印件。保函必须由具有开具投标保函资格的单位开具；若供应商违约，开具保函单位承担连带责任； 2.响应保证金的提交金额、时间不满足磋商文件要求的，投标无效； 3.供应商需要在线提交所有通过电子化交易平台实施的政府采购项目的响 应文件，同时，线下提交纸质响应文件正本1份、副本1份，纸质响应文件正副本分别胶装，标明供应商名称密封递交，递交截止时间同在线递交电子响应文件截止时间一致，线下递交文件地点：开瑞项目管理有限公司（陕西省西安市莲湖区高新二路1号招商银行大厦19层前台，联系人：屈延洁，联系电话：17391959109）,若电子响应文件与纸质响应文件不一致的，以电子响应文件为准。 4.结算时，依据采购人审定的工程量，按实际发生量据实结算，工程价款结算时依据最终价款和一次报价的下浮比例执行。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供应商须具备建设行政主管部门颁发合法有效的建筑工程施工总承包三级(含)以上，并具备有效的安全生产许可证，且在人员、设备、资金等方面具备相应施工能力；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已标价工程量清单 供应商应提交的资格审查资料.docx 拟派项目经理证明材料.docx 施工组织设计1.docx 施工组织设计4.docx 施工组织设计5.docx 中小企业声明函 企业业绩.docx 技术服务合同条款及其他商务要求应答表 施工组织设计2.docx 响应文件封面 施工组织设计3.docx 残疾人福利性单位声明函 法定代表人证明书及授权书.docx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 签章；</w:t>
            </w:r>
          </w:p>
        </w:tc>
        <w:tc>
          <w:tcPr>
            <w:tcW w:type="dxa" w:w="1661"/>
          </w:tcPr>
          <w:p>
            <w:pPr>
              <w:pStyle w:val="null3"/>
            </w:pPr>
            <w:r>
              <w:rPr>
                <w:rFonts w:ascii="仿宋_GB2312" w:hAnsi="仿宋_GB2312" w:cs="仿宋_GB2312" w:eastAsia="仿宋_GB2312"/>
              </w:rPr>
              <w:t>已标价工程量清单 供应商应提交的资格审查资料.docx 拟派项目经理证明材料.docx 施工组织设计1.docx 施工组织设计4.docx 施工组织设计5.docx 中小企业声明函 企业业绩.docx 技术服务合同条款及其他商务要求应答表 施工组织设计2.docx 响应文件封面 施工组织设计3.docx 残疾人福利性单位声明函 法定代表人证明书及授权书.docx 报价函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已标价工程量清单 供应商应提交的资格审查资料.docx 拟派项目经理证明材料.docx 施工组织设计1.docx 施工组织设计4.docx 施工组织设计5.docx 中小企业声明函 企业业绩.docx 技术服务合同条款及其他商务要求应答表 施工组织设计2.docx 响应文件封面 施工组织设计3.docx 残疾人福利性单位声明函 法定代表人证明书及授权书.docx 报价函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已标价工程量清单扉页是否加盖有注册或登记在工程造价咨询企业的造价人员签字并盖执业印章(委托第三方造价咨询企业需提供相关证明材料)</w:t>
            </w:r>
          </w:p>
        </w:tc>
        <w:tc>
          <w:tcPr>
            <w:tcW w:type="dxa" w:w="3322"/>
          </w:tcPr>
          <w:p>
            <w:pPr>
              <w:pStyle w:val="null3"/>
            </w:pPr>
            <w:r>
              <w:rPr>
                <w:rFonts w:ascii="仿宋_GB2312" w:hAnsi="仿宋_GB2312" w:cs="仿宋_GB2312" w:eastAsia="仿宋_GB2312"/>
              </w:rPr>
              <w:t>已标价工程量清单扉页已加盖有注册或登记在工程造价咨询企业的造价人员签字并盖执业印章(委托第三方造价咨询企业需提供相关证明材料)；</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供应商提供自2023年1月1日至本项目响应文件递交截止时间前已承接的类似业绩证明材料，每提供1项的得3分，最多得15分。未提供的不得分。 评审依据：提供施工合同证明材料复印件，时间以合同签订时间为准。 备注：类似业绩证明材料意指建筑工程清表或包含建筑工程清表施工内容的业绩。</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拟派项目经理具备中级及以上职称证书的得3分，其余情况不得分。 评审依据：评审时以供应商提供的加盖供应商公章的拟派项目经理最高职称证书的扫描件或复印件为准，提供多个职称证明材料的，以最高职称材料为准，未提供的不得分。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拟派项目经理证明材料.docx</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拟派项目经理具备大专及以上学历的得2分；其他情况不得分。 评审依据：以供应商提供的加盖公章的拟派项目经理学历证书的扫描件或复印件为准，提供多个学历或学位证书的，以最高学历为准，未提供的不得分。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拟派项目经理证明材料.docx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供应商提供拟派项目经理自2023年5月1日以来至今已完成的类似项目业绩证明材料的（在该项目中担任项目经理一职）提供1项的得5分。未提供的不得分。 评审依据：（类似业绩应提供合同扫描件或复印件加盖供应商公章，以合同签订时间所体现的时间为准，合同中应体现的项目经理姓名。可与企业业绩重复。 注：类似业绩证明材料意指建筑工程清表或包含建筑工程清表施工内容的业绩。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拟派项目经理证明材料.docx</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1.供应商提供的施工总体规划部署及施工方案需包含①项目施工总体思路；②施工实施阶段划分；③关键工序技术把控措施，共3项内容，每项满分3分，总分9分。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施工组织设计1.docx</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2.供应商提供的质量管控体系方案需包含①质量目标及管控措施；②全流程质量检验、整改机制；③质量通病防治措施，共3项内容，每项满分3分，总分9分。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施工组织设计2.docx</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3.供应商提供的进度管控与应急方案需包含①进度管控节点设置、动态调整；②工期延误风险预判及应对措施；③季节性施工（雨期、冬期）适配措施，共3项内容，每项满分3分，总分9分。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施工组织设计3.docx</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4.供应商提供的安全文明施工方案需包含①安全生产管理制度、责任分工；②安全风险防控、应急处置方案；③文明施工、环保措施（扬尘、噪音管控等），共3项内容，每项满分3分，总分9分。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施工组织设计4.docx</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5.供应商提供的资源配置保障方案需包含①施工队伍、管理人员及经验；②施工机械设备、材料供应；③人力、设备调度方案，共3项内容，每项满分3分，总分9分。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施工组织设计5.docx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 磋商报价得分=（磋商基准价/最后磋商报价）×30 备注：计算分数时四舍五入取小数点后两位。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详见附件：供应商应提交的资格审查资料.docx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详见附件：拟派项目经理证明材料.docx</w:t>
      </w:r>
    </w:p>
    <w:p>
      <w:pPr>
        <w:pStyle w:val="null3"/>
        <w:ind w:firstLine="960"/>
      </w:pPr>
      <w:r>
        <w:rPr>
          <w:rFonts w:ascii="仿宋_GB2312" w:hAnsi="仿宋_GB2312" w:cs="仿宋_GB2312" w:eastAsia="仿宋_GB2312"/>
        </w:rPr>
        <w:t>详见附件：施工组织设计1.docx</w:t>
      </w:r>
    </w:p>
    <w:p>
      <w:pPr>
        <w:pStyle w:val="null3"/>
        <w:ind w:firstLine="960"/>
      </w:pPr>
      <w:r>
        <w:rPr>
          <w:rFonts w:ascii="仿宋_GB2312" w:hAnsi="仿宋_GB2312" w:cs="仿宋_GB2312" w:eastAsia="仿宋_GB2312"/>
        </w:rPr>
        <w:t>详见附件：施工组织设计2.docx</w:t>
      </w:r>
    </w:p>
    <w:p>
      <w:pPr>
        <w:pStyle w:val="null3"/>
        <w:ind w:firstLine="960"/>
      </w:pPr>
      <w:r>
        <w:rPr>
          <w:rFonts w:ascii="仿宋_GB2312" w:hAnsi="仿宋_GB2312" w:cs="仿宋_GB2312" w:eastAsia="仿宋_GB2312"/>
        </w:rPr>
        <w:t>详见附件：施工组织设计3.docx</w:t>
      </w:r>
    </w:p>
    <w:p>
      <w:pPr>
        <w:pStyle w:val="null3"/>
        <w:ind w:firstLine="960"/>
      </w:pPr>
      <w:r>
        <w:rPr>
          <w:rFonts w:ascii="仿宋_GB2312" w:hAnsi="仿宋_GB2312" w:cs="仿宋_GB2312" w:eastAsia="仿宋_GB2312"/>
        </w:rPr>
        <w:t>详见附件：施工组织设计4.docx</w:t>
      </w:r>
    </w:p>
    <w:p>
      <w:pPr>
        <w:pStyle w:val="null3"/>
        <w:ind w:firstLine="960"/>
      </w:pPr>
      <w:r>
        <w:rPr>
          <w:rFonts w:ascii="仿宋_GB2312" w:hAnsi="仿宋_GB2312" w:cs="仿宋_GB2312" w:eastAsia="仿宋_GB2312"/>
        </w:rPr>
        <w:t>详见附件：施工组织设计5.docx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