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94A0E5">
      <w:pPr>
        <w:widowControl/>
        <w:wordWrap w:val="0"/>
        <w:topLinePunct/>
        <w:spacing w:before="0" w:beforeAutospacing="0" w:after="0" w:afterAutospacing="0"/>
        <w:ind w:firstLine="720" w:firstLineChars="300"/>
        <w:jc w:val="right"/>
        <w:rPr>
          <w:rFonts w:ascii="宋体" w:hAnsi="宋体" w:cs="宋体"/>
          <w:bCs/>
          <w:color w:val="auto"/>
          <w:kern w:val="0"/>
          <w:sz w:val="24"/>
          <w:szCs w:val="20"/>
          <w:highlight w:val="none"/>
        </w:rPr>
      </w:pPr>
    </w:p>
    <w:p w14:paraId="6D6AC188">
      <w:pPr>
        <w:widowControl/>
        <w:topLinePunct/>
        <w:spacing w:before="0" w:beforeAutospacing="0" w:after="0" w:afterAutospacing="0"/>
        <w:jc w:val="left"/>
        <w:rPr>
          <w:rFonts w:ascii="宋体" w:hAnsi="宋体" w:cs="宋体"/>
          <w:bCs/>
          <w:color w:val="auto"/>
          <w:kern w:val="0"/>
          <w:sz w:val="24"/>
          <w:szCs w:val="20"/>
          <w:highlight w:val="none"/>
        </w:rPr>
      </w:pPr>
    </w:p>
    <w:p w14:paraId="72A8542A">
      <w:pPr>
        <w:pStyle w:val="2"/>
        <w:adjustRightInd w:val="0"/>
        <w:snapToGrid w:val="0"/>
        <w:spacing w:beforeAutospacing="0" w:afterAutospacing="0" w:line="360" w:lineRule="auto"/>
        <w:rPr>
          <w:rFonts w:ascii="宋体" w:hAnsi="宋体" w:eastAsia="宋体" w:cs="宋体"/>
          <w:bCs/>
          <w:color w:val="auto"/>
          <w:sz w:val="24"/>
          <w:szCs w:val="24"/>
          <w:highlight w:val="none"/>
        </w:rPr>
      </w:pPr>
      <w:bookmarkStart w:id="0" w:name="_Toc22306"/>
      <w:r>
        <w:rPr>
          <w:rFonts w:hint="eastAsia" w:ascii="宋体" w:hAnsi="宋体" w:eastAsia="宋体" w:cs="宋体"/>
          <w:b w:val="0"/>
          <w:color w:val="auto"/>
          <w:sz w:val="24"/>
          <w:szCs w:val="24"/>
          <w:highlight w:val="none"/>
        </w:rPr>
        <w:t>（合同签订时采购人有权根据供应商响应文件中的内容及承诺对合同内容进行补充和完善）</w:t>
      </w:r>
      <w:bookmarkEnd w:id="0"/>
    </w:p>
    <w:p w14:paraId="20C31F8B">
      <w:pPr>
        <w:adjustRightInd w:val="0"/>
        <w:snapToGrid w:val="0"/>
        <w:spacing w:beforeAutospacing="0" w:afterAutospacing="0" w:line="360" w:lineRule="auto"/>
        <w:ind w:firstLine="482" w:firstLineChars="200"/>
        <w:jc w:val="center"/>
        <w:rPr>
          <w:rFonts w:ascii="宋体" w:hAnsi="宋体" w:cs="宋体"/>
          <w:b/>
          <w:bCs/>
          <w:color w:val="auto"/>
          <w:kern w:val="0"/>
          <w:sz w:val="24"/>
          <w:highlight w:val="none"/>
        </w:rPr>
      </w:pPr>
    </w:p>
    <w:p w14:paraId="30D76F9A">
      <w:pPr>
        <w:widowControl/>
        <w:adjustRightInd w:val="0"/>
        <w:snapToGrid w:val="0"/>
        <w:spacing w:beforeAutospacing="0" w:afterAutospacing="0" w:line="360" w:lineRule="auto"/>
        <w:jc w:val="center"/>
        <w:rPr>
          <w:rFonts w:ascii="宋体" w:hAnsi="宋体" w:cs="宋体"/>
          <w:b/>
          <w:bCs/>
          <w:color w:val="auto"/>
          <w:sz w:val="48"/>
          <w:szCs w:val="56"/>
          <w:highlight w:val="none"/>
        </w:rPr>
      </w:pPr>
    </w:p>
    <w:p w14:paraId="61039C7B">
      <w:pPr>
        <w:keepNext w:val="0"/>
        <w:keepLines w:val="0"/>
        <w:pageBreakBefore w:val="0"/>
        <w:widowControl/>
        <w:kinsoku/>
        <w:wordWrap/>
        <w:overflowPunct/>
        <w:topLinePunct w:val="0"/>
        <w:autoSpaceDE/>
        <w:autoSpaceDN/>
        <w:bidi w:val="0"/>
        <w:adjustRightInd w:val="0"/>
        <w:snapToGrid w:val="0"/>
        <w:spacing w:before="0" w:beforeAutospacing="0" w:after="0" w:afterAutospacing="0" w:line="600" w:lineRule="exact"/>
        <w:jc w:val="center"/>
        <w:textAlignment w:val="auto"/>
        <w:rPr>
          <w:rFonts w:hint="eastAsia" w:ascii="宋体" w:hAnsi="宋体" w:cs="宋体"/>
          <w:b/>
          <w:bCs/>
          <w:color w:val="auto"/>
          <w:sz w:val="48"/>
          <w:szCs w:val="56"/>
          <w:highlight w:val="none"/>
          <w:lang w:eastAsia="zh-CN"/>
        </w:rPr>
      </w:pPr>
      <w:r>
        <w:rPr>
          <w:rFonts w:hint="eastAsia" w:ascii="宋体" w:hAnsi="宋体" w:cs="宋体"/>
          <w:b/>
          <w:bCs/>
          <w:color w:val="auto"/>
          <w:sz w:val="48"/>
          <w:szCs w:val="56"/>
          <w:highlight w:val="none"/>
          <w:lang w:eastAsia="zh-CN"/>
        </w:rPr>
        <w:t>西安工程大学金花校区</w:t>
      </w:r>
    </w:p>
    <w:p w14:paraId="3C2A7D6F">
      <w:pPr>
        <w:keepNext w:val="0"/>
        <w:keepLines w:val="0"/>
        <w:pageBreakBefore w:val="0"/>
        <w:widowControl/>
        <w:kinsoku/>
        <w:wordWrap/>
        <w:overflowPunct/>
        <w:topLinePunct w:val="0"/>
        <w:autoSpaceDE/>
        <w:autoSpaceDN/>
        <w:bidi w:val="0"/>
        <w:adjustRightInd w:val="0"/>
        <w:snapToGrid w:val="0"/>
        <w:spacing w:before="0" w:beforeAutospacing="0" w:after="0" w:afterAutospacing="0" w:line="600" w:lineRule="exact"/>
        <w:jc w:val="center"/>
        <w:textAlignment w:val="auto"/>
        <w:rPr>
          <w:rFonts w:hint="eastAsia" w:ascii="宋体" w:hAnsi="宋体" w:cs="宋体"/>
          <w:b/>
          <w:bCs/>
          <w:color w:val="auto"/>
          <w:sz w:val="48"/>
          <w:szCs w:val="56"/>
          <w:highlight w:val="none"/>
          <w:lang w:eastAsia="zh-CN"/>
        </w:rPr>
      </w:pPr>
      <w:r>
        <w:rPr>
          <w:rFonts w:hint="eastAsia" w:ascii="宋体" w:hAnsi="宋体" w:cs="宋体"/>
          <w:b/>
          <w:bCs/>
          <w:color w:val="auto"/>
          <w:sz w:val="48"/>
          <w:szCs w:val="56"/>
          <w:highlight w:val="none"/>
          <w:lang w:eastAsia="zh-CN"/>
        </w:rPr>
        <w:t xml:space="preserve">经纬苑学生宿舍楼项目场地清表工程    </w:t>
      </w:r>
    </w:p>
    <w:p w14:paraId="5C1B84C1">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宋体" w:hAnsi="宋体" w:cs="宋体"/>
          <w:b/>
          <w:bCs w:val="0"/>
          <w:color w:val="auto"/>
          <w:kern w:val="0"/>
          <w:sz w:val="44"/>
          <w:szCs w:val="44"/>
          <w:highlight w:val="none"/>
        </w:rPr>
      </w:pPr>
    </w:p>
    <w:p w14:paraId="3615E059">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宋体" w:hAnsi="宋体" w:cs="宋体"/>
          <w:b/>
          <w:bCs w:val="0"/>
          <w:color w:val="auto"/>
          <w:kern w:val="0"/>
          <w:sz w:val="44"/>
          <w:szCs w:val="44"/>
          <w:highlight w:val="none"/>
        </w:rPr>
      </w:pPr>
    </w:p>
    <w:p w14:paraId="0CA18051">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imes New Roman" w:hAnsi="Times New Roman" w:eastAsia="宋体" w:cs="Times New Roman"/>
          <w:b/>
          <w:bCs w:val="0"/>
          <w:color w:val="auto"/>
          <w:kern w:val="2"/>
          <w:sz w:val="56"/>
          <w:szCs w:val="24"/>
          <w:highlight w:val="none"/>
          <w:lang w:val="en-US" w:eastAsia="zh-CN" w:bidi="ar-SA"/>
        </w:rPr>
      </w:pPr>
      <w:r>
        <w:rPr>
          <w:rFonts w:hint="eastAsia" w:ascii="Times New Roman" w:hAnsi="Times New Roman" w:eastAsia="宋体" w:cs="Times New Roman"/>
          <w:b/>
          <w:bCs w:val="0"/>
          <w:color w:val="auto"/>
          <w:kern w:val="2"/>
          <w:sz w:val="56"/>
          <w:szCs w:val="24"/>
          <w:highlight w:val="none"/>
          <w:lang w:val="en-US" w:eastAsia="zh-CN" w:bidi="ar-SA"/>
        </w:rPr>
        <w:t>施工合同</w:t>
      </w:r>
    </w:p>
    <w:p w14:paraId="24EF18EC">
      <w:pPr>
        <w:adjustRightInd w:val="0"/>
        <w:snapToGrid w:val="0"/>
        <w:spacing w:beforeAutospacing="0" w:afterAutospacing="0" w:line="360" w:lineRule="auto"/>
        <w:ind w:firstLine="420" w:firstLineChars="200"/>
        <w:rPr>
          <w:color w:val="auto"/>
          <w:highlight w:val="none"/>
        </w:rPr>
      </w:pPr>
    </w:p>
    <w:p w14:paraId="663ABDB1">
      <w:pPr>
        <w:pStyle w:val="3"/>
        <w:adjustRightInd w:val="0"/>
        <w:snapToGrid w:val="0"/>
        <w:spacing w:beforeAutospacing="0" w:after="0" w:afterAutospacing="0" w:line="360" w:lineRule="auto"/>
        <w:ind w:firstLine="420" w:firstLineChars="200"/>
        <w:rPr>
          <w:color w:val="auto"/>
          <w:highlight w:val="none"/>
        </w:rPr>
      </w:pPr>
    </w:p>
    <w:p w14:paraId="6EE28E5E">
      <w:pPr>
        <w:adjustRightInd w:val="0"/>
        <w:snapToGrid w:val="0"/>
        <w:spacing w:beforeAutospacing="0" w:afterAutospacing="0" w:line="360" w:lineRule="auto"/>
        <w:ind w:firstLine="420" w:firstLineChars="200"/>
        <w:rPr>
          <w:color w:val="auto"/>
          <w:highlight w:val="none"/>
        </w:rPr>
      </w:pPr>
    </w:p>
    <w:p w14:paraId="6FDC3D0F">
      <w:pPr>
        <w:adjustRightInd w:val="0"/>
        <w:snapToGrid w:val="0"/>
        <w:spacing w:beforeAutospacing="0" w:afterAutospacing="0" w:line="360" w:lineRule="auto"/>
        <w:ind w:firstLine="420" w:firstLineChars="200"/>
        <w:rPr>
          <w:color w:val="auto"/>
          <w:highlight w:val="none"/>
        </w:rPr>
      </w:pPr>
    </w:p>
    <w:p w14:paraId="58FAC89B">
      <w:pPr>
        <w:adjustRightInd w:val="0"/>
        <w:snapToGrid w:val="0"/>
        <w:spacing w:beforeAutospacing="0" w:afterAutospacing="0" w:line="360" w:lineRule="auto"/>
        <w:ind w:firstLine="420" w:firstLineChars="200"/>
        <w:jc w:val="left"/>
        <w:rPr>
          <w:color w:val="auto"/>
          <w:highlight w:val="none"/>
        </w:rPr>
      </w:pPr>
    </w:p>
    <w:p w14:paraId="20BA856C">
      <w:pPr>
        <w:adjustRightInd w:val="0"/>
        <w:snapToGrid w:val="0"/>
        <w:spacing w:beforeAutospacing="0" w:afterAutospacing="0" w:line="360" w:lineRule="auto"/>
        <w:ind w:firstLine="420" w:firstLineChars="200"/>
        <w:jc w:val="left"/>
        <w:rPr>
          <w:color w:val="auto"/>
          <w:highlight w:val="none"/>
        </w:rPr>
      </w:pPr>
    </w:p>
    <w:p w14:paraId="3FE386AD">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b/>
          <w:color w:val="auto"/>
          <w:kern w:val="0"/>
          <w:sz w:val="32"/>
          <w:szCs w:val="32"/>
          <w:highlight w:val="none"/>
          <w:u w:val="single"/>
          <w:lang w:eastAsia="zh-CN"/>
        </w:rPr>
      </w:pPr>
      <w:r>
        <w:rPr>
          <w:rFonts w:hint="eastAsia" w:ascii="宋体" w:hAnsi="宋体"/>
          <w:b/>
          <w:color w:val="auto"/>
          <w:kern w:val="0"/>
          <w:sz w:val="32"/>
          <w:szCs w:val="32"/>
          <w:highlight w:val="none"/>
        </w:rPr>
        <w:t>甲方：</w:t>
      </w:r>
      <w:r>
        <w:rPr>
          <w:rFonts w:hint="eastAsia" w:ascii="宋体" w:hAnsi="宋体"/>
          <w:b/>
          <w:color w:val="auto"/>
          <w:kern w:val="0"/>
          <w:sz w:val="32"/>
          <w:szCs w:val="32"/>
          <w:highlight w:val="none"/>
          <w:u w:val="single"/>
          <w:lang w:eastAsia="zh-CN"/>
        </w:rPr>
        <w:t>西安工程大学</w:t>
      </w:r>
    </w:p>
    <w:p w14:paraId="3671DBE2">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2570" w:firstLineChars="800"/>
        <w:jc w:val="both"/>
        <w:textAlignment w:val="auto"/>
        <w:rPr>
          <w:rFonts w:hint="eastAsia" w:ascii="宋体" w:hAnsi="宋体" w:eastAsia="宋体"/>
          <w:b/>
          <w:color w:val="auto"/>
          <w:kern w:val="0"/>
          <w:sz w:val="32"/>
          <w:szCs w:val="32"/>
          <w:highlight w:val="none"/>
        </w:rPr>
      </w:pPr>
      <w:r>
        <w:rPr>
          <w:rFonts w:hint="eastAsia" w:ascii="宋体" w:hAnsi="宋体" w:eastAsia="宋体"/>
          <w:b/>
          <w:color w:val="auto"/>
          <w:kern w:val="0"/>
          <w:sz w:val="32"/>
          <w:szCs w:val="32"/>
          <w:highlight w:val="none"/>
        </w:rPr>
        <w:t>乙方：</w:t>
      </w:r>
      <w:r>
        <w:rPr>
          <w:rFonts w:hint="eastAsia" w:ascii="宋体" w:hAnsi="宋体" w:eastAsia="宋体"/>
          <w:b/>
          <w:color w:val="auto"/>
          <w:kern w:val="0"/>
          <w:sz w:val="32"/>
          <w:szCs w:val="32"/>
          <w:highlight w:val="none"/>
          <w:u w:val="single"/>
        </w:rPr>
        <w:t xml:space="preserve">         </w:t>
      </w:r>
      <w:r>
        <w:rPr>
          <w:rFonts w:hint="eastAsia" w:ascii="宋体" w:hAnsi="宋体" w:eastAsia="宋体"/>
          <w:b/>
          <w:color w:val="auto"/>
          <w:kern w:val="0"/>
          <w:sz w:val="32"/>
          <w:szCs w:val="32"/>
          <w:highlight w:val="none"/>
          <w:u w:val="single"/>
          <w:lang w:val="en-US" w:eastAsia="zh-CN"/>
        </w:rPr>
        <w:t xml:space="preserve">  </w:t>
      </w:r>
      <w:r>
        <w:rPr>
          <w:rFonts w:hint="eastAsia" w:ascii="宋体" w:hAnsi="宋体" w:eastAsia="宋体"/>
          <w:b/>
          <w:color w:val="auto"/>
          <w:kern w:val="0"/>
          <w:sz w:val="32"/>
          <w:szCs w:val="32"/>
          <w:highlight w:val="none"/>
          <w:u w:val="single"/>
        </w:rPr>
        <w:t xml:space="preserve"> </w:t>
      </w:r>
    </w:p>
    <w:p w14:paraId="5CF8A1DD">
      <w:pPr>
        <w:keepNext w:val="0"/>
        <w:keepLines w:val="0"/>
        <w:pageBreakBefore w:val="0"/>
        <w:widowControl w:val="0"/>
        <w:kinsoku/>
        <w:wordWrap/>
        <w:overflowPunct/>
        <w:topLinePunct w:val="0"/>
        <w:autoSpaceDE/>
        <w:autoSpaceDN/>
        <w:bidi w:val="0"/>
        <w:adjustRightInd/>
        <w:snapToGrid/>
        <w:spacing w:before="0" w:beforeAutospacing="0" w:after="0" w:afterAutospacing="0" w:line="408" w:lineRule="auto"/>
        <w:ind w:firstLine="2570" w:firstLineChars="800"/>
        <w:jc w:val="both"/>
        <w:textAlignment w:val="auto"/>
        <w:rPr>
          <w:rFonts w:hint="eastAsia" w:ascii="宋体" w:hAnsi="宋体" w:eastAsia="宋体"/>
          <w:b/>
          <w:color w:val="auto"/>
          <w:kern w:val="0"/>
          <w:sz w:val="32"/>
          <w:szCs w:val="32"/>
          <w:highlight w:val="none"/>
        </w:rPr>
      </w:pPr>
      <w:r>
        <w:rPr>
          <w:rFonts w:hint="eastAsia" w:ascii="宋体" w:hAnsi="宋体" w:eastAsia="宋体"/>
          <w:b/>
          <w:color w:val="auto"/>
          <w:kern w:val="0"/>
          <w:sz w:val="32"/>
          <w:szCs w:val="32"/>
          <w:highlight w:val="none"/>
          <w:u w:val="single"/>
        </w:rPr>
        <w:t xml:space="preserve">  </w:t>
      </w:r>
      <w:r>
        <w:rPr>
          <w:rFonts w:hint="eastAsia" w:ascii="宋体" w:hAnsi="宋体" w:eastAsia="宋体"/>
          <w:b/>
          <w:color w:val="auto"/>
          <w:kern w:val="0"/>
          <w:sz w:val="32"/>
          <w:szCs w:val="32"/>
          <w:highlight w:val="none"/>
          <w:u w:val="single"/>
          <w:lang w:val="en-US" w:eastAsia="zh-CN"/>
        </w:rPr>
        <w:t xml:space="preserve">  </w:t>
      </w:r>
      <w:r>
        <w:rPr>
          <w:rFonts w:hint="eastAsia" w:ascii="宋体" w:hAnsi="宋体" w:eastAsia="宋体"/>
          <w:b/>
          <w:color w:val="auto"/>
          <w:kern w:val="0"/>
          <w:sz w:val="32"/>
          <w:szCs w:val="32"/>
          <w:highlight w:val="none"/>
          <w:u w:val="single"/>
        </w:rPr>
        <w:t xml:space="preserve"> </w:t>
      </w:r>
      <w:r>
        <w:rPr>
          <w:rFonts w:hint="eastAsia" w:ascii="宋体" w:hAnsi="宋体" w:eastAsia="宋体"/>
          <w:b/>
          <w:color w:val="auto"/>
          <w:kern w:val="0"/>
          <w:sz w:val="32"/>
          <w:szCs w:val="32"/>
          <w:highlight w:val="none"/>
        </w:rPr>
        <w:t>年</w:t>
      </w:r>
      <w:r>
        <w:rPr>
          <w:rFonts w:hint="eastAsia" w:ascii="宋体" w:hAnsi="宋体" w:eastAsia="宋体"/>
          <w:b/>
          <w:color w:val="auto"/>
          <w:kern w:val="0"/>
          <w:sz w:val="32"/>
          <w:szCs w:val="32"/>
          <w:highlight w:val="none"/>
          <w:u w:val="single"/>
        </w:rPr>
        <w:t xml:space="preserve">  </w:t>
      </w:r>
      <w:r>
        <w:rPr>
          <w:rFonts w:hint="eastAsia" w:ascii="宋体" w:hAnsi="宋体" w:eastAsia="宋体"/>
          <w:b/>
          <w:color w:val="auto"/>
          <w:kern w:val="0"/>
          <w:sz w:val="32"/>
          <w:szCs w:val="32"/>
          <w:highlight w:val="none"/>
          <w:u w:val="single"/>
          <w:lang w:val="en-US" w:eastAsia="zh-CN"/>
        </w:rPr>
        <w:t xml:space="preserve">  </w:t>
      </w:r>
      <w:r>
        <w:rPr>
          <w:rFonts w:hint="eastAsia" w:ascii="宋体" w:hAnsi="宋体" w:eastAsia="宋体"/>
          <w:b/>
          <w:color w:val="auto"/>
          <w:kern w:val="0"/>
          <w:sz w:val="32"/>
          <w:szCs w:val="32"/>
          <w:highlight w:val="none"/>
        </w:rPr>
        <w:t>月</w:t>
      </w:r>
      <w:r>
        <w:rPr>
          <w:rFonts w:hint="eastAsia" w:ascii="宋体" w:hAnsi="宋体" w:eastAsia="宋体"/>
          <w:b/>
          <w:color w:val="auto"/>
          <w:kern w:val="0"/>
          <w:sz w:val="32"/>
          <w:szCs w:val="32"/>
          <w:highlight w:val="none"/>
          <w:u w:val="single"/>
        </w:rPr>
        <w:t xml:space="preserve">  </w:t>
      </w:r>
      <w:r>
        <w:rPr>
          <w:rFonts w:hint="eastAsia" w:ascii="宋体" w:hAnsi="宋体" w:eastAsia="宋体"/>
          <w:b/>
          <w:color w:val="auto"/>
          <w:kern w:val="0"/>
          <w:sz w:val="32"/>
          <w:szCs w:val="32"/>
          <w:highlight w:val="none"/>
          <w:u w:val="single"/>
          <w:lang w:val="en-US" w:eastAsia="zh-CN"/>
        </w:rPr>
        <w:t xml:space="preserve">  </w:t>
      </w:r>
      <w:r>
        <w:rPr>
          <w:rFonts w:hint="eastAsia" w:ascii="宋体" w:hAnsi="宋体" w:eastAsia="宋体"/>
          <w:b/>
          <w:color w:val="auto"/>
          <w:kern w:val="0"/>
          <w:sz w:val="32"/>
          <w:szCs w:val="32"/>
          <w:highlight w:val="none"/>
        </w:rPr>
        <w:t>日</w:t>
      </w:r>
    </w:p>
    <w:p w14:paraId="4FCFC5F3">
      <w:pPr>
        <w:adjustRightInd w:val="0"/>
        <w:snapToGrid w:val="0"/>
        <w:spacing w:beforeAutospacing="0" w:afterAutospacing="0" w:line="360" w:lineRule="auto"/>
        <w:ind w:firstLine="560" w:firstLineChars="200"/>
        <w:rPr>
          <w:rFonts w:ascii="黑体" w:hAnsi="黑体" w:eastAsia="黑体"/>
          <w:color w:val="auto"/>
          <w:sz w:val="28"/>
          <w:szCs w:val="28"/>
          <w:highlight w:val="none"/>
          <w:lang w:eastAsia="zh-Hans"/>
        </w:rPr>
      </w:pPr>
    </w:p>
    <w:p w14:paraId="5026BC16">
      <w:pPr>
        <w:rPr>
          <w:rFonts w:ascii="Times New Roman" w:hAnsi="Times New Roman" w:eastAsia="宋体" w:cs="Times New Roman"/>
          <w:b/>
          <w:bCs/>
          <w:color w:val="auto"/>
          <w:kern w:val="0"/>
          <w:sz w:val="32"/>
          <w:szCs w:val="32"/>
          <w:highlight w:val="none"/>
        </w:rPr>
      </w:pPr>
      <w:r>
        <w:rPr>
          <w:rFonts w:ascii="Times New Roman" w:hAnsi="Times New Roman" w:eastAsia="宋体" w:cs="Times New Roman"/>
          <w:b/>
          <w:bCs/>
          <w:color w:val="auto"/>
          <w:kern w:val="0"/>
          <w:sz w:val="32"/>
          <w:szCs w:val="32"/>
          <w:highlight w:val="none"/>
        </w:rPr>
        <w:br w:type="page"/>
      </w:r>
    </w:p>
    <w:p w14:paraId="5F0C8F94">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2" w:firstLineChars="200"/>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发包人（甲方）：西安工程大学</w:t>
      </w:r>
    </w:p>
    <w:p w14:paraId="3BBD3492">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2" w:firstLineChars="200"/>
        <w:textAlignment w:val="auto"/>
        <w:rPr>
          <w:rFonts w:hint="eastAsia" w:asciiTheme="minorEastAsia" w:hAnsiTheme="minorEastAsia" w:eastAsiaTheme="minorEastAsia" w:cstheme="minorEastAsia"/>
          <w:b/>
          <w:bCs/>
          <w:color w:val="auto"/>
          <w:sz w:val="24"/>
          <w:szCs w:val="24"/>
          <w:highlight w:val="none"/>
          <w:u w:val="single"/>
          <w:lang w:val="en-US" w:eastAsia="zh-CN"/>
        </w:rPr>
      </w:pPr>
      <w:r>
        <w:rPr>
          <w:rFonts w:hint="eastAsia" w:asciiTheme="minorEastAsia" w:hAnsiTheme="minorEastAsia" w:eastAsiaTheme="minorEastAsia" w:cstheme="minorEastAsia"/>
          <w:b/>
          <w:bCs/>
          <w:color w:val="auto"/>
          <w:sz w:val="24"/>
          <w:szCs w:val="24"/>
          <w:highlight w:val="none"/>
        </w:rPr>
        <w:t>承包人（乙方）：</w:t>
      </w:r>
      <w:r>
        <w:rPr>
          <w:rFonts w:hint="eastAsia" w:asciiTheme="minorEastAsia" w:hAnsiTheme="minorEastAsia" w:eastAsiaTheme="minorEastAsia" w:cstheme="minorEastAsia"/>
          <w:b/>
          <w:bCs/>
          <w:color w:val="auto"/>
          <w:sz w:val="24"/>
          <w:szCs w:val="24"/>
          <w:highlight w:val="none"/>
          <w:u w:val="single"/>
          <w:lang w:val="en-US" w:eastAsia="zh-CN"/>
        </w:rPr>
        <w:t xml:space="preserve">            </w:t>
      </w:r>
    </w:p>
    <w:p w14:paraId="5A5392E7">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根据《中华人民共和国民法典》和本工程</w:t>
      </w:r>
      <w:r>
        <w:rPr>
          <w:rFonts w:hint="eastAsia" w:asciiTheme="minorEastAsia" w:hAnsiTheme="minorEastAsia" w:eastAsiaTheme="minorEastAsia" w:cstheme="minorEastAsia"/>
          <w:color w:val="auto"/>
          <w:sz w:val="24"/>
          <w:szCs w:val="24"/>
          <w:highlight w:val="none"/>
          <w:lang w:val="en-US" w:eastAsia="zh-CN"/>
        </w:rPr>
        <w:t>竞争性磋商</w:t>
      </w:r>
      <w:r>
        <w:rPr>
          <w:rFonts w:hint="eastAsia" w:asciiTheme="minorEastAsia" w:hAnsiTheme="minorEastAsia" w:eastAsiaTheme="minorEastAsia" w:cstheme="minorEastAsia"/>
          <w:color w:val="auto"/>
          <w:sz w:val="24"/>
          <w:szCs w:val="24"/>
          <w:highlight w:val="none"/>
        </w:rPr>
        <w:t>文件、</w:t>
      </w:r>
      <w:r>
        <w:rPr>
          <w:rFonts w:hint="eastAsia" w:asciiTheme="minorEastAsia" w:hAnsiTheme="minorEastAsia" w:eastAsiaTheme="minorEastAsia" w:cstheme="minorEastAsia"/>
          <w:color w:val="auto"/>
          <w:sz w:val="24"/>
          <w:szCs w:val="24"/>
          <w:highlight w:val="none"/>
          <w:lang w:val="en-US" w:eastAsia="zh-CN"/>
        </w:rPr>
        <w:t>响应</w:t>
      </w:r>
      <w:r>
        <w:rPr>
          <w:rFonts w:hint="eastAsia" w:asciiTheme="minorEastAsia" w:hAnsiTheme="minorEastAsia" w:eastAsiaTheme="minorEastAsia" w:cstheme="minorEastAsia"/>
          <w:color w:val="auto"/>
          <w:sz w:val="24"/>
          <w:szCs w:val="24"/>
          <w:highlight w:val="none"/>
        </w:rPr>
        <w:t>文件，经双</w:t>
      </w:r>
    </w:p>
    <w:p w14:paraId="7C334A8E">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方协商同意签订本合同。</w:t>
      </w:r>
    </w:p>
    <w:p w14:paraId="4C8A3360">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2" w:firstLineChars="200"/>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一、工程项目</w:t>
      </w:r>
    </w:p>
    <w:p w14:paraId="69A15756">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工程范围和内容：</w:t>
      </w:r>
    </w:p>
    <w:p w14:paraId="17B85D80">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1.1.现场绿化树木的清理、移栽；</w:t>
      </w:r>
    </w:p>
    <w:p w14:paraId="2999CD53">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1.2.现场堆土垃圾清理外运及地块表层土方清理外运；开挖平均深度约1.5m； </w:t>
      </w:r>
    </w:p>
    <w:p w14:paraId="604E66B7">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1.3.施工现场围挡采购安装，彩钢板围挡高度不低于1.8m（安装方式以现场情况由承包人自行考虑，费用已包含在合同价款内）。</w:t>
      </w:r>
    </w:p>
    <w:p w14:paraId="45BE05AD">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合同价款</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暂定）</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元（大写金额：</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），工程最终价款以审计结果为准。</w:t>
      </w:r>
    </w:p>
    <w:p w14:paraId="3F6BCA0B">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组成本合同的文件包括：</w:t>
      </w:r>
      <w:r>
        <w:rPr>
          <w:rFonts w:hint="eastAsia" w:asciiTheme="minorEastAsia" w:hAnsiTheme="minorEastAsia" w:eastAsiaTheme="minorEastAsia" w:cstheme="minorEastAsia"/>
          <w:color w:val="auto"/>
          <w:sz w:val="24"/>
          <w:szCs w:val="24"/>
          <w:highlight w:val="none"/>
          <w:lang w:val="en-US" w:eastAsia="zh-CN"/>
        </w:rPr>
        <w:t>响应文件</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采购</w:t>
      </w:r>
      <w:r>
        <w:rPr>
          <w:rFonts w:hint="eastAsia" w:asciiTheme="minorEastAsia" w:hAnsiTheme="minorEastAsia" w:eastAsiaTheme="minorEastAsia" w:cstheme="minorEastAsia"/>
          <w:color w:val="auto"/>
          <w:sz w:val="24"/>
          <w:szCs w:val="24"/>
          <w:highlight w:val="none"/>
        </w:rPr>
        <w:t>文件、答疑纪要及工程量清单、图纸、标准、规范及有关技术文件。</w:t>
      </w:r>
    </w:p>
    <w:p w14:paraId="7741CF75">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双方为履行本合同的有关洽商、变更等书面协议、文件，视为本合同的组成部分。</w:t>
      </w:r>
    </w:p>
    <w:p w14:paraId="371D889A">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计价依据：</w:t>
      </w:r>
    </w:p>
    <w:p w14:paraId="36D373FF">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4.1工程量按实结算。</w:t>
      </w:r>
    </w:p>
    <w:p w14:paraId="675B3FC0">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4.2本合同价款采用固定综合单价方式确定。合同价格包括人工费、材料费、机械费、利润、税金、规费、安全文明施工费、周边关系协调费、现场看护费、保证施工的各种措施费、需要承担的所有风险、政策性文件规定费用等一切因本项目而产生的所有费用。</w:t>
      </w:r>
    </w:p>
    <w:p w14:paraId="180A73E9">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bookmarkStart w:id="1" w:name="OLE_LINK4"/>
      <w:r>
        <w:rPr>
          <w:rFonts w:hint="eastAsia" w:asciiTheme="minorEastAsia" w:hAnsiTheme="minorEastAsia" w:eastAsiaTheme="minorEastAsia" w:cstheme="minorEastAsia"/>
          <w:color w:val="auto"/>
          <w:sz w:val="24"/>
          <w:szCs w:val="24"/>
          <w:highlight w:val="none"/>
        </w:rPr>
        <w:t>4.3 变更价款的确定：</w:t>
      </w:r>
    </w:p>
    <w:p w14:paraId="14B73087">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施工现场所发生施工合同以外施工内容综合单位确认办法：</w:t>
      </w:r>
    </w:p>
    <w:p w14:paraId="4DD9A3D3">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color w:val="auto"/>
          <w:sz w:val="24"/>
          <w:szCs w:val="24"/>
          <w:highlight w:val="none"/>
        </w:rPr>
        <w:instrText xml:space="preserve"> = 1 \* GB3 </w:instrText>
      </w:r>
      <w:r>
        <w:rPr>
          <w:rFonts w:hint="eastAsia" w:asciiTheme="minorEastAsia" w:hAnsiTheme="minorEastAsia" w:eastAsiaTheme="minorEastAsia" w:cstheme="minorEastAsia"/>
          <w:color w:val="auto"/>
          <w:sz w:val="24"/>
          <w:szCs w:val="24"/>
          <w:highlight w:val="none"/>
        </w:rPr>
        <w:fldChar w:fldCharType="separate"/>
      </w:r>
      <w:r>
        <w:rPr>
          <w:rFonts w:hint="eastAsia" w:asciiTheme="minorEastAsia" w:hAnsiTheme="minorEastAsia" w:eastAsiaTheme="minorEastAsia" w:cstheme="minorEastAsia"/>
          <w:color w:val="auto"/>
          <w:sz w:val="24"/>
          <w:szCs w:val="24"/>
          <w:highlight w:val="none"/>
        </w:rPr>
        <w:t>①</w:t>
      </w:r>
      <w:r>
        <w:rPr>
          <w:rFonts w:hint="eastAsia" w:asciiTheme="minorEastAsia" w:hAnsiTheme="minorEastAsia" w:eastAsiaTheme="minorEastAsia" w:cstheme="minorEastAsia"/>
          <w:color w:val="auto"/>
          <w:sz w:val="24"/>
          <w:szCs w:val="24"/>
          <w:highlight w:val="none"/>
        </w:rPr>
        <w:fldChar w:fldCharType="end"/>
      </w:r>
      <w:r>
        <w:rPr>
          <w:rFonts w:hint="eastAsia" w:asciiTheme="minorEastAsia" w:hAnsiTheme="minorEastAsia" w:eastAsiaTheme="minorEastAsia" w:cstheme="minorEastAsia"/>
          <w:color w:val="auto"/>
          <w:sz w:val="24"/>
          <w:szCs w:val="24"/>
          <w:highlight w:val="none"/>
        </w:rPr>
        <w:t>合同中有适用于变更工程的综合单价或价格,采用合同已有的综合单价或价格变更价款；</w:t>
      </w:r>
    </w:p>
    <w:p w14:paraId="5CD41629">
      <w:pPr>
        <w:pageBreakBefore w:val="0"/>
        <w:widowControl/>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②合同中有类似于变更工程的综合单价或价格,可以参照类似综合单价或价格变更合同价款；</w:t>
      </w:r>
    </w:p>
    <w:p w14:paraId="38243B66">
      <w:pPr>
        <w:pageBreakBefore w:val="0"/>
        <w:widowControl/>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③合同中没有适用或类似于变更工程的综合单价或价格，由乙方提出变更认价报告，甲方对主材认价，相关取费参照: 《建设工程工程量清单计价标准》(DB61/T5126-2025)、《陕西省建设工程费用规则》(2025)、《陕西省建设工程施工机械台班费用定额》(2025)、《陕西省建设工程施工仪器仪表台班费用定额》(2025)、《陕西省房屋建筑与装饰工程消耗量定额》(2025)、《陕西省通用安装工程消耗量定额》(2025)、《陕西省市政工程消耗量定额》(2025)、陕西省房屋建筑与装饰工程基价表》(2025)、《陕西省通用安装工程基价表》(2025)、《陕西省市政工程基价表》(2025)等相关现行标准文件和学校规定执行。</w:t>
      </w:r>
    </w:p>
    <w:bookmarkEnd w:id="1"/>
    <w:p w14:paraId="0C28DC90">
      <w:pPr>
        <w:keepNext/>
        <w:keepLines/>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2" w:firstLineChars="200"/>
        <w:textAlignment w:val="auto"/>
        <w:outlineLvl w:val="3"/>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4.4发生施工合同以外施工内容，需由三方按实计量，上报工作联系单或签证单并附预算。</w:t>
      </w:r>
    </w:p>
    <w:p w14:paraId="261D320F">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2" w:firstLineChars="200"/>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二、合同工期</w:t>
      </w:r>
    </w:p>
    <w:p w14:paraId="35E6399D">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合同工期</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b w:val="0"/>
          <w:bCs/>
          <w:color w:val="auto"/>
          <w:sz w:val="24"/>
          <w:szCs w:val="24"/>
          <w:highlight w:val="none"/>
        </w:rPr>
        <w:t>日</w:t>
      </w:r>
      <w:r>
        <w:rPr>
          <w:rFonts w:hint="eastAsia" w:asciiTheme="minorEastAsia" w:hAnsiTheme="minorEastAsia" w:eastAsiaTheme="minorEastAsia" w:cstheme="minorEastAsia"/>
          <w:color w:val="auto"/>
          <w:sz w:val="24"/>
          <w:szCs w:val="24"/>
          <w:highlight w:val="none"/>
        </w:rPr>
        <w:t>历天，开工时间具体以开工令为准。</w:t>
      </w:r>
    </w:p>
    <w:p w14:paraId="6983BDD6">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工期提前不奖，因承包人原因每推迟一天按2000元/天从工程款项中累计扣除。如遇不可抗力，国家政策停建、缓建的情况等，工期顺延。</w:t>
      </w:r>
    </w:p>
    <w:p w14:paraId="49AEDA10">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2" w:firstLineChars="200"/>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三、质量要求及双方责任</w:t>
      </w:r>
    </w:p>
    <w:p w14:paraId="425F2B8C">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本工程质量必须达到合格标准。</w:t>
      </w:r>
    </w:p>
    <w:p w14:paraId="2ED6EB8A">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发包人负责解决施工场所用水、用电接点、并提供材料存放等场地，协调同有关单位的关系。发包人指派：</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为发包人驻工地代表，负责合同履行。对工程质量、进度进行监督检查，办理验收、变更、登记手续和其他事宜。</w:t>
      </w:r>
    </w:p>
    <w:p w14:paraId="657B190A">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3</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承包人项目经理：</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，建造师证书：</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，承包人组织施工人员熟悉总体施工情况、安排进度、人员调配、做好施工准备，负责合同履行。按要求组织施工，保质、保量、按期完成施工任务，解决由承包人负责的各项事宜。</w:t>
      </w:r>
    </w:p>
    <w:p w14:paraId="4A24D61D">
      <w:pPr>
        <w:keepNext/>
        <w:keepLines/>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2" w:firstLineChars="200"/>
        <w:textAlignment w:val="auto"/>
        <w:outlineLvl w:val="3"/>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4</w:t>
      </w:r>
      <w:r>
        <w:rPr>
          <w:rFonts w:hint="eastAsia" w:asciiTheme="minorEastAsia" w:hAnsiTheme="minorEastAsia" w:eastAsiaTheme="minorEastAsia" w:cstheme="minorEastAsia"/>
          <w:b/>
          <w:bCs/>
          <w:color w:val="auto"/>
          <w:sz w:val="24"/>
          <w:szCs w:val="24"/>
          <w:highlight w:val="none"/>
          <w:lang w:eastAsia="zh-CN"/>
        </w:rPr>
        <w:t>.</w:t>
      </w:r>
      <w:r>
        <w:rPr>
          <w:rFonts w:hint="eastAsia" w:asciiTheme="minorEastAsia" w:hAnsiTheme="minorEastAsia" w:eastAsiaTheme="minorEastAsia" w:cstheme="minorEastAsia"/>
          <w:b/>
          <w:bCs/>
          <w:color w:val="auto"/>
          <w:sz w:val="24"/>
          <w:szCs w:val="24"/>
          <w:highlight w:val="none"/>
        </w:rPr>
        <w:t>乙方应严格按甲方要求施工，确保工程进度，保障行人及自身的安全，凡在施工过程中发生的机械事故及人员伤亡均由乙方负责并承担责任，与甲方无关。乙方负责与协调渣土外运相关关系的协调及与当地村民的协调，一切安全问题和村民的矛盾由乙方负责协调处理。乙方应办理相关渣土（建筑垃圾）外运等相关手续，确保工程顺利进行。</w:t>
      </w:r>
    </w:p>
    <w:p w14:paraId="5BEE3FC6">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w:t>
      </w:r>
      <w:bookmarkStart w:id="2" w:name="_Toc304295521"/>
      <w:bookmarkStart w:id="3" w:name="_Toc312677986"/>
      <w:bookmarkStart w:id="4" w:name="_Toc318581155"/>
      <w:bookmarkStart w:id="5" w:name="_Toc300934943"/>
      <w:bookmarkStart w:id="6" w:name="_Toc303539100"/>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关于出入现场的权利的约定：承包人负责现场管理，承包人应遵守校园门禁管理的规定，进出车辆需在校保卫处办理相关通行证件及备案手续，进出人员需遵守校园管理规定，不得在与施工无关的区域活动，确保校园安全，如因施工单位原因发生危害校园安全的事宜，按每次5000元处以违约金从工程款中扣除。</w:t>
      </w:r>
      <w:bookmarkEnd w:id="2"/>
      <w:bookmarkEnd w:id="3"/>
      <w:bookmarkEnd w:id="4"/>
      <w:bookmarkEnd w:id="5"/>
      <w:bookmarkEnd w:id="6"/>
    </w:p>
    <w:p w14:paraId="10163E3E">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2" w:firstLineChars="200"/>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四、工程款的支付与结算</w:t>
      </w:r>
    </w:p>
    <w:p w14:paraId="6621669D">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1.合同签订后，承包人向发包人提供预付款等额的银行、保险公司等金融机构出具的预付款保函或其他担保措施，发包人向承包人支付合同总价的40%作为预付款。</w:t>
      </w:r>
      <w:bookmarkStart w:id="7" w:name="_GoBack"/>
      <w:bookmarkEnd w:id="7"/>
    </w:p>
    <w:p w14:paraId="234D5361">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工程完工后，支付至监理单位审核，发包人审定实际完成工程量的70%。承包人应按发包人竣工资料的归集及竣工结算审核的要求，完整归集项目资料。工程完工验收合格后承包人提交符合要求的施工资料及结算资料。工程项目结算金额以学校审计部门审核完毕后出具的审核报告为准，依据审核报告余款一次付清，付款前承包人需提供符合发包人要求的有效增值税发票，发包人见票付款，承包人不能提供的，发包人有权不支付工程款。</w:t>
      </w:r>
    </w:p>
    <w:p w14:paraId="19BDC529">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本合同约定款项支付至指定的以下帐户：</w:t>
      </w:r>
    </w:p>
    <w:p w14:paraId="498F1F8B">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开户名称：</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 xml:space="preserve">  </w:t>
      </w:r>
    </w:p>
    <w:p w14:paraId="7C99733F">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开户银行：</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 xml:space="preserve">                    </w:t>
      </w:r>
    </w:p>
    <w:p w14:paraId="64504943">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账    号：</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 xml:space="preserve">    </w:t>
      </w:r>
    </w:p>
    <w:p w14:paraId="06662F16">
      <w:pPr>
        <w:pageBreakBefore w:val="0"/>
        <w:numPr>
          <w:ilvl w:val="0"/>
          <w:numId w:val="0"/>
        </w:numPr>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2"/>
          <w:sz w:val="24"/>
          <w:szCs w:val="24"/>
          <w:highlight w:val="none"/>
          <w:lang w:val="en-US" w:eastAsia="zh-CN" w:bidi="ar-SA"/>
        </w:rPr>
        <w:t>3.</w:t>
      </w:r>
      <w:r>
        <w:rPr>
          <w:rFonts w:hint="eastAsia" w:asciiTheme="minorEastAsia" w:hAnsiTheme="minorEastAsia" w:eastAsiaTheme="minorEastAsia" w:cstheme="minorEastAsia"/>
          <w:color w:val="auto"/>
          <w:sz w:val="24"/>
          <w:szCs w:val="24"/>
          <w:highlight w:val="none"/>
        </w:rPr>
        <w:t>工程量据实结算，工程最终价款以审计结果为准，如审减率超过5%，超出部分的审计成果费由承包人承担。</w:t>
      </w:r>
    </w:p>
    <w:p w14:paraId="063CAA35">
      <w:pPr>
        <w:pageBreakBefore w:val="0"/>
        <w:numPr>
          <w:ilvl w:val="0"/>
          <w:numId w:val="0"/>
        </w:numPr>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4.结算时，依据甲方审定的工程量，按实际发生量据实结算，工程价款结算时依据最终价款和一次报价的下浮比例执行。 </w:t>
      </w:r>
    </w:p>
    <w:p w14:paraId="09C8C52D">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2" w:firstLineChars="200"/>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五、违约责任</w:t>
      </w:r>
    </w:p>
    <w:p w14:paraId="00E97CF1">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由于乙方原因工程不能按照合同规定的工期交付使用，给甲方造成的损失由乙方赔偿。</w:t>
      </w:r>
    </w:p>
    <w:p w14:paraId="4E766BAC">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该地表清理及土方外运工程主要是为项目文勘提供作业条件，故地表清理及土方外运需满足文物勘察部门的要求，因项目的特殊性，如因文物勘察等出现特殊情况，经发包人、承包人、监理人三方据实协商认定，合理顺延工期。</w:t>
      </w:r>
    </w:p>
    <w:p w14:paraId="2887F314">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2" w:firstLineChars="200"/>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六、不可抗力及保险</w:t>
      </w:r>
    </w:p>
    <w:p w14:paraId="662A08A1">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高考、中考、运动会以及政府部门发出的有碍于施工的临时性指令按不可抗力对待；</w:t>
      </w:r>
    </w:p>
    <w:p w14:paraId="42F8801A">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正常情况的风、雨、雪、雾天气不属于不可抗力，因本项目的施工特殊性，如发生连阴雨天气确实影响施工进度的，经发包人、承包人、监理人三方据实协商认定，合理顺延工期；</w:t>
      </w:r>
    </w:p>
    <w:p w14:paraId="6DC4D8CD">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根据不可抗力对合同的影响程度，双方应当协商是否解除本合同或部分、全部免除履行本合同的责任，或延期履行合同。</w:t>
      </w:r>
    </w:p>
    <w:p w14:paraId="6E25988A">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关于工程保险、承包人人员相关保险、设备设施保险等已包含在合同价款中，保险费用由承包人承担，未购买的承包人承担全部责任。</w:t>
      </w:r>
    </w:p>
    <w:p w14:paraId="376960A6">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2" w:firstLineChars="200"/>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七、安全</w:t>
      </w:r>
    </w:p>
    <w:p w14:paraId="32D550E7">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 xml:space="preserve">承包人安全管理人员必须持证上岗，并负责检查现场和施工人员安全情况，如发包人驻工地代表发现有不安全因素存在，经指出但承包人未纠正的每次从工程款中扣除1000元人民币。 </w:t>
      </w:r>
    </w:p>
    <w:p w14:paraId="03B418FF">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承包人按有关规定采取严格的安全防护措施，承担由于自身措施不力造成事故的责任和因此发生的费用。非承包人责任造成的伤亡事故，由责任方承担责任和费用。</w:t>
      </w:r>
    </w:p>
    <w:p w14:paraId="5E2964FB">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承包人必须加强对施工人员的防火、防盗等施工安全教育，并在施工现场设立醒目的标志牌。对由于承包人原因造成的人员伤亡或财产损失，由承包人承担责任。</w:t>
      </w:r>
    </w:p>
    <w:p w14:paraId="4984300D">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 xml:space="preserve">承包人必须加强对施工队伍的管理，遵守和执行安全、文明施工和夜间施工等规定，因违反有关部门规定而导致罚款或人身伤亡事故及所造成的其他经济损失，均由承包人负责。 </w:t>
      </w:r>
    </w:p>
    <w:p w14:paraId="79E8555E">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 xml:space="preserve">承包人必须为施工场地内施工人员办理意外伤害保险和工伤保险，并为施工场地内的施工机械设备办理财产保险，支付保险费用。 </w:t>
      </w:r>
    </w:p>
    <w:p w14:paraId="02E5CEF9">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承包人现场用电必须按照发包人要求，不许使用电炉，如施工现场出现用电漏电或短路跳闸，造成停电或影响发包人用电，承包人承担由此给发包人造成的一切损失。</w:t>
      </w:r>
    </w:p>
    <w:p w14:paraId="0B44AFE8">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2" w:firstLineChars="200"/>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八、其他</w:t>
      </w:r>
    </w:p>
    <w:p w14:paraId="4256CFFE">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乙方应严格执行西安市建设工地施工扬尘治理的相关要求。场地覆盖、场地硬化、车辆冲洗等措施的费用包含在综合单价内。</w:t>
      </w:r>
    </w:p>
    <w:p w14:paraId="2C48C346">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土方开挖、渣土清运手续由乙方办理，包含在综合单价内。</w:t>
      </w:r>
    </w:p>
    <w:p w14:paraId="7BC5C6CB">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苗木养护期说明，苗木养护（如有）自验收合格之日起12个月，养护期内承包人负责项目场地内的苗木养护工作，每月提供1 次养护。</w:t>
      </w:r>
    </w:p>
    <w:p w14:paraId="1505A8D8">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承包人进场后，需进行原始地貌测绘并绘制网格图，工程完工经发包人确认进行测绘并绘制网格图，土方开挖及土方外运工程量以实测为准。</w:t>
      </w:r>
    </w:p>
    <w:p w14:paraId="39D00EB6">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彩钢板围挡采购及安装前需提供样品供建设单位确认，符合要求后方可进行采购安装。</w:t>
      </w:r>
    </w:p>
    <w:p w14:paraId="6C28F88C">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项目占地范围详见总平面图，具体范围及工程量根据文物勘察部门有可能会调整，承包人应无条件接受发包人关于工程量调整的要求。</w:t>
      </w:r>
    </w:p>
    <w:p w14:paraId="504225B1">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7</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工程竣工验收后办理移交时，竣工资料（含PDF格式电子扫描文件及CAD竣工图）应一并移交（U盘存储），资料不全或不实，发包人不予办理工程结算审核。</w:t>
      </w:r>
    </w:p>
    <w:p w14:paraId="34DAB9CF">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8</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工程竣工验收合格并办理移交手续后，30天内承包人应将施工用临设、机械、设备运离现场，50天后仍未运离现场视为承包人自动放弃，发包人有权自行处理，费用不足时由工程款中直接扣除。</w:t>
      </w:r>
    </w:p>
    <w:p w14:paraId="5A975EE5">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9</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承包人应充分了解当地民情及周边环境，自行与当地街道办、政府及村委会协调关系并承担协调费用，保证工程顺利进行，保证按期完工。</w:t>
      </w:r>
    </w:p>
    <w:p w14:paraId="341E705A">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10</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在施工期间，由承包人自行与当地政府、村委会、村民及相关管理部门协调关系，最终达到验收合格，并承担因此而产生的一切费用，保证工程的顺利进行。</w:t>
      </w:r>
    </w:p>
    <w:p w14:paraId="1561D65A">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11</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承包人应按文明工地标准加强施工现场管理，其噪音、排污、空气等治理措施应符合主管部门要求的标准，由此引起的罚款由承包人承担。</w:t>
      </w:r>
    </w:p>
    <w:p w14:paraId="11C2F195">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12</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发包人应提供施工所需水、电接入地点，保证施工期间的需要，承包人需自行安装水电表；电讯线路承包人自理。其计量和计价方法为：水费5.8元/m3、电费0.71元/度，由承包人向发包人缴纳或在结算时由发包人从工程款中扣除。</w:t>
      </w:r>
    </w:p>
    <w:p w14:paraId="12B677E6">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2" w:firstLineChars="200"/>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九、合同纠纷解决办法</w:t>
      </w:r>
    </w:p>
    <w:p w14:paraId="0D3D3F1A">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任何一方违反合同规定，双方友好协商解决，协商不成向项目所在地法院起诉。</w:t>
      </w:r>
    </w:p>
    <w:p w14:paraId="36B90452">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2" w:firstLineChars="200"/>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十、附则</w:t>
      </w:r>
    </w:p>
    <w:p w14:paraId="38AE9CC9">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本合同经双方法定代表人或授权代理人签字并加盖公章后生效，合同一式</w:t>
      </w:r>
      <w:r>
        <w:rPr>
          <w:rFonts w:hint="eastAsia" w:asciiTheme="minorEastAsia" w:hAnsiTheme="minorEastAsia" w:eastAsiaTheme="minorEastAsia" w:cstheme="minorEastAsia"/>
          <w:color w:val="auto"/>
          <w:sz w:val="24"/>
          <w:szCs w:val="24"/>
          <w:highlight w:val="none"/>
          <w:u w:val="single"/>
        </w:rPr>
        <w:t xml:space="preserve"> 捌 </w:t>
      </w:r>
      <w:r>
        <w:rPr>
          <w:rFonts w:hint="eastAsia" w:asciiTheme="minorEastAsia" w:hAnsiTheme="minorEastAsia" w:eastAsiaTheme="minorEastAsia" w:cstheme="minorEastAsia"/>
          <w:color w:val="auto"/>
          <w:sz w:val="24"/>
          <w:szCs w:val="24"/>
          <w:highlight w:val="none"/>
        </w:rPr>
        <w:t>份，发包人</w:t>
      </w:r>
      <w:r>
        <w:rPr>
          <w:rFonts w:hint="eastAsia" w:asciiTheme="minorEastAsia" w:hAnsiTheme="minorEastAsia" w:eastAsiaTheme="minorEastAsia" w:cstheme="minorEastAsia"/>
          <w:color w:val="auto"/>
          <w:sz w:val="24"/>
          <w:szCs w:val="24"/>
          <w:highlight w:val="none"/>
          <w:u w:val="single"/>
        </w:rPr>
        <w:t>肆</w:t>
      </w:r>
      <w:r>
        <w:rPr>
          <w:rFonts w:hint="eastAsia" w:asciiTheme="minorEastAsia" w:hAnsiTheme="minorEastAsia" w:eastAsiaTheme="minorEastAsia" w:cstheme="minorEastAsia"/>
          <w:color w:val="auto"/>
          <w:sz w:val="24"/>
          <w:szCs w:val="24"/>
          <w:highlight w:val="none"/>
        </w:rPr>
        <w:t>份，承包人</w:t>
      </w:r>
      <w:r>
        <w:rPr>
          <w:rFonts w:hint="eastAsia" w:asciiTheme="minorEastAsia" w:hAnsiTheme="minorEastAsia" w:eastAsiaTheme="minorEastAsia" w:cstheme="minorEastAsia"/>
          <w:color w:val="auto"/>
          <w:sz w:val="24"/>
          <w:szCs w:val="24"/>
          <w:highlight w:val="none"/>
          <w:u w:val="single"/>
        </w:rPr>
        <w:t>肆</w:t>
      </w:r>
      <w:r>
        <w:rPr>
          <w:rFonts w:hint="eastAsia" w:asciiTheme="minorEastAsia" w:hAnsiTheme="minorEastAsia" w:eastAsiaTheme="minorEastAsia" w:cstheme="minorEastAsia"/>
          <w:color w:val="auto"/>
          <w:sz w:val="24"/>
          <w:szCs w:val="24"/>
          <w:highlight w:val="none"/>
        </w:rPr>
        <w:t xml:space="preserve"> 份。</w:t>
      </w:r>
    </w:p>
    <w:p w14:paraId="6A4ABB1F">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本合同未尽事宜，按中华人民共和国有关法律、法规办理。</w:t>
      </w:r>
    </w:p>
    <w:p w14:paraId="664AFBF2">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函件往来</w:t>
      </w:r>
    </w:p>
    <w:p w14:paraId="7A6E7D2B">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双方所有通知及往来函件均应以书面形式，按本条款或签字盖章页的联系信息以专人送达、特快专递或电子邮件之形式送达对方。如以专人送达的，则按收件一方签收之日视为已送达；如果以特快专递送达的，则以本市发出后次日视为已送达。接收方以任何方式拒绝签收所送达的文件，拒绝签收之日视为已送达日。以电子邮件，邮件发至合同约定的指定邮箱当日视为已送达。</w:t>
      </w:r>
    </w:p>
    <w:p w14:paraId="387E6E97">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双方承诺本条款和签字盖章页的联系信息均真实有效，本款条联系信息具体内容如下：</w:t>
      </w:r>
    </w:p>
    <w:p w14:paraId="1DADD3F3">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default" w:asciiTheme="minorEastAsia" w:hAnsiTheme="minorEastAsia" w:eastAsiaTheme="minorEastAsia" w:cstheme="minorEastAsia"/>
          <w:color w:val="auto"/>
          <w:sz w:val="24"/>
          <w:szCs w:val="24"/>
          <w:highlight w:val="none"/>
          <w:u w:val="single"/>
          <w:lang w:val="en-US" w:eastAsia="zh-CN"/>
        </w:rPr>
      </w:pPr>
      <w:r>
        <w:rPr>
          <w:rFonts w:hint="eastAsia" w:asciiTheme="minorEastAsia" w:hAnsiTheme="minorEastAsia" w:eastAsiaTheme="minorEastAsia" w:cstheme="minorEastAsia"/>
          <w:color w:val="auto"/>
          <w:sz w:val="24"/>
          <w:szCs w:val="24"/>
          <w:highlight w:val="none"/>
        </w:rPr>
        <w:t>发包人：</w:t>
      </w:r>
      <w:r>
        <w:rPr>
          <w:rFonts w:hint="eastAsia" w:asciiTheme="minorEastAsia" w:hAnsiTheme="minorEastAsia" w:eastAsiaTheme="minorEastAsia" w:cstheme="minorEastAsia"/>
          <w:color w:val="auto"/>
          <w:sz w:val="24"/>
          <w:szCs w:val="24"/>
          <w:highlight w:val="none"/>
          <w:u w:val="single"/>
          <w:lang w:val="en-US" w:eastAsia="zh-CN"/>
        </w:rPr>
        <w:t xml:space="preserve">                                 </w:t>
      </w:r>
    </w:p>
    <w:p w14:paraId="1EC38EF1">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指定联系人和电话：</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 xml:space="preserve"> </w:t>
      </w:r>
    </w:p>
    <w:p w14:paraId="042C3B3D">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指定邮箱：</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 xml:space="preserve"> </w:t>
      </w:r>
    </w:p>
    <w:p w14:paraId="116AB847">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default"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rPr>
        <w:t>承包人：</w:t>
      </w:r>
      <w:r>
        <w:rPr>
          <w:rFonts w:hint="eastAsia" w:asciiTheme="minorEastAsia" w:hAnsiTheme="minorEastAsia" w:eastAsiaTheme="minorEastAsia" w:cstheme="minorEastAsia"/>
          <w:color w:val="auto"/>
          <w:sz w:val="24"/>
          <w:szCs w:val="24"/>
          <w:highlight w:val="none"/>
          <w:u w:val="single"/>
          <w:lang w:val="en-US" w:eastAsia="zh-CN"/>
        </w:rPr>
        <w:t xml:space="preserve">                                 </w:t>
      </w:r>
    </w:p>
    <w:p w14:paraId="5D837EBD">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指定联系人和电话：</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 xml:space="preserve"> </w:t>
      </w:r>
    </w:p>
    <w:p w14:paraId="03BA9731">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指定邮箱：</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 xml:space="preserve"> </w:t>
      </w:r>
    </w:p>
    <w:p w14:paraId="5765739A">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通信地址：</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 xml:space="preserve"> </w:t>
      </w:r>
    </w:p>
    <w:p w14:paraId="332C0B4E">
      <w:pPr>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任一方变更任一联系信息的，应在变更前3日，将新的联系方式书面通知另一方，未告知的，本合同列明的联系方式仍视为继续有效，因此产生的法律后果由变更一方自行承担。</w:t>
      </w:r>
    </w:p>
    <w:p w14:paraId="23A97B9C">
      <w:pPr>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br w:type="page"/>
      </w:r>
    </w:p>
    <w:p w14:paraId="5FB8779D">
      <w:pPr>
        <w:keepNext/>
        <w:keepLines/>
        <w:pageBreakBefore w:val="0"/>
        <w:widowControl w:val="0"/>
        <w:kinsoku/>
        <w:wordWrap/>
        <w:overflowPunct/>
        <w:topLinePunct w:val="0"/>
        <w:autoSpaceDE/>
        <w:autoSpaceDN/>
        <w:bidi w:val="0"/>
        <w:adjustRightInd w:val="0"/>
        <w:snapToGrid w:val="0"/>
        <w:spacing w:before="0" w:beforeAutospacing="0" w:after="0" w:afterAutospacing="0" w:line="360" w:lineRule="auto"/>
        <w:ind w:right="0" w:rightChars="0" w:firstLine="482" w:firstLineChars="200"/>
        <w:textAlignment w:val="auto"/>
        <w:outlineLvl w:val="3"/>
        <w:rPr>
          <w:rFonts w:hint="default"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eastAsia="zh-CN"/>
        </w:rPr>
        <w:t>（</w:t>
      </w:r>
      <w:r>
        <w:rPr>
          <w:rFonts w:hint="eastAsia" w:asciiTheme="minorEastAsia" w:hAnsiTheme="minorEastAsia" w:eastAsiaTheme="minorEastAsia" w:cstheme="minorEastAsia"/>
          <w:b/>
          <w:bCs/>
          <w:color w:val="auto"/>
          <w:sz w:val="24"/>
          <w:szCs w:val="24"/>
          <w:highlight w:val="none"/>
          <w:lang w:val="en-US" w:eastAsia="zh-CN"/>
        </w:rPr>
        <w:t>以下无正文，为签字盖章页）</w:t>
      </w:r>
    </w:p>
    <w:p w14:paraId="2B0E5057">
      <w:pPr>
        <w:pageBreakBefore w:val="0"/>
        <w:widowControl w:val="0"/>
        <w:kinsoku/>
        <w:wordWrap/>
        <w:overflowPunct/>
        <w:topLinePunct w:val="0"/>
        <w:autoSpaceDE/>
        <w:autoSpaceDN/>
        <w:bidi w:val="0"/>
        <w:adjustRightInd w:val="0"/>
        <w:snapToGrid w:val="0"/>
        <w:spacing w:before="0" w:beforeAutospacing="0" w:after="0" w:afterAutospacing="0" w:line="360" w:lineRule="auto"/>
        <w:ind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甲方（盖章）：</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乙方（盖章）：</w:t>
      </w:r>
      <w:r>
        <w:rPr>
          <w:rFonts w:hint="eastAsia" w:asciiTheme="minorEastAsia" w:hAnsiTheme="minorEastAsia" w:eastAsiaTheme="minorEastAsia" w:cstheme="minorEastAsia"/>
          <w:color w:val="auto"/>
          <w:sz w:val="24"/>
          <w:szCs w:val="24"/>
          <w:highlight w:val="none"/>
          <w:u w:val="single"/>
        </w:rPr>
        <w:t xml:space="preserve">　　　　　　　    </w:t>
      </w:r>
    </w:p>
    <w:p w14:paraId="3ACE0674">
      <w:pPr>
        <w:pageBreakBefore w:val="0"/>
        <w:widowControl w:val="0"/>
        <w:kinsoku/>
        <w:wordWrap/>
        <w:overflowPunct/>
        <w:topLinePunct w:val="0"/>
        <w:autoSpaceDE/>
        <w:autoSpaceDN/>
        <w:bidi w:val="0"/>
        <w:adjustRightInd w:val="0"/>
        <w:snapToGrid w:val="0"/>
        <w:spacing w:before="0" w:beforeAutospacing="0" w:after="0" w:afterAutospacing="0" w:line="360" w:lineRule="auto"/>
        <w:ind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西安工程大学                           </w:t>
      </w:r>
    </w:p>
    <w:p w14:paraId="1F71DFD7">
      <w:pPr>
        <w:pageBreakBefore w:val="0"/>
        <w:widowControl w:val="0"/>
        <w:kinsoku/>
        <w:wordWrap/>
        <w:overflowPunct/>
        <w:topLinePunct w:val="0"/>
        <w:autoSpaceDE/>
        <w:autoSpaceDN/>
        <w:bidi w:val="0"/>
        <w:adjustRightInd w:val="0"/>
        <w:snapToGrid w:val="0"/>
        <w:spacing w:before="0" w:beforeAutospacing="0" w:after="0" w:afterAutospacing="0" w:line="360" w:lineRule="auto"/>
        <w:ind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法定代表人或委托代理人：</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　　 法定代表人或委托代理人：</w:t>
      </w:r>
      <w:r>
        <w:rPr>
          <w:rFonts w:hint="eastAsia" w:asciiTheme="minorEastAsia" w:hAnsiTheme="minorEastAsia" w:eastAsiaTheme="minorEastAsia" w:cstheme="minorEastAsia"/>
          <w:color w:val="auto"/>
          <w:sz w:val="24"/>
          <w:szCs w:val="24"/>
          <w:highlight w:val="none"/>
          <w:u w:val="single"/>
        </w:rPr>
        <w:t xml:space="preserve">　　　　　　　    </w:t>
      </w:r>
    </w:p>
    <w:p w14:paraId="262949E3">
      <w:pPr>
        <w:pageBreakBefore w:val="0"/>
        <w:widowControl w:val="0"/>
        <w:kinsoku/>
        <w:wordWrap/>
        <w:overflowPunct/>
        <w:topLinePunct w:val="0"/>
        <w:autoSpaceDE/>
        <w:autoSpaceDN/>
        <w:bidi w:val="0"/>
        <w:adjustRightInd w:val="0"/>
        <w:snapToGrid w:val="0"/>
        <w:spacing w:before="0" w:beforeAutospacing="0" w:after="0" w:afterAutospacing="0" w:line="360" w:lineRule="auto"/>
        <w:ind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单位地址：　陕西省西安市金花南路19号　 单位地址： </w:t>
      </w:r>
      <w:r>
        <w:rPr>
          <w:rFonts w:hint="eastAsia" w:asciiTheme="minorEastAsia" w:hAnsiTheme="minorEastAsia" w:eastAsiaTheme="minorEastAsia" w:cstheme="minorEastAsia"/>
          <w:color w:val="auto"/>
          <w:sz w:val="24"/>
          <w:szCs w:val="24"/>
          <w:highlight w:val="none"/>
          <w:u w:val="single"/>
        </w:rPr>
        <w:t xml:space="preserve">　　　　　　　    </w:t>
      </w:r>
    </w:p>
    <w:p w14:paraId="0D439E3D">
      <w:pPr>
        <w:pageBreakBefore w:val="0"/>
        <w:widowControl w:val="0"/>
        <w:kinsoku/>
        <w:wordWrap/>
        <w:overflowPunct/>
        <w:topLinePunct w:val="0"/>
        <w:autoSpaceDE/>
        <w:autoSpaceDN/>
        <w:bidi w:val="0"/>
        <w:adjustRightInd w:val="0"/>
        <w:snapToGrid w:val="0"/>
        <w:spacing w:before="0" w:beforeAutospacing="0" w:after="0" w:afterAutospacing="0" w:line="360" w:lineRule="auto"/>
        <w:ind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开户银行：中国建设银行股份　　　　　　  开户银行：</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w:t>
      </w:r>
    </w:p>
    <w:p w14:paraId="39095243">
      <w:pPr>
        <w:pageBreakBefore w:val="0"/>
        <w:widowControl w:val="0"/>
        <w:kinsoku/>
        <w:wordWrap/>
        <w:overflowPunct/>
        <w:topLinePunct w:val="0"/>
        <w:autoSpaceDE/>
        <w:autoSpaceDN/>
        <w:bidi w:val="0"/>
        <w:adjustRightInd w:val="0"/>
        <w:snapToGrid w:val="0"/>
        <w:spacing w:before="0" w:beforeAutospacing="0" w:after="0" w:afterAutospacing="0" w:line="360" w:lineRule="auto"/>
        <w:ind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帐号：6105 0190 5400 0000 1286           帐号：</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w:t>
      </w:r>
    </w:p>
    <w:p w14:paraId="3BB5CEC8">
      <w:pPr>
        <w:pageBreakBefore w:val="0"/>
        <w:widowControl w:val="0"/>
        <w:kinsoku/>
        <w:wordWrap/>
        <w:overflowPunct/>
        <w:topLinePunct w:val="0"/>
        <w:autoSpaceDE/>
        <w:autoSpaceDN/>
        <w:bidi w:val="0"/>
        <w:adjustRightInd w:val="0"/>
        <w:snapToGrid w:val="0"/>
        <w:spacing w:before="0" w:beforeAutospacing="0" w:after="0" w:afterAutospacing="0" w:line="360" w:lineRule="auto"/>
        <w:ind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电话：029-83239027　　　　　　           电话：</w:t>
      </w:r>
      <w:r>
        <w:rPr>
          <w:rFonts w:hint="eastAsia" w:asciiTheme="minorEastAsia" w:hAnsiTheme="minorEastAsia" w:eastAsiaTheme="minorEastAsia" w:cstheme="minorEastAsia"/>
          <w:color w:val="auto"/>
          <w:sz w:val="24"/>
          <w:szCs w:val="24"/>
          <w:highlight w:val="none"/>
          <w:u w:val="single"/>
        </w:rPr>
        <w:t xml:space="preserve"> 　　　　　　　    </w:t>
      </w:r>
    </w:p>
    <w:p w14:paraId="46CD9573">
      <w:pPr>
        <w:pageBreakBefore w:val="0"/>
        <w:widowControl w:val="0"/>
        <w:kinsoku/>
        <w:wordWrap/>
        <w:overflowPunct/>
        <w:topLinePunct w:val="0"/>
        <w:autoSpaceDE/>
        <w:autoSpaceDN/>
        <w:bidi w:val="0"/>
        <w:adjustRightInd w:val="0"/>
        <w:snapToGrid w:val="0"/>
        <w:spacing w:before="0" w:beforeAutospacing="0" w:after="0" w:afterAutospacing="0" w:line="360" w:lineRule="auto"/>
        <w:ind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邮编：710048　　　　　　　　　           邮编：</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w:t>
      </w:r>
    </w:p>
    <w:p w14:paraId="541232D8">
      <w:pPr>
        <w:pageBreakBefore w:val="0"/>
        <w:widowControl w:val="0"/>
        <w:kinsoku/>
        <w:wordWrap/>
        <w:overflowPunct/>
        <w:topLinePunct w:val="0"/>
        <w:autoSpaceDE/>
        <w:autoSpaceDN/>
        <w:bidi w:val="0"/>
        <w:adjustRightInd w:val="0"/>
        <w:snapToGrid w:val="0"/>
        <w:spacing w:before="0" w:beforeAutospacing="0" w:after="0" w:afterAutospacing="0" w:line="360" w:lineRule="auto"/>
        <w:ind w:right="0" w:righ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签订日期：</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日</w:t>
      </w:r>
    </w:p>
    <w:p w14:paraId="397310F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0A51EE"/>
    <w:rsid w:val="43252782"/>
    <w:rsid w:val="58490DD3"/>
    <w:rsid w:val="6B0A51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9"/>
    <w:pPr>
      <w:keepNext/>
      <w:jc w:val="center"/>
      <w:outlineLvl w:val="0"/>
    </w:pPr>
    <w:rPr>
      <w:rFonts w:eastAsia="黑体"/>
      <w:b/>
      <w:kern w:val="0"/>
      <w:sz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99"/>
    <w:pPr>
      <w:spacing w:after="120"/>
    </w:pPr>
    <w:rPr>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4088</Words>
  <Characters>4275</Characters>
  <Lines>0</Lines>
  <Paragraphs>0</Paragraphs>
  <TotalTime>0</TotalTime>
  <ScaleCrop>false</ScaleCrop>
  <LinksUpToDate>false</LinksUpToDate>
  <CharactersWithSpaces>4890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2026-05-28T07:38:00Z</dcterms:created>
  <dc:creator>一疋布</dc:creator>
  <cp:lastModifiedBy>一疋布</cp:lastModifiedBy>
  <dcterms:modified xsi:type="dcterms:W3CDTF">2026-05-28T09:01:35Z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7D6E773CB4AB412F887F9253DBF19D85_11</vt:lpwstr>
  </property>
  <property fmtid="{D5CDD505-2E9C-101B-9397-08002B2CF9AE}" pid="4" name="KSOTemplateDocerSaveRecord">
    <vt:lpwstr>eyJoZGlkIjoiYTg0MGI5NDNhZTM2MmNjNWQxMjRjZmIyZjJkYzlmZTUiLCJ1c2VySWQiOiI0NTc5ODEwMzIifQ==</vt:lpwstr>
  </property>
</Properties>
</file>