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68FA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施工组织设计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3</w:t>
      </w:r>
    </w:p>
    <w:p w14:paraId="17103EB9">
      <w:pPr>
        <w:bidi w:val="0"/>
        <w:rPr>
          <w:rFonts w:hint="eastAsia"/>
        </w:rPr>
      </w:pPr>
    </w:p>
    <w:p w14:paraId="60C3C282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54D30E4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1D56299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2909621B">
      <w:pPr>
        <w:bidi w:val="0"/>
        <w:jc w:val="center"/>
        <w:rPr>
          <w:rFonts w:hint="eastAsia"/>
          <w:lang w:val="en-US" w:eastAsia="zh-CN"/>
        </w:rPr>
      </w:pPr>
    </w:p>
    <w:p w14:paraId="440A0BF5">
      <w:pPr>
        <w:bidi w:val="0"/>
        <w:jc w:val="center"/>
        <w:rPr>
          <w:rFonts w:hint="eastAsia"/>
          <w:lang w:val="en-US" w:eastAsia="zh-CN"/>
        </w:rPr>
      </w:pPr>
    </w:p>
    <w:p w14:paraId="6337DE11">
      <w:pPr>
        <w:rPr>
          <w:rFonts w:hint="eastAsia"/>
          <w:lang w:val="en-US" w:eastAsia="zh-CN"/>
        </w:rPr>
      </w:pPr>
    </w:p>
    <w:p w14:paraId="37E85F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</w:t>
      </w:r>
    </w:p>
    <w:p w14:paraId="56C9D126">
      <w:pPr>
        <w:bidi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1.供应商应根据磋商文件“第三章  技术、服务标准和要求”及“第六章  磋商办法”编制施工组织设计3。</w:t>
      </w:r>
    </w:p>
    <w:p w14:paraId="0DA2A87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32"/>
        </w:rPr>
        <w:t>供应商应递交施工进度网络图或施工进度表，说明按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32"/>
        </w:rPr>
        <w:t>要求的计划工期进行施工的各个关键日期。</w:t>
      </w:r>
    </w:p>
    <w:p w14:paraId="3D099D1D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32"/>
        </w:rPr>
        <w:t>施工进度表可采用网络图和（或）横道图表示。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9466B"/>
    <w:rsid w:val="20E36338"/>
    <w:rsid w:val="2B09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129</Characters>
  <Lines>0</Lines>
  <Paragraphs>0</Paragraphs>
  <TotalTime>0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2026-05-28T04:52:00Z</dcterms:created>
  <dc:creator>一疋布</dc:creator>
  <cp:lastModifiedBy>一疋布</cp:lastModifiedBy>
  <dcterms:modified xsi:type="dcterms:W3CDTF">2026-05-28T04:58:33Z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A822875AC733463B8000594ED4BD0903_11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