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版本号：SDZC2025-146.3B320260627001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2025年编写出版宣传老年文化图书项目(四次)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SDZC2025-146.3B3</w:t>
      </w:r>
      <w:r>
        <w:br/>
      </w:r>
      <w:r>
        <w:br/>
      </w:r>
      <w:r>
        <w:br/>
      </w:r>
    </w:p>
    <w:p>
      <w:pPr>
        <w:pStyle w:val="null3"/>
        <w:jc w:val="center"/>
        <w:outlineLvl w:val="2"/>
      </w:pPr>
      <w:r>
        <w:rPr>
          <w:rFonts w:ascii="仿宋_GB2312" w:hAnsi="仿宋_GB2312" w:cs="仿宋_GB2312" w:eastAsia="仿宋_GB2312"/>
          <w:sz w:val="28"/>
          <w:b/>
        </w:rPr>
        <w:t>陕西省民政厅机关</w:t>
      </w:r>
    </w:p>
    <w:p>
      <w:pPr>
        <w:pStyle w:val="null3"/>
        <w:jc w:val="center"/>
        <w:outlineLvl w:val="2"/>
      </w:pPr>
      <w:r>
        <w:rPr>
          <w:rFonts w:ascii="仿宋_GB2312" w:hAnsi="仿宋_GB2312" w:cs="仿宋_GB2312" w:eastAsia="仿宋_GB2312"/>
          <w:sz w:val="28"/>
          <w:b/>
        </w:rPr>
        <w:t>陕西上德招标有限公司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陕西上德招标有限公司</w:t>
      </w:r>
      <w:r>
        <w:rPr>
          <w:rFonts w:ascii="仿宋_GB2312" w:hAnsi="仿宋_GB2312" w:cs="仿宋_GB2312" w:eastAsia="仿宋_GB2312"/>
        </w:rPr>
        <w:t>（以下简称“代理机构”）受</w:t>
      </w:r>
      <w:r>
        <w:rPr>
          <w:rFonts w:ascii="仿宋_GB2312" w:hAnsi="仿宋_GB2312" w:cs="仿宋_GB2312" w:eastAsia="仿宋_GB2312"/>
        </w:rPr>
        <w:t>陕西省民政厅机关</w:t>
      </w:r>
      <w:r>
        <w:rPr>
          <w:rFonts w:ascii="仿宋_GB2312" w:hAnsi="仿宋_GB2312" w:cs="仿宋_GB2312" w:eastAsia="仿宋_GB2312"/>
        </w:rPr>
        <w:t>委托，拟对</w:t>
      </w:r>
      <w:r>
        <w:rPr>
          <w:rFonts w:ascii="仿宋_GB2312" w:hAnsi="仿宋_GB2312" w:cs="仿宋_GB2312" w:eastAsia="仿宋_GB2312"/>
        </w:rPr>
        <w:t>2025年编写出版宣传老年文化图书项目(四次)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SDZC2025-146.3B3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2025年编写出版宣传老年文化图书项目(四次)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宣传推广老年文化图书，具体内容详见招标文件。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1、营业执照：具有独立承担民事责任能力的法人、其他组织或自然人，并出具供应商合法注册有效的营业执照或其他组织法人证书等国家规定的相关证明，自然人参与的提供其身份证明；</w:t>
      </w:r>
    </w:p>
    <w:p>
      <w:pPr>
        <w:pStyle w:val="null3"/>
      </w:pPr>
      <w:r>
        <w:rPr>
          <w:rFonts w:ascii="仿宋_GB2312" w:hAnsi="仿宋_GB2312" w:cs="仿宋_GB2312" w:eastAsia="仿宋_GB2312"/>
        </w:rPr>
        <w:t>2、财务状况：财务状况：提供具有财务审计资质单位出具合法有效的2025年度财务报告（包括“四表一注”，即资产负债表、利润表、现金流量表、所有者权益变动表及其附注，成立时间至提交投标文件截止时间不足一年的可提供成立后任意时段的资产负债表）或开标前六个月内其基本账户银行出具的资信证明或政府采购信用担保机构出具的担保函；（以上三种形式的资料提供任何一种即可）；</w:t>
      </w:r>
    </w:p>
    <w:p>
      <w:pPr>
        <w:pStyle w:val="null3"/>
      </w:pPr>
      <w:r>
        <w:rPr>
          <w:rFonts w:ascii="仿宋_GB2312" w:hAnsi="仿宋_GB2312" w:cs="仿宋_GB2312" w:eastAsia="仿宋_GB2312"/>
        </w:rPr>
        <w:t>3、税收缴纳证明：税收缴纳证明：提供2025年6月至今连续三个月的税收缴纳凭据（时间以税款所属日期为准、税种须包含增值税或企业所得税），凭据应有税务机关或代收机关的公章或业务专用章。依法免税或无须缴纳税款的投标人，应提供相关证明文件；</w:t>
      </w:r>
    </w:p>
    <w:p>
      <w:pPr>
        <w:pStyle w:val="null3"/>
      </w:pPr>
      <w:r>
        <w:rPr>
          <w:rFonts w:ascii="仿宋_GB2312" w:hAnsi="仿宋_GB2312" w:cs="仿宋_GB2312" w:eastAsia="仿宋_GB2312"/>
        </w:rPr>
        <w:t>4、社会保障资金缴纳证明：社会保障资金缴纳证明：提供2026年1月至今三个月的社保缴纳凭据或社保机构开具的社会保险参保缴纳情况证明。依法不需要缴纳社会保障资金的单位应提供相关证明材料；</w:t>
      </w:r>
    </w:p>
    <w:p>
      <w:pPr>
        <w:pStyle w:val="null3"/>
      </w:pPr>
      <w:r>
        <w:rPr>
          <w:rFonts w:ascii="仿宋_GB2312" w:hAnsi="仿宋_GB2312" w:cs="仿宋_GB2312" w:eastAsia="仿宋_GB2312"/>
        </w:rPr>
        <w:t>5、书面说明及承诺：提供具有履行本合同所必需的设备和专业技术能力的说明及承诺（提供书面说明及承诺，加盖投标人公章）；</w:t>
      </w:r>
    </w:p>
    <w:p>
      <w:pPr>
        <w:pStyle w:val="null3"/>
      </w:pPr>
      <w:r>
        <w:rPr>
          <w:rFonts w:ascii="仿宋_GB2312" w:hAnsi="仿宋_GB2312" w:cs="仿宋_GB2312" w:eastAsia="仿宋_GB2312"/>
        </w:rPr>
        <w:t>6、书面声明：提供参加政府采购活动前三年内在经营活动中没有重大违法记录的书面声明（提供书面声明，加盖投标人公章）；</w:t>
      </w:r>
    </w:p>
    <w:p>
      <w:pPr>
        <w:pStyle w:val="null3"/>
      </w:pPr>
      <w:r>
        <w:rPr>
          <w:rFonts w:ascii="仿宋_GB2312" w:hAnsi="仿宋_GB2312" w:cs="仿宋_GB2312" w:eastAsia="仿宋_GB2312"/>
        </w:rPr>
        <w:t>7、法定代表人授权委托书：法定代表人授权委托书（附法定代表人身份证复印件、被授权人身份证复印件及被授权人近三个月（2026年4月至今）在投标单位缴纳社保的证明）；法定代表人直接参加投标提供法定代表人资格证明书（附法定代表人身份证复印件）；采购文件凡是法定代表人之处，非法人单位的负责人均参照执行；</w:t>
      </w:r>
    </w:p>
    <w:p>
      <w:pPr>
        <w:pStyle w:val="null3"/>
      </w:pPr>
      <w:r>
        <w:rPr>
          <w:rFonts w:ascii="仿宋_GB2312" w:hAnsi="仿宋_GB2312" w:cs="仿宋_GB2312" w:eastAsia="仿宋_GB2312"/>
        </w:rPr>
        <w:t>8、投标担保：投标保证金交纳凭证或担保函（投标保证金交纳凭证为银行凭证及基本账户证明资料，担保函为财政部门认可的政府采购信用担保机构出具）；</w:t>
      </w:r>
    </w:p>
    <w:p>
      <w:pPr>
        <w:pStyle w:val="null3"/>
      </w:pPr>
      <w:r>
        <w:rPr>
          <w:rFonts w:ascii="仿宋_GB2312" w:hAnsi="仿宋_GB2312" w:cs="仿宋_GB2312" w:eastAsia="仿宋_GB2312"/>
        </w:rPr>
        <w:t>9、信用信息査询：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在投标截止日当天由代理机构在“信用中国”网站和中国政府采购网站进行查询，截图留档；如网站无供应商信息的，供应商须提供相关证明资料或书面声明)；</w:t>
      </w:r>
    </w:p>
    <w:p>
      <w:pPr>
        <w:pStyle w:val="null3"/>
      </w:pPr>
      <w:r>
        <w:rPr>
          <w:rFonts w:ascii="仿宋_GB2312" w:hAnsi="仿宋_GB2312" w:cs="仿宋_GB2312" w:eastAsia="仿宋_GB2312"/>
        </w:rPr>
        <w:t>10、控股关系查询：单位负责人为同一人或者存在直接控股、管理关系的不同投标人，不得参加同一合同项下的政府采购活动(根据财库【2019】38号文规定，此项在投标截止日当天由代理机构在“国家企业信用信息公示系统”进行査询，截图留档；如网站无供应商信息的，供应商须提供相关证明资料或书面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陕西省民政厅机关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西安市新城区东新街403号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029-63917486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陕西上德招标有限公司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陕西省西安市未央区陕西省西安市经开区张家堡十字东南角正尚国际金融广场1幢1单元10703室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宋薇（2号工位）、魏蕾、姚文霄、王丽娇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029-86673953、86518381、89299829、89293231转802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开户名称：陕西上德招标有限公司</w:t>
            </w:r>
          </w:p>
          <w:p>
            <w:pPr>
              <w:pStyle w:val="null3"/>
            </w:pPr>
            <w:r>
              <w:rPr>
                <w:rFonts w:ascii="仿宋_GB2312" w:hAnsi="仿宋_GB2312" w:cs="仿宋_GB2312" w:eastAsia="仿宋_GB2312"/>
              </w:rPr>
              <w:t>开户银行：西安银行股份有限公司文景路支行</w:t>
            </w:r>
          </w:p>
          <w:p>
            <w:pPr>
              <w:pStyle w:val="null3"/>
            </w:pPr>
            <w:r>
              <w:rPr>
                <w:rFonts w:ascii="仿宋_GB2312" w:hAnsi="仿宋_GB2312" w:cs="仿宋_GB2312" w:eastAsia="仿宋_GB2312"/>
              </w:rPr>
              <w:t>银行账号：707011510000013522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服务费收费标准参照原《国家计委关于印发&lt;招标代理服务收费管理暂行办法&gt;的通知》(计价格〔2002〕1980号)、《国家发展改革委关于降低部分建设项目收费标准规范收费行为等有关问题的通知》(发改价格〔2011〕534号)规定执行。招标代理服务费应采用转账、刷卡、现金形式缴纳。2、汇款账户：开户行名称：陕西上德招标有限公司；开户行：西安银行股份有限公司文景路支行；账号：707011510000013522；财务部联系方式：029-86673953、029-86518381、029-89299829、029-89293231转813备注：投标人在汇款（招标代理服务费）时须注明项目编号+项目简称。</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陕西省民政厅机关</w:t>
      </w:r>
      <w:r>
        <w:rPr>
          <w:rFonts w:ascii="仿宋_GB2312" w:hAnsi="仿宋_GB2312" w:cs="仿宋_GB2312" w:eastAsia="仿宋_GB2312"/>
        </w:rPr>
        <w:t>和</w:t>
      </w:r>
      <w:r>
        <w:rPr>
          <w:rFonts w:ascii="仿宋_GB2312" w:hAnsi="仿宋_GB2312" w:cs="仿宋_GB2312" w:eastAsia="仿宋_GB2312"/>
        </w:rPr>
        <w:t>陕西上德招标有限公司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陕西省民政厅机关</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陕西上德招标有限公司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陕西省民政厅机关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陕西上德招标有限公司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使用该知识成果后，中标人承诺提供无限期支持，采购人享有使用权（含采购人委托第三方在该项目后续的使用权）。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采购人应按照政府采购合同约定的技术、服务标准组织对投标人每一项技术、服务标准的履约情况进行验收，并出具验收书。</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联系人：宋薇（2号工位）</w:t>
      </w:r>
    </w:p>
    <w:p>
      <w:pPr>
        <w:pStyle w:val="null3"/>
      </w:pPr>
      <w:r>
        <w:rPr>
          <w:rFonts w:ascii="仿宋_GB2312" w:hAnsi="仿宋_GB2312" w:cs="仿宋_GB2312" w:eastAsia="仿宋_GB2312"/>
        </w:rPr>
        <w:t>联系电话：029-89293231转802</w:t>
      </w:r>
    </w:p>
    <w:p>
      <w:pPr>
        <w:pStyle w:val="null3"/>
      </w:pPr>
      <w:r>
        <w:rPr>
          <w:rFonts w:ascii="仿宋_GB2312" w:hAnsi="仿宋_GB2312" w:cs="仿宋_GB2312" w:eastAsia="仿宋_GB2312"/>
        </w:rPr>
        <w:t>地址：西安市经开区凤城八路正尚国际金融广场A座7层703（张家堡十字东南角）</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宣传推广老年文化图书，详见服务要求。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宣传推广老年文化图书</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标的名称：宣传推广老年文化图书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（一）项目概况</w:t>
            </w:r>
          </w:p>
          <w:p>
            <w:pPr>
              <w:pStyle w:val="null3"/>
            </w:pPr>
            <w:r>
              <w:rPr>
                <w:rFonts w:ascii="仿宋_GB2312" w:hAnsi="仿宋_GB2312" w:cs="仿宋_GB2312" w:eastAsia="仿宋_GB2312"/>
              </w:rPr>
              <w:t>具有养老领域宣传经验，且粉丝基数匹配的新媒体团队，利用公众号等主流平台宣传推广出版发行的不少于10类老年文化图书，覆盖老年群体及相关行业受众。</w:t>
            </w:r>
          </w:p>
          <w:p>
            <w:pPr>
              <w:pStyle w:val="null3"/>
            </w:pPr>
            <w:r>
              <w:rPr>
                <w:rFonts w:ascii="仿宋_GB2312" w:hAnsi="仿宋_GB2312" w:cs="仿宋_GB2312" w:eastAsia="仿宋_GB2312"/>
              </w:rPr>
              <w:t>（二）新媒体宣传推广要求</w:t>
            </w:r>
          </w:p>
          <w:p>
            <w:pPr>
              <w:pStyle w:val="null3"/>
            </w:pPr>
            <w:r>
              <w:rPr>
                <w:rFonts w:ascii="仿宋_GB2312" w:hAnsi="仿宋_GB2312" w:cs="仿宋_GB2312" w:eastAsia="仿宋_GB2312"/>
              </w:rPr>
              <w:t>1.本项目拍摄素材和完成片版权归陕西省民政厅所有。如陕西省民政厅因案涉视频遭受第三人主张知识产权侵权的，陕西省民政厅有权要求相关主体承担因此产生的全部经济损失及维权费用（维权费用包括但不限于诉讼费、律师费、公证费、鉴定费、差旅费等全部费用）。</w:t>
            </w:r>
          </w:p>
          <w:p>
            <w:pPr>
              <w:pStyle w:val="null3"/>
            </w:pPr>
            <w:r>
              <w:rPr>
                <w:rFonts w:ascii="仿宋_GB2312" w:hAnsi="仿宋_GB2312" w:cs="仿宋_GB2312" w:eastAsia="仿宋_GB2312"/>
              </w:rPr>
              <w:t>2.需结合图书内容，制定宣传方案，内容形式包括但不限于图文推文、短视频等，并在主流媒体及网络播出。</w:t>
            </w:r>
          </w:p>
          <w:p>
            <w:pPr>
              <w:pStyle w:val="null3"/>
            </w:pPr>
            <w:r>
              <w:rPr>
                <w:rFonts w:ascii="仿宋_GB2312" w:hAnsi="仿宋_GB2312" w:cs="仿宋_GB2312" w:eastAsia="仿宋_GB2312"/>
              </w:rPr>
              <w:t>3.短视频应覆盖所有书目章节，每集2分钟左右，视频格式为MP4，分辨率规格1080P（1920×1080），宣传视频配音应浑朴富于磁性；文案精巧，使用设备为影视级摄像机，后期制作提供精剪编辑，特效制作，广播级配音，音乐音效，符合老年群体认知习惯（如语言通俗、字幕清晰、语速适中、避免复杂特效）。视频内容不接受AI制作，要体现实体拍摄场景。</w:t>
            </w:r>
          </w:p>
          <w:p>
            <w:pPr>
              <w:pStyle w:val="null3"/>
            </w:pPr>
            <w:r>
              <w:rPr>
                <w:rFonts w:ascii="仿宋_GB2312" w:hAnsi="仿宋_GB2312" w:cs="仿宋_GB2312" w:eastAsia="仿宋_GB2312"/>
              </w:rPr>
              <w:t>4.须具备3年及以上养老领域、老年文化或相关行业宣传推广经验，需具备成果案例（如宣传报告、数据截图等）。</w:t>
            </w:r>
          </w:p>
          <w:p>
            <w:pPr>
              <w:pStyle w:val="null3"/>
            </w:pPr>
            <w:r>
              <w:rPr>
                <w:rFonts w:ascii="仿宋_GB2312" w:hAnsi="仿宋_GB2312" w:cs="仿宋_GB2312" w:eastAsia="仿宋_GB2312"/>
              </w:rPr>
              <w:t>5.宣传内容需遵守《中华人民共和国广告法》《网络信息内容生态治理规定》等法律法规，以及各平台运营规则，严禁发布低俗、虚假或侵权内容。</w:t>
            </w:r>
          </w:p>
          <w:p>
            <w:pPr>
              <w:pStyle w:val="null3"/>
            </w:pPr>
            <w:r>
              <w:rPr>
                <w:rFonts w:ascii="仿宋_GB2312" w:hAnsi="仿宋_GB2312" w:cs="仿宋_GB2312" w:eastAsia="仿宋_GB2312"/>
              </w:rPr>
              <w:t>6.制作团队具有专业策划，文案，编辑，设计，摄影，后期制作工作人员，需具相关工作经验。并有广播级专业摄影机，航拍飞行器，灯光器材，摄影辅助器材等。</w:t>
            </w:r>
          </w:p>
          <w:p>
            <w:pPr>
              <w:pStyle w:val="null3"/>
            </w:pPr>
            <w:r>
              <w:rPr>
                <w:rFonts w:ascii="仿宋_GB2312" w:hAnsi="仿宋_GB2312" w:cs="仿宋_GB2312" w:eastAsia="仿宋_GB2312"/>
              </w:rPr>
              <w:t>7.保密条款：未经采购人同意，供应商所有人员不得以任何方式泄露拍摄视频有关的信息（图片、文字、视频等）。成片视频中禁止加注任何商业宣传性标识。</w:t>
            </w:r>
          </w:p>
          <w:p>
            <w:pPr>
              <w:pStyle w:val="null3"/>
            </w:pPr>
            <w:r>
              <w:rPr>
                <w:rFonts w:ascii="仿宋_GB2312" w:hAnsi="仿宋_GB2312" w:cs="仿宋_GB2312" w:eastAsia="仿宋_GB2312"/>
              </w:rPr>
              <w:t>8.拍摄完成后，邀请行业专家组成专业团队，对成片进行把关审核。由此产生的专家费等相关费用全部由中标单位承担。</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根据项目情况配置</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根据项目情况配置</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2026年12月15日前（具体顺序时间按甲方要求）</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陕西省民政厅指定地点（陕西省区域内）。</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采购人应按照政府采购合同约定的技术、服务标准组织对投标人每一项技术、服务标准的履约情况进行验收，并出具验收书。</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项目验收完成后，一次性支付全部费用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2.未按合同要求提供服务或服务质量不能满足服务要求和标准，采购人有权终止合同，并对供方违约行为进行追究，同时按《中华人民共和国政府采购法》的有关规定进行处罚。</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中标人在领取中标通知书时需提供纸质投标文件（与电子化交易平台文件一致）正本壹份、副本贰份，以便归档使用。2.投标保证金：投标保证金仅限于通过基本账户以转账形式交纳，招标结束后以转账形式退至供应商基本账户内。投标保证金的提交金额、时间不满足招标文件要求的，响应无效；投标保证金交纳凭证以银行凭证及基本账户证明资料为准。以保函形式交纳投标保证金的，供应商应在投标截止时间前将保函扫描成清晰的PDF文件，发送至邮箱490923473@qq.com（邮件命名：项目编号），供应商应在投标文件中附保函复印件。未中标的投标人保证金将在中标公告发布后五个工作日内退还，中标人的保证金将在合同签订后五个工作日内退还。3.财务部联系方式：029-86673953、029-86518381、029-89299829、029-89293231转813备注：供应商在汇款时须注明项目编号+项目简称。</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供应商需在项目电子化交易系统中按要求上传相应证明文件并进行电子签章。本项审查内容与特殊资格要求的“财务状况”审查为同一项内容。</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供应商需在项目电子化交易系统中按要求填写《投标函》完成承诺并进行电子签章。本项审查内容与特殊资格要求的“控股关系查询”审查为同一项内容。</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具有独立承担民事责任能力的法人、其他组织或自然人，并出具供应商合法注册有效的营业执照或其他组织法人证书等国家规定的相关证明，自然人参与的提供其身份证明；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财务状况：提供具有财务审计资质单位出具合法有效的2025年度财务报告（包括“四表一注”，即资产负债表、利润表、现金流量表、所有者权益变动表及其附注，成立时间至提交投标文件截止时间不足一年的可提供成立后任意时段的资产负债表）或开标前六个月内其基本账户银行出具的资信证明或政府采购信用担保机构出具的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2025年6月至今连续三个月的税收缴纳凭据（时间以税款所属日期为准、税种须包含增值税或企业所得税），凭据应有税务机关或代收机关的公章或业务专用章。依法免税或无须缴纳税款的投标人，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社会保障资金缴纳证明：提供2026年1月至今三个月的社保缴纳凭据或社保机构开具的社会保险参保缴纳情况证明。依法不需要缴纳社会保障资金的单位应提供相关证明材料；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被授权人身份证复印件及被授权人近三个月（2026年4月至今）在投标单位缴纳社保的证明）；法定代表人直接参加投标提供法定代表人资格证明书（附法定代表人身份证复印件）；采购文件凡是法定代表人之处，非法人单位的负责人均参照执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投标担保</w:t>
            </w:r>
          </w:p>
        </w:tc>
        <w:tc>
          <w:tcPr>
            <w:tcW w:type="dxa" w:w="3322"/>
          </w:tcPr>
          <w:p>
            <w:pPr>
              <w:pStyle w:val="null3"/>
            </w:pPr>
            <w:r>
              <w:rPr>
                <w:rFonts w:ascii="仿宋_GB2312" w:hAnsi="仿宋_GB2312" w:cs="仿宋_GB2312" w:eastAsia="仿宋_GB2312"/>
              </w:rPr>
              <w:t>投标保证金交纳凭证或担保函（投标保证金交纳凭证为银行凭证及基本账户证明资料，担保函为财政部门认可的政府采购信用担保机构出具）；</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信用信息査询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在投标截止日当天由代理机构在“信用中国”网站和中国政府采购网站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控股关系查询</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根据财库【2019】38号文规定，此项在投标截止日当天由代理机构在“国家企业信用信息公示系统”进行査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分项价格表.docx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除明确允许投标人可以自行编写的外，投标文件未按照招标文件给定的格式和要求编制</w:t>
            </w:r>
          </w:p>
        </w:tc>
        <w:tc>
          <w:tcPr>
            <w:tcW w:type="dxa" w:w="3322"/>
          </w:tcPr>
          <w:p>
            <w:pPr>
              <w:pStyle w:val="null3"/>
            </w:pPr>
            <w:r>
              <w:rPr>
                <w:rFonts w:ascii="仿宋_GB2312" w:hAnsi="仿宋_GB2312" w:cs="仿宋_GB2312" w:eastAsia="仿宋_GB2312"/>
              </w:rPr>
              <w:t>除明确允许投标人可以自行编写的外，投标文件未按照招标文件给定的格式和要求编制。</w:t>
            </w:r>
          </w:p>
        </w:tc>
        <w:tc>
          <w:tcPr>
            <w:tcW w:type="dxa" w:w="1661"/>
          </w:tcPr>
          <w:p>
            <w:pPr>
              <w:pStyle w:val="null3"/>
            </w:pPr>
            <w:r>
              <w:rPr>
                <w:rFonts w:ascii="仿宋_GB2312" w:hAnsi="仿宋_GB2312" w:cs="仿宋_GB2312" w:eastAsia="仿宋_GB2312"/>
              </w:rPr>
              <w:t>售后服务方案.docx 开标一览表 重点难点分析及解决措施.docx 未达到预期效果的解决措施.docx 资格证明文件.docx 服务响应.docx 人员配备情况.docx 《拒绝政府采购领域商业贿赂承诺书》.docx 投标函 应急处理预案.docx 服务承诺和保证措施.docx 投标人认为有必要补充说明的事宜.docx 总体服务方案.docx 标的清单 投标文件封面 监狱企业的证明文件 内部管理方案及制度.docx 业绩.docx 中小企业声明函 商务条款响应偏离表.docx 服务内容及服务要求响应偏离表.docx 合理化建议.docx 分项价格表.docx 实施进度计划.docx 残疾人福利性单位声明函 设备设施及辅助器材.docx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投标文件未按照招标文件的要求盖章签字</w:t>
            </w:r>
          </w:p>
        </w:tc>
        <w:tc>
          <w:tcPr>
            <w:tcW w:type="dxa" w:w="3322"/>
          </w:tcPr>
          <w:p>
            <w:pPr>
              <w:pStyle w:val="null3"/>
            </w:pPr>
            <w:r>
              <w:rPr>
                <w:rFonts w:ascii="仿宋_GB2312" w:hAnsi="仿宋_GB2312" w:cs="仿宋_GB2312" w:eastAsia="仿宋_GB2312"/>
              </w:rPr>
              <w:t>投标文件未按照招标文件的要求盖章签字。</w:t>
            </w:r>
          </w:p>
        </w:tc>
        <w:tc>
          <w:tcPr>
            <w:tcW w:type="dxa" w:w="1661"/>
          </w:tcPr>
          <w:p>
            <w:pPr>
              <w:pStyle w:val="null3"/>
            </w:pPr>
            <w:r>
              <w:rPr>
                <w:rFonts w:ascii="仿宋_GB2312" w:hAnsi="仿宋_GB2312" w:cs="仿宋_GB2312" w:eastAsia="仿宋_GB2312"/>
              </w:rPr>
              <w:t>售后服务方案.docx 开标一览表 重点难点分析及解决措施.docx 未达到预期效果的解决措施.docx 资格证明文件.docx 服务响应.docx 人员配备情况.docx 《拒绝政府采购领域商业贿赂承诺书》.docx 投标函 应急处理预案.docx 服务承诺和保证措施.docx 投标人认为有必要补充说明的事宜.docx 总体服务方案.docx 标的清单 投标文件封面 监狱企业的证明文件 内部管理方案及制度.docx 业绩.docx 中小企业声明函 商务条款响应偏离表.docx 服务内容及服务要求响应偏离表.docx 合理化建议.docx 分项价格表.docx 实施进度计划.docx 残疾人福利性单位声明函 设备设施及辅助器材.docx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投标报价超过采购预算</w:t>
            </w:r>
          </w:p>
        </w:tc>
        <w:tc>
          <w:tcPr>
            <w:tcW w:type="dxa" w:w="3322"/>
          </w:tcPr>
          <w:p>
            <w:pPr>
              <w:pStyle w:val="null3"/>
            </w:pPr>
            <w:r>
              <w:rPr>
                <w:rFonts w:ascii="仿宋_GB2312" w:hAnsi="仿宋_GB2312" w:cs="仿宋_GB2312" w:eastAsia="仿宋_GB2312"/>
              </w:rPr>
              <w:t>投标报价超过采购预算。</w:t>
            </w:r>
          </w:p>
        </w:tc>
        <w:tc>
          <w:tcPr>
            <w:tcW w:type="dxa" w:w="1661"/>
          </w:tcPr>
          <w:p>
            <w:pPr>
              <w:pStyle w:val="null3"/>
            </w:pPr>
            <w:r>
              <w:rPr>
                <w:rFonts w:ascii="仿宋_GB2312" w:hAnsi="仿宋_GB2312" w:cs="仿宋_GB2312" w:eastAsia="仿宋_GB2312"/>
              </w:rPr>
              <w:t>开标一览表 标的清单 分项价格表.docx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投标有效期不符合招标文件的要求</w:t>
            </w:r>
          </w:p>
        </w:tc>
        <w:tc>
          <w:tcPr>
            <w:tcW w:type="dxa" w:w="3322"/>
          </w:tcPr>
          <w:p>
            <w:pPr>
              <w:pStyle w:val="null3"/>
            </w:pPr>
            <w:r>
              <w:rPr>
                <w:rFonts w:ascii="仿宋_GB2312" w:hAnsi="仿宋_GB2312" w:cs="仿宋_GB2312" w:eastAsia="仿宋_GB2312"/>
              </w:rPr>
              <w:t>投标有效期不符合招标文件的要求。</w:t>
            </w:r>
          </w:p>
        </w:tc>
        <w:tc>
          <w:tcPr>
            <w:tcW w:type="dxa" w:w="1661"/>
          </w:tcPr>
          <w:p>
            <w:pPr>
              <w:pStyle w:val="null3"/>
            </w:pPr>
            <w:r>
              <w:rPr>
                <w:rFonts w:ascii="仿宋_GB2312" w:hAnsi="仿宋_GB2312" w:cs="仿宋_GB2312" w:eastAsia="仿宋_GB2312"/>
              </w:rPr>
              <w:t>售后服务方案.docx 开标一览表 重点难点分析及解决措施.docx 未达到预期效果的解决措施.docx 资格证明文件.docx 服务响应.docx 人员配备情况.docx 《拒绝政府采购领域商业贿赂承诺书》.docx 投标函 应急处理预案.docx 服务承诺和保证措施.docx 投标人认为有必要补充说明的事宜.docx 总体服务方案.docx 标的清单 投标文件封面 监狱企业的证明文件 内部管理方案及制度.docx 业绩.docx 中小企业声明函 商务条款响应偏离表.docx 服务内容及服务要求响应偏离表.docx 合理化建议.docx 分项价格表.docx 实施进度计划.docx 残疾人福利性单位声明函 设备设施及辅助器材.docx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未对招标文件商务要求作出明确且实质性响应</w:t>
            </w:r>
          </w:p>
        </w:tc>
        <w:tc>
          <w:tcPr>
            <w:tcW w:type="dxa" w:w="3322"/>
          </w:tcPr>
          <w:p>
            <w:pPr>
              <w:pStyle w:val="null3"/>
            </w:pPr>
            <w:r>
              <w:rPr>
                <w:rFonts w:ascii="仿宋_GB2312" w:hAnsi="仿宋_GB2312" w:cs="仿宋_GB2312" w:eastAsia="仿宋_GB2312"/>
              </w:rPr>
              <w:t>未对招标文件商务要求作出明确且实质性响应。</w:t>
            </w:r>
          </w:p>
        </w:tc>
        <w:tc>
          <w:tcPr>
            <w:tcW w:type="dxa" w:w="1661"/>
          </w:tcPr>
          <w:p>
            <w:pPr>
              <w:pStyle w:val="null3"/>
            </w:pPr>
            <w:r>
              <w:rPr>
                <w:rFonts w:ascii="仿宋_GB2312" w:hAnsi="仿宋_GB2312" w:cs="仿宋_GB2312" w:eastAsia="仿宋_GB2312"/>
              </w:rPr>
              <w:t>商务条款响应偏离表.docx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未对招标文件服务内容及服务要求作出明确响应，对不得偏离的要求未作出实质性响应</w:t>
            </w:r>
          </w:p>
        </w:tc>
        <w:tc>
          <w:tcPr>
            <w:tcW w:type="dxa" w:w="3322"/>
          </w:tcPr>
          <w:p>
            <w:pPr>
              <w:pStyle w:val="null3"/>
            </w:pPr>
            <w:r>
              <w:rPr>
                <w:rFonts w:ascii="仿宋_GB2312" w:hAnsi="仿宋_GB2312" w:cs="仿宋_GB2312" w:eastAsia="仿宋_GB2312"/>
              </w:rPr>
              <w:t>未对招标文件服务内容及服务要求作出明确响应，对不得偏离的要求未作出实质性响应。</w:t>
            </w:r>
          </w:p>
        </w:tc>
        <w:tc>
          <w:tcPr>
            <w:tcW w:type="dxa" w:w="1661"/>
          </w:tcPr>
          <w:p>
            <w:pPr>
              <w:pStyle w:val="null3"/>
            </w:pPr>
            <w:r>
              <w:rPr>
                <w:rFonts w:ascii="仿宋_GB2312" w:hAnsi="仿宋_GB2312" w:cs="仿宋_GB2312" w:eastAsia="仿宋_GB2312"/>
              </w:rPr>
              <w:t>服务内容及服务要求响应偏离表.docx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投标文件含有采购人不能接受的附加条件</w:t>
            </w:r>
          </w:p>
        </w:tc>
        <w:tc>
          <w:tcPr>
            <w:tcW w:type="dxa" w:w="3322"/>
          </w:tcPr>
          <w:p>
            <w:pPr>
              <w:pStyle w:val="null3"/>
            </w:pPr>
            <w:r>
              <w:rPr>
                <w:rFonts w:ascii="仿宋_GB2312" w:hAnsi="仿宋_GB2312" w:cs="仿宋_GB2312" w:eastAsia="仿宋_GB2312"/>
              </w:rPr>
              <w:t>投标文件含有采购人不能接受的附加条件。</w:t>
            </w:r>
          </w:p>
        </w:tc>
        <w:tc>
          <w:tcPr>
            <w:tcW w:type="dxa" w:w="1661"/>
          </w:tcPr>
          <w:p>
            <w:pPr>
              <w:pStyle w:val="null3"/>
            </w:pPr>
            <w:r>
              <w:rPr>
                <w:rFonts w:ascii="仿宋_GB2312" w:hAnsi="仿宋_GB2312" w:cs="仿宋_GB2312" w:eastAsia="仿宋_GB2312"/>
              </w:rPr>
              <w:t>开标一览表 售后服务方案.docx 重点难点分析及解决措施.docx 未达到预期效果的解决措施.docx 资格证明文件.docx 服务响应.docx 人员配备情况.docx 《拒绝政府采购领域商业贿赂承诺书》.docx 投标函 应急处理预案.docx 服务承诺和保证措施.docx 投标人认为有必要补充说明的事宜.docx 总体服务方案.docx 标的清单 投标文件封面 监狱企业的证明文件 内部管理方案及制度.docx 业绩.docx 中小企业声明函 商务条款响应偏离表.docx 服务内容及服务要求响应偏离表.docx 合理化建议.docx 分项价格表.docx 实施进度计划.docx 残疾人福利性单位声明函 设备设施及辅助器材.docx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法律、法规和招标文件规定的其他无效投标情形</w:t>
            </w:r>
          </w:p>
        </w:tc>
        <w:tc>
          <w:tcPr>
            <w:tcW w:type="dxa" w:w="3322"/>
          </w:tcPr>
          <w:p>
            <w:pPr>
              <w:pStyle w:val="null3"/>
            </w:pPr>
            <w:r>
              <w:rPr>
                <w:rFonts w:ascii="仿宋_GB2312" w:hAnsi="仿宋_GB2312" w:cs="仿宋_GB2312" w:eastAsia="仿宋_GB2312"/>
              </w:rPr>
              <w:t>法律、法规和招标文件规定的其他无效投标情形。</w:t>
            </w:r>
          </w:p>
        </w:tc>
        <w:tc>
          <w:tcPr>
            <w:tcW w:type="dxa" w:w="1661"/>
          </w:tcPr>
          <w:p>
            <w:pPr>
              <w:pStyle w:val="null3"/>
            </w:pPr>
            <w:r>
              <w:rPr>
                <w:rFonts w:ascii="仿宋_GB2312" w:hAnsi="仿宋_GB2312" w:cs="仿宋_GB2312" w:eastAsia="仿宋_GB2312"/>
              </w:rPr>
              <w:t>售后服务方案.docx 开标一览表 重点难点分析及解决措施.docx 未达到预期效果的解决措施.docx 资格证明文件.docx 服务响应.docx 人员配备情况.docx 《拒绝政府采购领域商业贿赂承诺书》.docx 投标函 应急处理预案.docx 服务承诺和保证措施.docx 投标人认为有必要补充说明的事宜.docx 总体服务方案.docx 标的清单 投标文件封面 监狱企业的证明文件 内部管理方案及制度.docx 业绩.docx 中小企业声明函 商务条款响应偏离表.docx 服务内容及服务要求响应偏离表.docx 合理化建议.docx 分项价格表.docx 实施进度计划.docx 残疾人福利性单位声明函 设备设施及辅助器材.docx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针对本项目制订切实可行的整体服务方案，包括但不限于摄制思路规划、整体理念策略方向、辅助素材收集、视频效果展视、平台播放量安排，播放时段计划等。 ①方案内容清晰准确、完整详细具体、充分满足用户实际需求，且体现项目特征特点的的计8分； ②方案内容完整，内容全面，但部分内容不具体不明确，无特征亮点的计6分； ③内容有1项缺项或内容总体不详细的计4分； ④内容有2项缺项或方案内容混乱无重点的计3分； ⑤内容有3项（含）以上缺项的计2分； ⑥只有粗略描述、无实质性内容的计1分； ⑦未提供不计分。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总体服务方案.docx</w:t>
            </w:r>
          </w:p>
        </w:tc>
      </w:tr>
      <w:tr>
        <w:tc>
          <w:tcPr>
            <w:tcW w:type="dxa" w:w="831"/>
            <w:vMerge/>
          </w:tcPr>
          <w:p/>
        </w:tc>
        <w:tc>
          <w:tcPr>
            <w:tcW w:type="dxa" w:w="1661"/>
          </w:tcPr>
          <w:p>
            <w:pPr>
              <w:pStyle w:val="null3"/>
            </w:pPr>
            <w:r>
              <w:rPr>
                <w:rFonts w:ascii="仿宋_GB2312" w:hAnsi="仿宋_GB2312" w:cs="仿宋_GB2312" w:eastAsia="仿宋_GB2312"/>
              </w:rPr>
              <w:t>实施进度计划</w:t>
            </w:r>
          </w:p>
        </w:tc>
        <w:tc>
          <w:tcPr>
            <w:tcW w:type="dxa" w:w="2492"/>
          </w:tcPr>
          <w:p>
            <w:pPr>
              <w:pStyle w:val="null3"/>
            </w:pPr>
            <w:r>
              <w:rPr>
                <w:rFonts w:ascii="仿宋_GB2312" w:hAnsi="仿宋_GB2312" w:cs="仿宋_GB2312" w:eastAsia="仿宋_GB2312"/>
              </w:rPr>
              <w:t>针对本项目制定实施进度计划、阐述服务时效、视频拍摄整体制作流程、拍摄进度把控、保障进度措施。 ①内容详细具体，措施内容紧扣项目实际，有详尽的流程和实施办法的计5分； ②部分内容不详细或缺少具体实施方法的计3分； ③内容有1项缺项或内容总体不详细的计2分； ④内容有2项（含）以上缺项，或计划整体混乱，缺少关键点、或存在非专门针对本项目或不适用本项目特性、套用其他项目内容情况的计1分； ⑤未提供相关内容的不计分。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实施进度计划.docx</w:t>
            </w:r>
          </w:p>
        </w:tc>
      </w:tr>
      <w:tr>
        <w:tc>
          <w:tcPr>
            <w:tcW w:type="dxa" w:w="831"/>
            <w:vMerge/>
          </w:tcPr>
          <w:p/>
        </w:tc>
        <w:tc>
          <w:tcPr>
            <w:tcW w:type="dxa" w:w="1661"/>
          </w:tcPr>
          <w:p>
            <w:pPr>
              <w:pStyle w:val="null3"/>
            </w:pPr>
            <w:r>
              <w:rPr>
                <w:rFonts w:ascii="仿宋_GB2312" w:hAnsi="仿宋_GB2312" w:cs="仿宋_GB2312" w:eastAsia="仿宋_GB2312"/>
              </w:rPr>
              <w:t>内部管理方案及制度</w:t>
            </w:r>
          </w:p>
        </w:tc>
        <w:tc>
          <w:tcPr>
            <w:tcW w:type="dxa" w:w="2492"/>
          </w:tcPr>
          <w:p>
            <w:pPr>
              <w:pStyle w:val="null3"/>
            </w:pPr>
            <w:r>
              <w:rPr>
                <w:rFonts w:ascii="仿宋_GB2312" w:hAnsi="仿宋_GB2312" w:cs="仿宋_GB2312" w:eastAsia="仿宋_GB2312"/>
              </w:rPr>
              <w:t>针对本项目提供内部管理方案及制度，内容包括但不限于内部管理架构、信息反馈渠道、各岗位管理制度、岗位职责、内部质量控制方案；自查制度等。 ①内容完整、详细、合理，管理方案全面，管理架构健全、各项管理制度全面具体、详细完整的计5分； ②方案全面，管理架构健全、有管理制度但内容不具体，重点不突出的计3分； ③管理架构不健全，管制制度缺失，管理方案混乱的计2分； ④管理架构不健全，无管理制度及管理方案的计1分； ⑤未提供不计分。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内部管理方案及制度.docx</w:t>
            </w:r>
          </w:p>
        </w:tc>
      </w:tr>
      <w:tr>
        <w:tc>
          <w:tcPr>
            <w:tcW w:type="dxa" w:w="831"/>
            <w:vMerge/>
          </w:tcPr>
          <w:p/>
        </w:tc>
        <w:tc>
          <w:tcPr>
            <w:tcW w:type="dxa" w:w="1661"/>
          </w:tcPr>
          <w:p>
            <w:pPr>
              <w:pStyle w:val="null3"/>
            </w:pPr>
            <w:r>
              <w:rPr>
                <w:rFonts w:ascii="仿宋_GB2312" w:hAnsi="仿宋_GB2312" w:cs="仿宋_GB2312" w:eastAsia="仿宋_GB2312"/>
              </w:rPr>
              <w:t>重点难点分析及解决措施</w:t>
            </w:r>
          </w:p>
        </w:tc>
        <w:tc>
          <w:tcPr>
            <w:tcW w:type="dxa" w:w="2492"/>
          </w:tcPr>
          <w:p>
            <w:pPr>
              <w:pStyle w:val="null3"/>
            </w:pPr>
            <w:r>
              <w:rPr>
                <w:rFonts w:ascii="仿宋_GB2312" w:hAnsi="仿宋_GB2312" w:cs="仿宋_GB2312" w:eastAsia="仿宋_GB2312"/>
              </w:rPr>
              <w:t>根据本项目的实际情况，投标人提出有针对重点、难点的分析及解决方案。 ①方案对项目重点、难点的关键点分析准确，解决方案得当的计4分； ②方案只有框架，内容粗略的计2分； ③方案存在重大缺陷的计1分； ④未提供相关内容的不计分。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重点难点分析及解决措施.docx</w:t>
            </w:r>
          </w:p>
        </w:tc>
      </w:tr>
      <w:tr>
        <w:tc>
          <w:tcPr>
            <w:tcW w:type="dxa" w:w="831"/>
            <w:vMerge/>
          </w:tcPr>
          <w:p/>
        </w:tc>
        <w:tc>
          <w:tcPr>
            <w:tcW w:type="dxa" w:w="1661"/>
          </w:tcPr>
          <w:p>
            <w:pPr>
              <w:pStyle w:val="null3"/>
            </w:pPr>
            <w:r>
              <w:rPr>
                <w:rFonts w:ascii="仿宋_GB2312" w:hAnsi="仿宋_GB2312" w:cs="仿宋_GB2312" w:eastAsia="仿宋_GB2312"/>
              </w:rPr>
              <w:t>服务响应</w:t>
            </w:r>
          </w:p>
        </w:tc>
        <w:tc>
          <w:tcPr>
            <w:tcW w:type="dxa" w:w="2492"/>
          </w:tcPr>
          <w:p>
            <w:pPr>
              <w:pStyle w:val="null3"/>
            </w:pPr>
            <w:r>
              <w:rPr>
                <w:rFonts w:ascii="仿宋_GB2312" w:hAnsi="仿宋_GB2312" w:cs="仿宋_GB2312" w:eastAsia="仿宋_GB2312"/>
              </w:rPr>
              <w:t>完全符合、满足招标文件服务内容及服务要求的，计6分，有负偏离的此项不计分。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服务响应.docx</w:t>
            </w:r>
          </w:p>
        </w:tc>
      </w:tr>
      <w:tr>
        <w:tc>
          <w:tcPr>
            <w:tcW w:type="dxa" w:w="831"/>
            <w:vMerge/>
          </w:tcPr>
          <w:p/>
        </w:tc>
        <w:tc>
          <w:tcPr>
            <w:tcW w:type="dxa" w:w="1661"/>
          </w:tcPr>
          <w:p>
            <w:pPr>
              <w:pStyle w:val="null3"/>
            </w:pPr>
            <w:r>
              <w:rPr>
                <w:rFonts w:ascii="仿宋_GB2312" w:hAnsi="仿宋_GB2312" w:cs="仿宋_GB2312" w:eastAsia="仿宋_GB2312"/>
              </w:rPr>
              <w:t>人员配备情况</w:t>
            </w:r>
          </w:p>
        </w:tc>
        <w:tc>
          <w:tcPr>
            <w:tcW w:type="dxa" w:w="2492"/>
          </w:tcPr>
          <w:p>
            <w:pPr>
              <w:pStyle w:val="null3"/>
            </w:pPr>
            <w:r>
              <w:rPr>
                <w:rFonts w:ascii="仿宋_GB2312" w:hAnsi="仿宋_GB2312" w:cs="仿宋_GB2312" w:eastAsia="仿宋_GB2312"/>
              </w:rPr>
              <w:t>供应商针对本项目有具体的人员安排，有详细的人员配置清单，人员配置清单包括但不限于人员姓名、岗位职责、专业技术能力、从业工作年限、专业、学历、服务履历等，并提供身份证、学历证、职称证、服务业绩、2026年1月至今连续3个月社保的计6分，不提供或缺漏项或资料不完整的不得分。 项目负责人从业年限大于等于5年且学历为本科或以上的，另加3分； 配备专职摄像师、图书文案策划、后期剪辑师岗位的，另加3分。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人员配备情况.docx</w:t>
            </w:r>
          </w:p>
        </w:tc>
      </w:tr>
      <w:tr>
        <w:tc>
          <w:tcPr>
            <w:tcW w:type="dxa" w:w="831"/>
            <w:vMerge/>
          </w:tcPr>
          <w:p/>
        </w:tc>
        <w:tc>
          <w:tcPr>
            <w:tcW w:type="dxa" w:w="1661"/>
          </w:tcPr>
          <w:p>
            <w:pPr>
              <w:pStyle w:val="null3"/>
            </w:pPr>
            <w:r>
              <w:rPr>
                <w:rFonts w:ascii="仿宋_GB2312" w:hAnsi="仿宋_GB2312" w:cs="仿宋_GB2312" w:eastAsia="仿宋_GB2312"/>
              </w:rPr>
              <w:t>设备设施及辅助器材</w:t>
            </w:r>
          </w:p>
        </w:tc>
        <w:tc>
          <w:tcPr>
            <w:tcW w:type="dxa" w:w="2492"/>
          </w:tcPr>
          <w:p>
            <w:pPr>
              <w:pStyle w:val="null3"/>
            </w:pPr>
            <w:r>
              <w:rPr>
                <w:rFonts w:ascii="仿宋_GB2312" w:hAnsi="仿宋_GB2312" w:cs="仿宋_GB2312" w:eastAsia="仿宋_GB2312"/>
              </w:rPr>
              <w:t>基础设备：提供针对本项目现场跟拍、视频剪辑、后期制作、包装宣传中拟采用的基础设备，配备4K及以上规格专业摄像机、专业应试灯光套装、无线收音录音设备、手持云台稳定器等类型设备的计3分，未提供的不计分。 后期软硬件：提供具有正版剪辑设计软件授权、双硬盘素材备份存储设备的证明资料的计3分，不提供或资料不全的不计分。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设备设施及辅助器材.docx</w:t>
            </w:r>
          </w:p>
        </w:tc>
      </w:tr>
      <w:tr>
        <w:tc>
          <w:tcPr>
            <w:tcW w:type="dxa" w:w="831"/>
            <w:vMerge/>
          </w:tcPr>
          <w:p/>
        </w:tc>
        <w:tc>
          <w:tcPr>
            <w:tcW w:type="dxa" w:w="1661"/>
          </w:tcPr>
          <w:p>
            <w:pPr>
              <w:pStyle w:val="null3"/>
            </w:pPr>
            <w:r>
              <w:rPr>
                <w:rFonts w:ascii="仿宋_GB2312" w:hAnsi="仿宋_GB2312" w:cs="仿宋_GB2312" w:eastAsia="仿宋_GB2312"/>
              </w:rPr>
              <w:t>应急处理预案</w:t>
            </w:r>
          </w:p>
        </w:tc>
        <w:tc>
          <w:tcPr>
            <w:tcW w:type="dxa" w:w="2492"/>
          </w:tcPr>
          <w:p>
            <w:pPr>
              <w:pStyle w:val="null3"/>
            </w:pPr>
            <w:r>
              <w:rPr>
                <w:rFonts w:ascii="仿宋_GB2312" w:hAnsi="仿宋_GB2312" w:cs="仿宋_GB2312" w:eastAsia="仿宋_GB2312"/>
              </w:rPr>
              <w:t>提供应急保障措施，对于各类突发事件具有应急响应方案及应对措施。 ①应急响应方案全面、合理，供应商所预估的紧急情况贴合本项目服务内容，措施合理可行计3分； ②应急响应方案无针对性，措施缺少具体实施方式方法的计2分； ③应急响应方案描述粗略，只有简短说明的计1分； ⑤未提供不计分。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应急处理预案.docx</w:t>
            </w:r>
          </w:p>
        </w:tc>
      </w:tr>
      <w:tr>
        <w:tc>
          <w:tcPr>
            <w:tcW w:type="dxa" w:w="831"/>
            <w:vMerge/>
          </w:tcPr>
          <w:p/>
        </w:tc>
        <w:tc>
          <w:tcPr>
            <w:tcW w:type="dxa" w:w="1661"/>
          </w:tcPr>
          <w:p>
            <w:pPr>
              <w:pStyle w:val="null3"/>
            </w:pPr>
            <w:r>
              <w:rPr>
                <w:rFonts w:ascii="仿宋_GB2312" w:hAnsi="仿宋_GB2312" w:cs="仿宋_GB2312" w:eastAsia="仿宋_GB2312"/>
              </w:rPr>
              <w:t>未达到预期效果的解决措施</w:t>
            </w:r>
          </w:p>
        </w:tc>
        <w:tc>
          <w:tcPr>
            <w:tcW w:type="dxa" w:w="2492"/>
          </w:tcPr>
          <w:p>
            <w:pPr>
              <w:pStyle w:val="null3"/>
            </w:pPr>
            <w:r>
              <w:rPr>
                <w:rFonts w:ascii="仿宋_GB2312" w:hAnsi="仿宋_GB2312" w:cs="仿宋_GB2312" w:eastAsia="仿宋_GB2312"/>
              </w:rPr>
              <w:t>针对项目制定预期宣传效果方案、未达到预期效果的解决措施。 ①方案内容详细全面，能充分满足本项目需求，解决措施具体可行的计4分； ②预期方案有欠缺或措施的实施办法不具体的计2分； ③只有简单承诺或措施只有概述无具体实施办法的计1分； ④提供内容有缺项，不能满足项目需求，或未提供此项内容的，不计分。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未达到预期效果的解决措施.docx</w:t>
            </w:r>
          </w:p>
        </w:tc>
      </w:tr>
      <w:tr>
        <w:tc>
          <w:tcPr>
            <w:tcW w:type="dxa" w:w="831"/>
            <w:vMerge/>
          </w:tcPr>
          <w:p/>
        </w:tc>
        <w:tc>
          <w:tcPr>
            <w:tcW w:type="dxa" w:w="1661"/>
          </w:tcPr>
          <w:p>
            <w:pPr>
              <w:pStyle w:val="null3"/>
            </w:pPr>
            <w:r>
              <w:rPr>
                <w:rFonts w:ascii="仿宋_GB2312" w:hAnsi="仿宋_GB2312" w:cs="仿宋_GB2312" w:eastAsia="仿宋_GB2312"/>
              </w:rPr>
              <w:t>服务承诺和保证措施</w:t>
            </w:r>
          </w:p>
        </w:tc>
        <w:tc>
          <w:tcPr>
            <w:tcW w:type="dxa" w:w="2492"/>
          </w:tcPr>
          <w:p>
            <w:pPr>
              <w:pStyle w:val="null3"/>
            </w:pPr>
            <w:r>
              <w:rPr>
                <w:rFonts w:ascii="仿宋_GB2312" w:hAnsi="仿宋_GB2312" w:cs="仿宋_GB2312" w:eastAsia="仿宋_GB2312"/>
              </w:rPr>
              <w:t>供应商须确保项目能按时按质完成宣传短片制作，并在多个媒体进行播放，达到一宣传效果等，并提供相应服务承诺和保证措施，且有具体的服务措施及针对后期跟进服务能力。 ①服务承诺全面具体、措施可操作性强、细节描述详细的计3分； ②服务承诺或保证措施内容有部分描述不到位，但能保证满足项目基本需求的计2分； ③内容有1项缺项或内容总体简单，只有概述，无实质性内容的计1分； ④未提供不计分。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服务承诺和保证措施.docx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供应商根据项目需求，根据自身能力针对本项目特点提供更优、更合理的售后服务方案及服务承诺，对后期服务（包括但不限于后续剪辑、改版、配音、增加曝光度点击率，辅助宣传等）提供服务实施措施。 ①方案内容详细具体，紧扣项目实际，承诺内容具体可行的计5分； ②方案内容完整，但描述不够详细或无针对性的计3分； ③方案内容有1项欠缺的计2分； ④方案内容无重点、只有粗略描述、无实质性内容，计1分； ⑤未提供不计分。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根据对本项目理解程度提出有利于采购人的合理化建议及特色增值服务等； ①内容明确合理、科学可行性且完全有利于采购项目顺利实施的计3分； ②内容有部分阐述不明确、不能完全有利于项目实施的计2分； ③内容中有较多缺失或内容欠缺针对性的计1分； ④未提供不计分。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合理化建议.docx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供应商提供自2023年1月至今类似项目业绩，每提供一份业绩合同（以合同或中标通知书作为证明文件）计2分，满分为16分。注：以合同签订时间为准。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分项价格表.docx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投标报价得分=（评标基准价/投标报价）×价格权值（即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详见附件：分项价格表.docx</w:t>
      </w:r>
    </w:p>
    <w:p>
      <w:pPr>
        <w:pStyle w:val="null3"/>
        <w:ind w:firstLine="960"/>
      </w:pPr>
      <w:r>
        <w:rPr>
          <w:rFonts w:ascii="仿宋_GB2312" w:hAnsi="仿宋_GB2312" w:cs="仿宋_GB2312" w:eastAsia="仿宋_GB2312"/>
        </w:rPr>
        <w:t>详见附件：服务内容及服务要求响应偏离表.docx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详见附件：总体服务方案.docx</w:t>
      </w:r>
    </w:p>
    <w:p>
      <w:pPr>
        <w:pStyle w:val="null3"/>
        <w:ind w:firstLine="960"/>
      </w:pPr>
      <w:r>
        <w:rPr>
          <w:rFonts w:ascii="仿宋_GB2312" w:hAnsi="仿宋_GB2312" w:cs="仿宋_GB2312" w:eastAsia="仿宋_GB2312"/>
        </w:rPr>
        <w:t>详见附件：实施进度计划.docx</w:t>
      </w:r>
    </w:p>
    <w:p>
      <w:pPr>
        <w:pStyle w:val="null3"/>
        <w:ind w:firstLine="960"/>
      </w:pPr>
      <w:r>
        <w:rPr>
          <w:rFonts w:ascii="仿宋_GB2312" w:hAnsi="仿宋_GB2312" w:cs="仿宋_GB2312" w:eastAsia="仿宋_GB2312"/>
        </w:rPr>
        <w:t>详见附件：内部管理方案及制度.docx</w:t>
      </w:r>
    </w:p>
    <w:p>
      <w:pPr>
        <w:pStyle w:val="null3"/>
        <w:ind w:firstLine="960"/>
      </w:pPr>
      <w:r>
        <w:rPr>
          <w:rFonts w:ascii="仿宋_GB2312" w:hAnsi="仿宋_GB2312" w:cs="仿宋_GB2312" w:eastAsia="仿宋_GB2312"/>
        </w:rPr>
        <w:t>详见附件：重点难点分析及解决措施.docx</w:t>
      </w:r>
    </w:p>
    <w:p>
      <w:pPr>
        <w:pStyle w:val="null3"/>
        <w:ind w:firstLine="960"/>
      </w:pPr>
      <w:r>
        <w:rPr>
          <w:rFonts w:ascii="仿宋_GB2312" w:hAnsi="仿宋_GB2312" w:cs="仿宋_GB2312" w:eastAsia="仿宋_GB2312"/>
        </w:rPr>
        <w:t>详见附件：服务响应.docx</w:t>
      </w:r>
    </w:p>
    <w:p>
      <w:pPr>
        <w:pStyle w:val="null3"/>
        <w:ind w:firstLine="960"/>
      </w:pPr>
      <w:r>
        <w:rPr>
          <w:rFonts w:ascii="仿宋_GB2312" w:hAnsi="仿宋_GB2312" w:cs="仿宋_GB2312" w:eastAsia="仿宋_GB2312"/>
        </w:rPr>
        <w:t>详见附件：人员配备情况.docx</w:t>
      </w:r>
    </w:p>
    <w:p>
      <w:pPr>
        <w:pStyle w:val="null3"/>
        <w:ind w:firstLine="960"/>
      </w:pPr>
      <w:r>
        <w:rPr>
          <w:rFonts w:ascii="仿宋_GB2312" w:hAnsi="仿宋_GB2312" w:cs="仿宋_GB2312" w:eastAsia="仿宋_GB2312"/>
        </w:rPr>
        <w:t>详见附件：设备设施及辅助器材.docx</w:t>
      </w:r>
    </w:p>
    <w:p>
      <w:pPr>
        <w:pStyle w:val="null3"/>
        <w:ind w:firstLine="960"/>
      </w:pPr>
      <w:r>
        <w:rPr>
          <w:rFonts w:ascii="仿宋_GB2312" w:hAnsi="仿宋_GB2312" w:cs="仿宋_GB2312" w:eastAsia="仿宋_GB2312"/>
        </w:rPr>
        <w:t>详见附件：应急处理预案.docx</w:t>
      </w:r>
    </w:p>
    <w:p>
      <w:pPr>
        <w:pStyle w:val="null3"/>
        <w:ind w:firstLine="960"/>
      </w:pPr>
      <w:r>
        <w:rPr>
          <w:rFonts w:ascii="仿宋_GB2312" w:hAnsi="仿宋_GB2312" w:cs="仿宋_GB2312" w:eastAsia="仿宋_GB2312"/>
        </w:rPr>
        <w:t>详见附件：未达到预期效果的解决措施.docx</w:t>
      </w:r>
    </w:p>
    <w:p>
      <w:pPr>
        <w:pStyle w:val="null3"/>
        <w:ind w:firstLine="960"/>
      </w:pPr>
      <w:r>
        <w:rPr>
          <w:rFonts w:ascii="仿宋_GB2312" w:hAnsi="仿宋_GB2312" w:cs="仿宋_GB2312" w:eastAsia="仿宋_GB2312"/>
        </w:rPr>
        <w:t>详见附件：服务承诺和保证措施.docx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详见附件：合理化建议.docx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详见附件：投标人认为有必要补充说明的事宜.docx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详见附件：合同示范文本.docx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