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版本号：SXSJ-202603220260827001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蓝田县辋川镇核桃沟村革命老区建设项目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SXSJ-2026032</w:t>
      </w:r>
      <w:r>
        <w:br/>
      </w:r>
      <w:r>
        <w:br/>
      </w:r>
      <w:r>
        <w:br/>
      </w:r>
    </w:p>
    <w:p>
      <w:pPr>
        <w:pStyle w:val="null3"/>
        <w:jc w:val="center"/>
        <w:outlineLvl w:val="2"/>
      </w:pPr>
      <w:r>
        <w:rPr>
          <w:rFonts w:ascii="仿宋_GB2312" w:hAnsi="仿宋_GB2312" w:cs="仿宋_GB2312" w:eastAsia="仿宋_GB2312"/>
          <w:sz w:val="28"/>
          <w:b/>
        </w:rPr>
        <w:t>西安市蓝田县辋川镇人民政府（本级）</w:t>
      </w:r>
    </w:p>
    <w:p>
      <w:pPr>
        <w:pStyle w:val="null3"/>
        <w:jc w:val="center"/>
        <w:outlineLvl w:val="2"/>
      </w:pPr>
      <w:r>
        <w:rPr>
          <w:rFonts w:ascii="仿宋_GB2312" w:hAnsi="仿宋_GB2312" w:cs="仿宋_GB2312" w:eastAsia="仿宋_GB2312"/>
          <w:sz w:val="28"/>
          <w:b/>
        </w:rPr>
        <w:t>陕西昇杰项目管理有限公司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陕西昇杰项目管理有限公司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西安市蓝田县辋川镇人民政府（本级）</w:t>
      </w:r>
      <w:r>
        <w:rPr>
          <w:rFonts w:ascii="仿宋_GB2312" w:hAnsi="仿宋_GB2312" w:cs="仿宋_GB2312" w:eastAsia="仿宋_GB2312"/>
        </w:rPr>
        <w:t>委托，拟对</w:t>
      </w:r>
      <w:r>
        <w:rPr>
          <w:rFonts w:ascii="仿宋_GB2312" w:hAnsi="仿宋_GB2312" w:cs="仿宋_GB2312" w:eastAsia="仿宋_GB2312"/>
        </w:rPr>
        <w:t>蓝田县辋川镇核桃沟村革命老区建设项目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SXSJ-2026032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蓝田县辋川镇核桃沟村革命老区建设项目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蓝田县辋川镇核桃沟村革命老区建设项目，主要建设内容包括：新建钢筋混凝土路肩挡土墙1161.33m³，安装PVC泄水孔214.34m，拆除并恢复路基、路面1515.27㎡等工程。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采购包1（蓝田县辋川镇核桃沟村革命老区建设项目）：属于专门面向中小企业采购。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pPr>
        <w:pStyle w:val="null3"/>
      </w:pPr>
      <w:r>
        <w:rPr>
          <w:rFonts w:ascii="仿宋_GB2312" w:hAnsi="仿宋_GB2312" w:cs="仿宋_GB2312" w:eastAsia="仿宋_GB2312"/>
        </w:rPr>
        <w:t>3、税收缴纳证明：提供投标截止时间前6个月内至少一个月的纳税证明或完税证明（任意税种），依法免税的单位应提供相关证明材料。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8、企业资质：供应商具备建设行政主管部门核发的市政公用工程施工总承包三级及以上资质；且具备合格有效的安全生产许可证。</w:t>
      </w:r>
    </w:p>
    <w:p>
      <w:pPr>
        <w:pStyle w:val="null3"/>
      </w:pPr>
      <w:r>
        <w:rPr>
          <w:rFonts w:ascii="仿宋_GB2312" w:hAnsi="仿宋_GB2312" w:cs="仿宋_GB2312" w:eastAsia="仿宋_GB2312"/>
        </w:rPr>
        <w:t>9、项目经理：拟派项目经理须具有市政公用工程专业二级及以上注册建造师资格，且在本单位注册，且具有有效的安全生产考核合格证（建安B证），且未担任其它在施建设工程的项目经理并无不良记录（提供无在建工程、无不良记录承诺书）。</w:t>
      </w:r>
    </w:p>
    <w:p>
      <w:pPr>
        <w:pStyle w:val="null3"/>
      </w:pPr>
      <w:r>
        <w:rPr>
          <w:rFonts w:ascii="仿宋_GB2312" w:hAnsi="仿宋_GB2312" w:cs="仿宋_GB2312" w:eastAsia="仿宋_GB2312"/>
        </w:rPr>
        <w:t>10、供应商基本信息及项目经理基本信息查询：供应商基本信息及项目经理基本信息应在“陕西省建筑市场监管与诚信信息发布平台”可查询。</w:t>
      </w:r>
    </w:p>
    <w:p>
      <w:pPr>
        <w:pStyle w:val="null3"/>
      </w:pPr>
      <w:r>
        <w:rPr>
          <w:rFonts w:ascii="仿宋_GB2312" w:hAnsi="仿宋_GB2312" w:cs="仿宋_GB2312" w:eastAsia="仿宋_GB2312"/>
        </w:rPr>
        <w:t>11、信用记录：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13、其他：为本项目提供过整体设计、规范编制或者项目管理、监理、检测等服务的供应商，不得再参加本项目采购活动。</w:t>
      </w:r>
    </w:p>
    <w:p>
      <w:pPr>
        <w:pStyle w:val="null3"/>
      </w:pPr>
      <w:r>
        <w:rPr>
          <w:rFonts w:ascii="仿宋_GB2312" w:hAnsi="仿宋_GB2312" w:cs="仿宋_GB2312" w:eastAsia="仿宋_GB2312"/>
        </w:rPr>
        <w:t>14、联合体：本项目不接受联合体磋商。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西安市蓝田县辋川镇人民政府（本级）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蓝田县辋川镇官上村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029-82812023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陕西昇杰项目管理有限公司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陕西省西安市高新区高新四路创业广场B座12层1203—B36号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付靖楠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18209213563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文件标准收取，费用由成交人在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西安市蓝田县辋川镇人民政府（本级）</w:t>
      </w:r>
      <w:r>
        <w:rPr>
          <w:rFonts w:ascii="仿宋_GB2312" w:hAnsi="仿宋_GB2312" w:cs="仿宋_GB2312" w:eastAsia="仿宋_GB2312"/>
        </w:rPr>
        <w:t>和</w:t>
      </w:r>
      <w:r>
        <w:rPr>
          <w:rFonts w:ascii="仿宋_GB2312" w:hAnsi="仿宋_GB2312" w:cs="仿宋_GB2312" w:eastAsia="仿宋_GB2312"/>
        </w:rPr>
        <w:t>陕西昇杰项目管理有限公司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西安市蓝田县辋川镇人民政府（本级）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陕西昇杰项目管理有限公司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西安市蓝田县辋川镇人民政府（本级）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陕西昇杰项目管理有限公司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联系人：付靖楠</w:t>
      </w:r>
    </w:p>
    <w:p>
      <w:pPr>
        <w:pStyle w:val="null3"/>
      </w:pPr>
      <w:r>
        <w:rPr>
          <w:rFonts w:ascii="仿宋_GB2312" w:hAnsi="仿宋_GB2312" w:cs="仿宋_GB2312" w:eastAsia="仿宋_GB2312"/>
        </w:rPr>
        <w:t>联系电话：18209213563</w:t>
      </w:r>
    </w:p>
    <w:p>
      <w:pPr>
        <w:pStyle w:val="null3"/>
      </w:pPr>
      <w:r>
        <w:rPr>
          <w:rFonts w:ascii="仿宋_GB2312" w:hAnsi="仿宋_GB2312" w:cs="仿宋_GB2312" w:eastAsia="仿宋_GB2312"/>
        </w:rPr>
        <w:t>地址：陕西省西安市高新区高新四路创业广场B座12层1203—B36号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1,548,212.43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蓝田县辋川镇核桃沟村革命老区建设项目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标的名称：蓝田县辋川镇核桃沟村革命老区建设项目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蓝田县辋川镇核桃沟村革命老区建设项目，主要建设内容包括：新建钢筋混凝土路肩挡土墙1161.33m³，安装PVC泄水孔214.34m，拆除并恢复路基、路面1515.27㎡等工程。</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1.工期：自合同签订之日起45日历天；</w:t>
            </w:r>
          </w:p>
          <w:p>
            <w:pPr>
              <w:pStyle w:val="null3"/>
            </w:pPr>
            <w:r>
              <w:rPr>
                <w:rFonts w:ascii="仿宋_GB2312" w:hAnsi="仿宋_GB2312" w:cs="仿宋_GB2312" w:eastAsia="仿宋_GB2312"/>
              </w:rPr>
              <w:t>2.质保期：自竣工验收合格之日起1年；</w:t>
            </w:r>
          </w:p>
          <w:p>
            <w:pPr>
              <w:pStyle w:val="null3"/>
            </w:pPr>
            <w:r>
              <w:rPr>
                <w:rFonts w:ascii="仿宋_GB2312" w:hAnsi="仿宋_GB2312" w:cs="仿宋_GB2312" w:eastAsia="仿宋_GB2312"/>
              </w:rPr>
              <w:t>3.缺陷责任期：自竣工验收合格之日起1年；</w:t>
            </w:r>
          </w:p>
          <w:p>
            <w:pPr>
              <w:pStyle w:val="null3"/>
            </w:pPr>
            <w:r>
              <w:rPr>
                <w:rFonts w:ascii="仿宋_GB2312" w:hAnsi="仿宋_GB2312" w:cs="仿宋_GB2312" w:eastAsia="仿宋_GB2312"/>
              </w:rPr>
              <w:t>4.质量标准：符合国家现行有关施工质量验收规范“合格”标准。</w:t>
            </w:r>
          </w:p>
          <w:p>
            <w:pPr>
              <w:pStyle w:val="null3"/>
            </w:pPr>
            <w:r>
              <w:rPr>
                <w:rFonts w:ascii="仿宋_GB2312" w:hAnsi="仿宋_GB2312" w:cs="仿宋_GB2312" w:eastAsia="仿宋_GB2312"/>
              </w:rPr>
              <w:t>5.付款方式：（1）合同签订⼄⽅进场后，达到付款条件起30个工作日内，甲⽅向⼄⽅⽀付合同总价款的40%作为预付款；（2）⼯程完⼯后，甲⽅组织有关部⻔验收合格后，达到付款条件起30个工作日内，⽀付⾄合同总价款的80%；（3）⼯程结算审核完成后，达到付款条件起30个工作日内，⽀付⾄⼯程审核价款的100%。</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1.设计图纸；</w:t>
            </w:r>
          </w:p>
          <w:p>
            <w:pPr>
              <w:pStyle w:val="null3"/>
            </w:pPr>
            <w:r>
              <w:rPr>
                <w:rFonts w:ascii="仿宋_GB2312" w:hAnsi="仿宋_GB2312" w:cs="仿宋_GB2312" w:eastAsia="仿宋_GB2312"/>
              </w:rPr>
              <w:t>2.《陕西省建设工程工程量清单计价标准》(2025年)；</w:t>
            </w:r>
          </w:p>
          <w:p>
            <w:pPr>
              <w:pStyle w:val="null3"/>
            </w:pPr>
            <w:r>
              <w:rPr>
                <w:rFonts w:ascii="仿宋_GB2312" w:hAnsi="仿宋_GB2312" w:cs="仿宋_GB2312" w:eastAsia="仿宋_GB2312"/>
              </w:rPr>
              <w:t>3.《陕西省市政工程费用规则》（2025）；</w:t>
            </w:r>
          </w:p>
          <w:p>
            <w:pPr>
              <w:pStyle w:val="null3"/>
            </w:pPr>
            <w:r>
              <w:rPr>
                <w:rFonts w:ascii="仿宋_GB2312" w:hAnsi="仿宋_GB2312" w:cs="仿宋_GB2312" w:eastAsia="仿宋_GB2312"/>
              </w:rPr>
              <w:t>4.《陕西省市政工程基价表》（2025）；</w:t>
            </w:r>
          </w:p>
          <w:p>
            <w:pPr>
              <w:pStyle w:val="null3"/>
            </w:pPr>
            <w:r>
              <w:rPr>
                <w:rFonts w:ascii="仿宋_GB2312" w:hAnsi="仿宋_GB2312" w:cs="仿宋_GB2312" w:eastAsia="仿宋_GB2312"/>
              </w:rPr>
              <w:t>5.《陕西省市政工程消耗量定额》（2025）；</w:t>
            </w:r>
          </w:p>
          <w:p>
            <w:pPr>
              <w:pStyle w:val="null3"/>
            </w:pPr>
            <w:r>
              <w:rPr>
                <w:rFonts w:ascii="仿宋_GB2312" w:hAnsi="仿宋_GB2312" w:cs="仿宋_GB2312" w:eastAsia="仿宋_GB2312"/>
              </w:rPr>
              <w:t>6.《陕西省施工机械台班费用定额》（2025）及相关配套文件；</w:t>
            </w:r>
          </w:p>
          <w:p>
            <w:pPr>
              <w:pStyle w:val="null3"/>
            </w:pPr>
            <w:r>
              <w:rPr>
                <w:rFonts w:ascii="仿宋_GB2312" w:hAnsi="仿宋_GB2312" w:cs="仿宋_GB2312" w:eastAsia="仿宋_GB2312"/>
              </w:rPr>
              <w:t>7.建设工程项目有关的标准、规范、图集、技术资料；</w:t>
            </w:r>
          </w:p>
          <w:p>
            <w:pPr>
              <w:pStyle w:val="null3"/>
            </w:pPr>
            <w:r>
              <w:rPr>
                <w:rFonts w:ascii="仿宋_GB2312" w:hAnsi="仿宋_GB2312" w:cs="仿宋_GB2312" w:eastAsia="仿宋_GB2312"/>
              </w:rPr>
              <w:t>8.主要材料价格执行《陕西工程造价管理信息》2026年第七期信息价及市场价。</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1.版本号：陕西省广联达计价软件GBQ7.7.5000.23.3。</w:t>
            </w:r>
          </w:p>
          <w:p>
            <w:pPr>
              <w:pStyle w:val="null3"/>
            </w:pPr>
            <w:r>
              <w:rPr>
                <w:rFonts w:ascii="仿宋_GB2312" w:hAnsi="仿宋_GB2312" w:cs="仿宋_GB2312" w:eastAsia="仿宋_GB2312"/>
              </w:rPr>
              <w:t>2.在施工期间，中标供应商必须注意人员安全，加强安全措施，并对施工人员进行安全教育。施工人员必须持证上岗。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时须向采购代理机构提交响应文件正本一份，副本二份，电子文件(U盘：签章盖章PDF版)一份。提交的纸质响应文件须与网上上传的电子响应文件内容一致，若不一致导致的一切后果由供应商自负。正本和副本的封面上应清楚的标记“正本”或“副本”的字样。响应文件的正本与副本均应采用 A4 纸印刷，分别各自胶装成册并编制目录和页码，不得采用活页装订。 如未按照竞争性磋商文件要求编制、签署、上传电子响应文件，将可能导致磋商无效，其后果由供应商自负。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供应商具备建设行政主管部门核发的市政公用工程施工总承包三级及以上资质；且具备合格有效的安全生产许可证。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专业二级及以上注册建造师资格，且在本单位注册，且具有有效的安全生产考核合格证（建安B证），且未担任其它在施建设工程的项目经理并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首次磋商响应报价表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签署盖章符合磋商文件要求，且无遗漏</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首次磋商响应报价表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响应文件内容齐全、无遗漏（除评标因素外）</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工期、质保期、缺陷责任期、质量标准、付款方式</w:t>
            </w:r>
          </w:p>
        </w:tc>
        <w:tc>
          <w:tcPr>
            <w:tcW w:type="dxa" w:w="3322"/>
          </w:tcPr>
          <w:p>
            <w:pPr>
              <w:pStyle w:val="null3"/>
            </w:pPr>
            <w:r>
              <w:rPr>
                <w:rFonts w:ascii="仿宋_GB2312" w:hAnsi="仿宋_GB2312" w:cs="仿宋_GB2312" w:eastAsia="仿宋_GB2312"/>
              </w:rPr>
              <w:t>应满足竞争性磋商文件中的要求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异常投标情形</w:t>
            </w:r>
          </w:p>
        </w:tc>
        <w:tc>
          <w:tcPr>
            <w:tcW w:type="dxa" w:w="3322"/>
          </w:tcPr>
          <w:p>
            <w:pPr>
              <w:pStyle w:val="null3"/>
            </w:pPr>
            <w:r>
              <w:rPr>
                <w:rFonts w:ascii="仿宋_GB2312" w:hAnsi="仿宋_GB2312" w:cs="仿宋_GB2312" w:eastAsia="仿宋_GB2312"/>
              </w:rPr>
              <w:t>响应文件不存在以下情形： （1）法律法规规定视为串通投标的情形； （2）投标文件异常一致； （3）投标活动异常关联； （4）通过受让、租借、挂靠资质投标，伪造、变造资质、资格证书或者其他许可证件，提供虚假业绩、奖项、项目负责人等材料。</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供应商应提交的相关资格证明材料 供应商业绩一览表 响应文件封面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 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详见附件：首次磋商响应报价表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详见附件：商务及技术偏离表</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详见附件：供应商认为有必要说明的其他事项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