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C9FC7">
      <w:pPr>
        <w:pStyle w:val="3"/>
        <w:ind w:left="0" w:leftChars="-199" w:right="-560" w:rightChars="-200" w:hanging="557" w:hangingChars="154"/>
        <w:jc w:val="center"/>
        <w:outlineLvl w:val="0"/>
        <w:rPr>
          <w:rFonts w:hint="eastAsia" w:ascii="宋体" w:hAnsi="宋体" w:eastAsia="宋体" w:cs="宋体"/>
          <w:color w:val="auto"/>
          <w:lang w:val="en-US"/>
        </w:rPr>
      </w:pPr>
      <w:r>
        <w:rPr>
          <w:rFonts w:hint="eastAsia" w:ascii="宋体" w:hAnsi="宋体" w:eastAsia="宋体" w:cs="宋体"/>
          <w:b/>
          <w:bCs/>
          <w:color w:val="auto"/>
          <w:sz w:val="36"/>
          <w:szCs w:val="36"/>
          <w:lang w:val="en-US" w:eastAsia="zh-CN" w:bidi="ar-SA"/>
        </w:rPr>
        <w:t>XXXX项目</w:t>
      </w:r>
      <w:r>
        <w:rPr>
          <w:rFonts w:hint="eastAsia" w:ascii="宋体" w:hAnsi="宋体" w:eastAsia="宋体" w:cs="宋体"/>
          <w:b/>
          <w:bCs/>
          <w:color w:val="auto"/>
          <w:sz w:val="36"/>
          <w:szCs w:val="36"/>
          <w:lang w:val="en-US" w:eastAsia="zh-CN"/>
        </w:rPr>
        <w:t>服务合同（仅供参考）</w:t>
      </w:r>
    </w:p>
    <w:p w14:paraId="001275F4">
      <w:pPr>
        <w:keepNext w:val="0"/>
        <w:keepLines w:val="0"/>
        <w:pageBreakBefore w:val="0"/>
        <w:widowControl w:val="0"/>
        <w:kinsoku/>
        <w:wordWrap/>
        <w:autoSpaceDE w:val="0"/>
        <w:autoSpaceDN w:val="0"/>
        <w:bidi w:val="0"/>
        <w:adjustRightInd w:val="0"/>
        <w:snapToGrid w:val="0"/>
        <w:spacing w:line="480" w:lineRule="auto"/>
        <w:ind w:left="557" w:leftChars="199" w:firstLine="0" w:firstLineChars="0"/>
        <w:textAlignment w:val="auto"/>
        <w:rPr>
          <w:rFonts w:hint="eastAsia" w:ascii="宋体" w:hAnsi="宋体" w:eastAsia="宋体" w:cs="宋体"/>
          <w:color w:val="auto"/>
          <w:sz w:val="24"/>
          <w:szCs w:val="24"/>
          <w:highlight w:val="none"/>
        </w:rPr>
      </w:pPr>
    </w:p>
    <w:p w14:paraId="178AEA94">
      <w:pPr>
        <w:keepNext w:val="0"/>
        <w:keepLines w:val="0"/>
        <w:pageBreakBefore w:val="0"/>
        <w:widowControl w:val="0"/>
        <w:kinsoku/>
        <w:wordWrap/>
        <w:autoSpaceDE w:val="0"/>
        <w:autoSpaceDN w:val="0"/>
        <w:bidi w:val="0"/>
        <w:adjustRightInd w:val="0"/>
        <w:snapToGrid w:val="0"/>
        <w:spacing w:line="480" w:lineRule="auto"/>
        <w:ind w:left="0" w:leftChars="0" w:firstLine="0" w:firstLineChars="0"/>
        <w:textAlignment w:val="auto"/>
        <w:rPr>
          <w:rFonts w:hint="eastAsia" w:ascii="宋体" w:hAnsi="宋体" w:eastAsia="宋体" w:cs="宋体"/>
          <w:b/>
          <w:bCs/>
          <w:color w:val="auto"/>
          <w:sz w:val="24"/>
          <w:szCs w:val="24"/>
          <w:highlight w:val="none"/>
          <w:u w:val="none"/>
        </w:rPr>
      </w:pPr>
      <w:r>
        <w:rPr>
          <w:rFonts w:hint="eastAsia" w:ascii="宋体" w:hAnsi="宋体" w:eastAsia="宋体" w:cs="宋体"/>
          <w:b/>
          <w:bCs/>
          <w:color w:val="auto"/>
          <w:sz w:val="24"/>
          <w:szCs w:val="24"/>
          <w:highlight w:val="none"/>
        </w:rPr>
        <w:t>甲方（买方）：</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none"/>
        </w:rPr>
        <w:t xml:space="preserve"> </w:t>
      </w:r>
    </w:p>
    <w:p w14:paraId="5768BDC7">
      <w:pPr>
        <w:keepNext w:val="0"/>
        <w:keepLines w:val="0"/>
        <w:pageBreakBefore w:val="0"/>
        <w:widowControl w:val="0"/>
        <w:kinsoku/>
        <w:wordWrap/>
        <w:autoSpaceDE w:val="0"/>
        <w:autoSpaceDN w:val="0"/>
        <w:bidi w:val="0"/>
        <w:adjustRightInd w:val="0"/>
        <w:snapToGrid w:val="0"/>
        <w:spacing w:line="480" w:lineRule="auto"/>
        <w:ind w:left="0" w:leftChars="0" w:firstLine="0" w:firstLineChars="0"/>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乙方（卖方）：</w:t>
      </w:r>
      <w:r>
        <w:rPr>
          <w:rFonts w:hint="eastAsia" w:ascii="宋体" w:hAnsi="宋体" w:eastAsia="宋体" w:cs="宋体"/>
          <w:b/>
          <w:bCs/>
          <w:color w:val="auto"/>
          <w:sz w:val="24"/>
          <w:szCs w:val="24"/>
          <w:highlight w:val="none"/>
          <w:u w:val="single"/>
          <w:lang w:val="en-US" w:eastAsia="zh-CN"/>
        </w:rPr>
        <w:t xml:space="preserve">              </w:t>
      </w:r>
    </w:p>
    <w:p w14:paraId="5BD981E1">
      <w:pPr>
        <w:keepNext w:val="0"/>
        <w:keepLines w:val="0"/>
        <w:pageBreakBefore w:val="0"/>
        <w:widowControl w:val="0"/>
        <w:kinsoku/>
        <w:wordWrap/>
        <w:overflowPunct w:val="0"/>
        <w:topLinePunct/>
        <w:autoSpaceDE w:val="0"/>
        <w:autoSpaceDN w:val="0"/>
        <w:bidi w:val="0"/>
        <w:adjustRightInd w:val="0"/>
        <w:snapToGrid/>
        <w:spacing w:line="48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为保障买卖双方的合法权益，根据《</w:t>
      </w:r>
      <w:r>
        <w:rPr>
          <w:rFonts w:hint="eastAsia" w:ascii="宋体" w:hAnsi="宋体" w:eastAsia="宋体" w:cs="宋体"/>
          <w:sz w:val="24"/>
          <w:szCs w:val="24"/>
          <w:lang w:eastAsia="zh-CN"/>
        </w:rPr>
        <w:t>中华人民共和国民法典</w:t>
      </w:r>
      <w:r>
        <w:rPr>
          <w:rFonts w:hint="eastAsia" w:ascii="宋体" w:hAnsi="宋体" w:eastAsia="宋体" w:cs="宋体"/>
          <w:sz w:val="24"/>
          <w:szCs w:val="24"/>
        </w:rPr>
        <w:t>》及有关法律法规的规定，</w:t>
      </w:r>
      <w:r>
        <w:rPr>
          <w:rFonts w:hint="eastAsia" w:ascii="宋体" w:hAnsi="宋体" w:eastAsia="宋体" w:cs="宋体"/>
          <w:sz w:val="24"/>
          <w:szCs w:val="24"/>
          <w:lang w:val="en-US" w:eastAsia="zh-CN"/>
        </w:rPr>
        <w:t>甲乙</w:t>
      </w:r>
      <w:r>
        <w:rPr>
          <w:rFonts w:hint="eastAsia" w:ascii="宋体" w:hAnsi="宋体" w:eastAsia="宋体" w:cs="宋体"/>
          <w:sz w:val="24"/>
          <w:szCs w:val="24"/>
        </w:rPr>
        <w:t>双方经友好而充分的协商，一致同意按下列条款签订本合同：</w:t>
      </w:r>
    </w:p>
    <w:p w14:paraId="5B531268">
      <w:pPr>
        <w:keepNext w:val="0"/>
        <w:keepLines w:val="0"/>
        <w:pageBreakBefore w:val="0"/>
        <w:widowControl w:val="0"/>
        <w:numPr>
          <w:ilvl w:val="0"/>
          <w:numId w:val="0"/>
        </w:numPr>
        <w:kinsoku/>
        <w:wordWrap/>
        <w:overflowPunct w:val="0"/>
        <w:topLinePunct/>
        <w:autoSpaceDE w:val="0"/>
        <w:autoSpaceDN w:val="0"/>
        <w:bidi w:val="0"/>
        <w:adjustRightInd w:val="0"/>
        <w:snapToGrid/>
        <w:spacing w:line="480" w:lineRule="auto"/>
        <w:ind w:left="0" w:leftChars="0" w:firstLine="48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bidi="ar-SA"/>
        </w:rPr>
        <w:t>一、</w:t>
      </w:r>
      <w:r>
        <w:rPr>
          <w:rFonts w:hint="eastAsia" w:ascii="宋体" w:hAnsi="宋体" w:eastAsia="宋体" w:cs="宋体"/>
          <w:b/>
          <w:bCs/>
          <w:sz w:val="24"/>
          <w:szCs w:val="24"/>
        </w:rPr>
        <w:t>项目内容</w:t>
      </w:r>
    </w:p>
    <w:p w14:paraId="07DFF394">
      <w:pPr>
        <w:keepNext w:val="0"/>
        <w:keepLines w:val="0"/>
        <w:pageBreakBefore w:val="0"/>
        <w:widowControl w:val="0"/>
        <w:numPr>
          <w:ilvl w:val="0"/>
          <w:numId w:val="0"/>
        </w:numPr>
        <w:kinsoku/>
        <w:wordWrap/>
        <w:overflowPunct w:val="0"/>
        <w:topLinePunct/>
        <w:autoSpaceDE w:val="0"/>
        <w:autoSpaceDN w:val="0"/>
        <w:bidi w:val="0"/>
        <w:adjustRightInd w:val="0"/>
        <w:snapToGrid/>
        <w:spacing w:line="48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5F80967D">
      <w:pPr>
        <w:keepNext w:val="0"/>
        <w:keepLines w:val="0"/>
        <w:pageBreakBefore w:val="0"/>
        <w:widowControl w:val="0"/>
        <w:numPr>
          <w:ilvl w:val="0"/>
          <w:numId w:val="0"/>
        </w:numPr>
        <w:kinsoku/>
        <w:wordWrap/>
        <w:autoSpaceDE w:val="0"/>
        <w:autoSpaceDN w:val="0"/>
        <w:bidi w:val="0"/>
        <w:adjustRightInd w:val="0"/>
        <w:snapToGrid/>
        <w:spacing w:line="480" w:lineRule="auto"/>
        <w:ind w:left="0" w:leftChars="0" w:firstLine="494" w:firstLineChars="205"/>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lang w:val="en-US" w:eastAsia="zh-CN" w:bidi="ar-SA"/>
        </w:rPr>
        <w:t>二、</w:t>
      </w:r>
      <w:r>
        <w:rPr>
          <w:rFonts w:hint="eastAsia" w:ascii="宋体" w:hAnsi="宋体" w:eastAsia="宋体" w:cs="宋体"/>
          <w:b/>
          <w:bCs w:val="0"/>
          <w:color w:val="auto"/>
          <w:sz w:val="24"/>
          <w:szCs w:val="24"/>
          <w:highlight w:val="none"/>
        </w:rPr>
        <w:t>合同金额</w:t>
      </w:r>
    </w:p>
    <w:p w14:paraId="4525ED9C">
      <w:pPr>
        <w:keepNext w:val="0"/>
        <w:keepLines w:val="0"/>
        <w:pageBreakBefore w:val="0"/>
        <w:widowControl w:val="0"/>
        <w:numPr>
          <w:ilvl w:val="0"/>
          <w:numId w:val="0"/>
        </w:numPr>
        <w:kinsoku/>
        <w:wordWrap/>
        <w:autoSpaceDE w:val="0"/>
        <w:autoSpaceDN w:val="0"/>
        <w:bidi w:val="0"/>
        <w:adjustRightInd w:val="0"/>
        <w:snapToGrid/>
        <w:spacing w:line="480" w:lineRule="auto"/>
        <w:ind w:left="0" w:leftChars="0" w:firstLine="491" w:firstLineChars="205"/>
        <w:textAlignment w:val="auto"/>
        <w:rPr>
          <w:rFonts w:hint="eastAsia" w:ascii="宋体" w:hAnsi="宋体" w:eastAsia="宋体" w:cs="宋体"/>
          <w:b w:val="0"/>
          <w:bCs/>
          <w:color w:val="auto"/>
          <w:sz w:val="24"/>
          <w:szCs w:val="24"/>
          <w:highlight w:val="none"/>
        </w:rPr>
      </w:pPr>
      <w:r>
        <w:rPr>
          <w:rFonts w:hint="eastAsia" w:ascii="宋体" w:hAnsi="宋体" w:eastAsia="宋体" w:cs="宋体"/>
          <w:i w:val="0"/>
          <w:iCs w:val="0"/>
          <w:color w:val="auto"/>
          <w:kern w:val="0"/>
          <w:sz w:val="24"/>
          <w:szCs w:val="24"/>
          <w:u w:val="single"/>
          <w:lang w:val="en-US" w:eastAsia="zh-CN" w:bidi="ar"/>
        </w:rPr>
        <w:t xml:space="preserve">大写：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single"/>
        </w:rPr>
        <w:t>（</w:t>
      </w:r>
      <w:r>
        <w:rPr>
          <w:rFonts w:hint="eastAsia" w:ascii="宋体" w:hAnsi="宋体" w:eastAsia="宋体" w:cs="宋体"/>
          <w:b w:val="0"/>
          <w:bCs/>
          <w:color w:val="auto"/>
          <w:sz w:val="24"/>
          <w:szCs w:val="24"/>
          <w:highlight w:val="none"/>
          <w:u w:val="single"/>
          <w:lang w:val="en-US" w:eastAsia="zh-CN"/>
        </w:rPr>
        <w:t>小写：       元）</w:t>
      </w:r>
      <w:r>
        <w:rPr>
          <w:rFonts w:hint="eastAsia" w:ascii="宋体" w:hAnsi="宋体" w:eastAsia="宋体" w:cs="宋体"/>
          <w:b w:val="0"/>
          <w:bCs/>
          <w:color w:val="auto"/>
          <w:sz w:val="24"/>
          <w:szCs w:val="24"/>
          <w:highlight w:val="none"/>
        </w:rPr>
        <w:t>，包含</w:t>
      </w:r>
      <w:r>
        <w:rPr>
          <w:rFonts w:hint="eastAsia" w:ascii="宋体" w:hAnsi="宋体" w:eastAsia="宋体" w:cs="宋体"/>
          <w:b w:val="0"/>
          <w:bCs/>
          <w:color w:val="auto"/>
          <w:sz w:val="24"/>
          <w:szCs w:val="24"/>
          <w:highlight w:val="none"/>
          <w:lang w:val="en-US" w:eastAsia="zh-CN"/>
        </w:rPr>
        <w:t>服务费</w:t>
      </w:r>
      <w:r>
        <w:rPr>
          <w:rFonts w:hint="eastAsia" w:ascii="宋体" w:hAnsi="宋体" w:eastAsia="宋体" w:cs="宋体"/>
          <w:b w:val="0"/>
          <w:bCs/>
          <w:color w:val="auto"/>
          <w:sz w:val="24"/>
          <w:szCs w:val="24"/>
          <w:highlight w:val="none"/>
        </w:rPr>
        <w:t>、税金等费用。</w:t>
      </w:r>
    </w:p>
    <w:p w14:paraId="7B48568D">
      <w:pPr>
        <w:keepNext w:val="0"/>
        <w:keepLines w:val="0"/>
        <w:pageBreakBefore w:val="0"/>
        <w:widowControl w:val="0"/>
        <w:kinsoku/>
        <w:wordWrap/>
        <w:autoSpaceDE w:val="0"/>
        <w:autoSpaceDN w:val="0"/>
        <w:bidi w:val="0"/>
        <w:adjustRightInd w:val="0"/>
        <w:snapToGrid/>
        <w:spacing w:line="480" w:lineRule="auto"/>
        <w:ind w:left="0" w:leftChars="0" w:firstLine="499" w:firstLineChars="207"/>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val="en-US" w:eastAsia="zh-CN"/>
        </w:rPr>
        <w:t>三</w:t>
      </w:r>
      <w:r>
        <w:rPr>
          <w:rFonts w:hint="eastAsia" w:ascii="宋体" w:hAnsi="宋体" w:eastAsia="宋体" w:cs="宋体"/>
          <w:b/>
          <w:bCs w:val="0"/>
          <w:color w:val="auto"/>
          <w:sz w:val="24"/>
          <w:szCs w:val="24"/>
          <w:highlight w:val="none"/>
        </w:rPr>
        <w:t>、款项结算</w:t>
      </w:r>
    </w:p>
    <w:p w14:paraId="4650B351">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、款项结算:</w:t>
      </w:r>
      <w:r>
        <w:rPr>
          <w:rFonts w:hint="eastAsia" w:ascii="宋体" w:hAnsi="宋体" w:eastAsia="宋体" w:cs="宋体"/>
          <w:color w:val="auto"/>
          <w:sz w:val="24"/>
          <w:szCs w:val="24"/>
          <w:highlight w:val="none"/>
          <w:lang w:val="en-US" w:eastAsia="zh-CN"/>
        </w:rPr>
        <w:t>甲方负责</w:t>
      </w:r>
      <w:r>
        <w:rPr>
          <w:rFonts w:hint="eastAsia" w:ascii="宋体" w:hAnsi="宋体" w:eastAsia="宋体" w:cs="宋体"/>
          <w:color w:val="auto"/>
          <w:sz w:val="24"/>
          <w:szCs w:val="24"/>
          <w:highlight w:val="none"/>
        </w:rPr>
        <w:t>结算，</w:t>
      </w:r>
      <w:r>
        <w:rPr>
          <w:rFonts w:hint="eastAsia" w:ascii="宋体" w:hAnsi="宋体" w:eastAsia="宋体" w:cs="宋体"/>
          <w:color w:val="auto"/>
          <w:sz w:val="24"/>
          <w:szCs w:val="24"/>
          <w:highlight w:val="none"/>
          <w:lang w:val="en-US" w:eastAsia="zh-CN"/>
        </w:rPr>
        <w:t>乙方需</w:t>
      </w:r>
      <w:r>
        <w:rPr>
          <w:rFonts w:hint="eastAsia" w:ascii="宋体" w:hAnsi="宋体" w:eastAsia="宋体" w:cs="宋体"/>
          <w:color w:val="auto"/>
          <w:sz w:val="24"/>
          <w:szCs w:val="24"/>
          <w:highlight w:val="none"/>
        </w:rPr>
        <w:t>开具全额（等额）发票给</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w:t>
      </w:r>
    </w:p>
    <w:p w14:paraId="3A68598D">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、结算方式：银行转账。</w:t>
      </w:r>
    </w:p>
    <w:p w14:paraId="3AC62644">
      <w:pPr>
        <w:keepNext w:val="0"/>
        <w:keepLines w:val="0"/>
        <w:pageBreakBefore w:val="0"/>
        <w:widowControl w:val="0"/>
        <w:kinsoku/>
        <w:wordWrap/>
        <w:autoSpaceDE w:val="0"/>
        <w:autoSpaceDN w:val="0"/>
        <w:bidi w:val="0"/>
        <w:adjustRightInd w:val="0"/>
        <w:snapToGrid/>
        <w:spacing w:line="480" w:lineRule="auto"/>
        <w:ind w:firstLine="480" w:firstLineChars="200"/>
        <w:textAlignment w:val="auto"/>
        <w:rPr>
          <w:rFonts w:hint="eastAsia" w:ascii="宋体" w:hAnsi="宋体" w:eastAsia="宋体" w:cs="宋体"/>
          <w:color w:val="auto"/>
          <w:spacing w:val="6"/>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pacing w:val="6"/>
          <w:sz w:val="24"/>
          <w:szCs w:val="24"/>
          <w:highlight w:val="none"/>
          <w:lang w:val="en-US" w:eastAsia="zh-CN"/>
        </w:rPr>
        <w:t>合同签订之后乙方为甲方开通相关账号，甲方在账号开通后</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lang w:val="en-US" w:eastAsia="zh-CN"/>
        </w:rPr>
        <w:t>个日历日内支付</w:t>
      </w:r>
      <w:r>
        <w:rPr>
          <w:rFonts w:hint="eastAsia" w:ascii="宋体" w:hAnsi="宋体" w:eastAsia="宋体" w:cs="宋体"/>
          <w:i w:val="0"/>
          <w:iCs w:val="0"/>
          <w:color w:val="auto"/>
          <w:spacing w:val="6"/>
          <w:kern w:val="0"/>
          <w:sz w:val="24"/>
          <w:szCs w:val="24"/>
          <w:u w:val="single"/>
          <w:lang w:val="en-US" w:eastAsia="zh-CN" w:bidi="ar"/>
        </w:rPr>
        <w:t xml:space="preserve">              </w:t>
      </w:r>
      <w:r>
        <w:rPr>
          <w:rFonts w:hint="eastAsia" w:ascii="宋体" w:hAnsi="宋体" w:eastAsia="宋体" w:cs="宋体"/>
          <w:color w:val="auto"/>
          <w:spacing w:val="6"/>
          <w:sz w:val="24"/>
          <w:szCs w:val="24"/>
          <w:highlight w:val="none"/>
          <w:lang w:val="en-US" w:eastAsia="zh-CN"/>
        </w:rPr>
        <w:t>合同额。</w:t>
      </w:r>
    </w:p>
    <w:p w14:paraId="182B8C07">
      <w:pPr>
        <w:pStyle w:val="2"/>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4、乙方收款信息：</w:t>
      </w:r>
    </w:p>
    <w:p w14:paraId="650C22D7">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开户名称：</w:t>
      </w:r>
    </w:p>
    <w:p w14:paraId="304EFD43">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开户银行名称：</w:t>
      </w:r>
    </w:p>
    <w:p w14:paraId="7B40164E">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银行账号：</w:t>
      </w:r>
    </w:p>
    <w:p w14:paraId="0133E7C0">
      <w:pPr>
        <w:keepNext w:val="0"/>
        <w:keepLines w:val="0"/>
        <w:pageBreakBefore w:val="0"/>
        <w:widowControl w:val="0"/>
        <w:kinsoku/>
        <w:wordWrap/>
        <w:autoSpaceDE w:val="0"/>
        <w:autoSpaceDN w:val="0"/>
        <w:bidi w:val="0"/>
        <w:adjustRightInd w:val="0"/>
        <w:snapToGrid/>
        <w:spacing w:line="480" w:lineRule="auto"/>
        <w:ind w:left="0" w:leftChars="0" w:firstLine="499" w:firstLineChars="207"/>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val="en-US" w:eastAsia="zh-CN"/>
        </w:rPr>
        <w:t>四</w:t>
      </w: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eastAsia="zh-CN"/>
        </w:rPr>
        <w:t>服务交付期</w:t>
      </w:r>
      <w:r>
        <w:rPr>
          <w:rFonts w:hint="eastAsia" w:ascii="宋体" w:hAnsi="宋体" w:eastAsia="宋体" w:cs="宋体"/>
          <w:b/>
          <w:bCs w:val="0"/>
          <w:color w:val="auto"/>
          <w:sz w:val="24"/>
          <w:szCs w:val="24"/>
          <w:highlight w:val="none"/>
        </w:rPr>
        <w:t>限</w:t>
      </w:r>
    </w:p>
    <w:p w14:paraId="0EEF484A">
      <w:pPr>
        <w:keepNext w:val="0"/>
        <w:keepLines w:val="0"/>
        <w:pageBreakBefore w:val="0"/>
        <w:widowControl w:val="0"/>
        <w:kinsoku/>
        <w:wordWrap/>
        <w:autoSpaceDE w:val="0"/>
        <w:autoSpaceDN w:val="0"/>
        <w:bidi w:val="0"/>
        <w:adjustRightInd w:val="0"/>
        <w:snapToGrid/>
        <w:spacing w:line="480" w:lineRule="auto"/>
        <w:ind w:left="0" w:leftChars="0" w:firstLine="491" w:firstLineChars="205"/>
        <w:textAlignment w:val="auto"/>
        <w:rPr>
          <w:rFonts w:hint="eastAsia" w:ascii="宋体" w:hAnsi="宋体" w:eastAsia="宋体" w:cs="宋体"/>
          <w:b/>
          <w:bCs w:val="0"/>
          <w:color w:val="auto"/>
          <w:sz w:val="24"/>
          <w:szCs w:val="24"/>
          <w:highlight w:val="none"/>
        </w:rPr>
      </w:pPr>
      <w:r>
        <w:rPr>
          <w:rFonts w:hint="eastAsia" w:ascii="宋体" w:hAnsi="宋体" w:eastAsia="宋体" w:cs="宋体"/>
          <w:b w:val="0"/>
          <w:bCs/>
          <w:color w:val="auto"/>
          <w:sz w:val="24"/>
          <w:szCs w:val="24"/>
          <w:highlight w:val="none"/>
          <w:lang w:eastAsia="zh-CN"/>
        </w:rPr>
        <w:t>服务交付期</w:t>
      </w:r>
      <w:r>
        <w:rPr>
          <w:rFonts w:hint="eastAsia" w:ascii="宋体" w:hAnsi="宋体" w:eastAsia="宋体" w:cs="宋体"/>
          <w:b w:val="0"/>
          <w:bCs/>
          <w:color w:val="auto"/>
          <w:sz w:val="24"/>
          <w:szCs w:val="24"/>
          <w:highlight w:val="none"/>
        </w:rPr>
        <w:t>限</w:t>
      </w:r>
      <w:r>
        <w:rPr>
          <w:rFonts w:hint="eastAsia" w:ascii="宋体" w:hAnsi="宋体" w:eastAsia="宋体" w:cs="宋体"/>
          <w:b w:val="0"/>
          <w:bCs/>
          <w:color w:val="auto"/>
          <w:sz w:val="24"/>
          <w:szCs w:val="24"/>
          <w:highlight w:val="none"/>
          <w:lang w:eastAsia="zh-CN"/>
        </w:rPr>
        <w:t>：</w:t>
      </w:r>
      <w:r>
        <w:rPr>
          <w:rFonts w:hint="eastAsia" w:ascii="宋体" w:hAnsi="宋体" w:eastAsia="宋体" w:cs="宋体"/>
          <w:i w:val="0"/>
          <w:iCs w:val="0"/>
          <w:color w:val="auto"/>
          <w:spacing w:val="6"/>
          <w:kern w:val="0"/>
          <w:sz w:val="24"/>
          <w:szCs w:val="24"/>
          <w:u w:val="single"/>
          <w:lang w:val="en-US" w:eastAsia="zh-CN" w:bidi="ar"/>
        </w:rPr>
        <w:t xml:space="preserve">         </w:t>
      </w:r>
      <w:r>
        <w:rPr>
          <w:rFonts w:hint="eastAsia" w:ascii="宋体" w:hAnsi="宋体" w:eastAsia="宋体" w:cs="宋体"/>
          <w:color w:val="auto"/>
          <w:sz w:val="24"/>
          <w:szCs w:val="24"/>
          <w:highlight w:val="none"/>
          <w:lang w:val="en-US" w:eastAsia="zh-CN"/>
        </w:rPr>
        <w:t>。</w:t>
      </w:r>
    </w:p>
    <w:p w14:paraId="5926465A">
      <w:pPr>
        <w:keepNext w:val="0"/>
        <w:keepLines w:val="0"/>
        <w:pageBreakBefore w:val="0"/>
        <w:widowControl w:val="0"/>
        <w:kinsoku/>
        <w:wordWrap/>
        <w:autoSpaceDE w:val="0"/>
        <w:autoSpaceDN w:val="0"/>
        <w:bidi w:val="0"/>
        <w:adjustRightInd w:val="0"/>
        <w:snapToGrid/>
        <w:spacing w:line="480" w:lineRule="auto"/>
        <w:ind w:left="0" w:leftChars="0" w:firstLine="494" w:firstLineChars="205"/>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eastAsia="zh-CN"/>
        </w:rPr>
        <w:t>五</w:t>
      </w: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eastAsia="zh-CN"/>
        </w:rPr>
        <w:t>服务</w:t>
      </w:r>
      <w:r>
        <w:rPr>
          <w:rFonts w:hint="eastAsia" w:ascii="宋体" w:hAnsi="宋体" w:eastAsia="宋体" w:cs="宋体"/>
          <w:b/>
          <w:bCs w:val="0"/>
          <w:color w:val="auto"/>
          <w:sz w:val="24"/>
          <w:szCs w:val="24"/>
          <w:highlight w:val="none"/>
        </w:rPr>
        <w:t>质量标准及保证</w:t>
      </w:r>
    </w:p>
    <w:p w14:paraId="56E1D011">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乙方所供</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rPr>
        <w:t>来源渠道正规合法、质量保证完善，符合国际、国内相关标准或行业标准。</w:t>
      </w:r>
    </w:p>
    <w:p w14:paraId="190716D8">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乙提供的</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rPr>
        <w:t>产品不存在版权、产权纠纷，即乙方应保证甲方在使用成交</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rPr>
        <w:t>时，不承担任何涉及知识产权法律诉讼的责任。</w:t>
      </w:r>
    </w:p>
    <w:p w14:paraId="163FEF05">
      <w:pPr>
        <w:keepNext w:val="0"/>
        <w:keepLines w:val="0"/>
        <w:pageBreakBefore w:val="0"/>
        <w:widowControl w:val="0"/>
        <w:kinsoku/>
        <w:wordWrap/>
        <w:autoSpaceDE w:val="0"/>
        <w:autoSpaceDN w:val="0"/>
        <w:bidi w:val="0"/>
        <w:adjustRightInd w:val="0"/>
        <w:snapToGrid/>
        <w:spacing w:line="480" w:lineRule="auto"/>
        <w:ind w:left="0" w:leftChars="0" w:firstLine="499" w:firstLineChars="207"/>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、质保和售后服务</w:t>
      </w:r>
    </w:p>
    <w:p w14:paraId="0700CCE8">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供方所提供</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rPr>
        <w:t>产品须达到原厂质量标准，</w:t>
      </w:r>
      <w:r>
        <w:rPr>
          <w:rFonts w:hint="eastAsia" w:ascii="宋体" w:hAnsi="宋体" w:eastAsia="宋体" w:cs="宋体"/>
          <w:color w:val="auto"/>
          <w:sz w:val="24"/>
          <w:szCs w:val="24"/>
          <w:highlight w:val="none"/>
          <w:lang w:val="en-US" w:eastAsia="zh-CN"/>
        </w:rPr>
        <w:t>账号开通之后免费提供服务期限内质保</w:t>
      </w:r>
      <w:r>
        <w:rPr>
          <w:rFonts w:hint="eastAsia" w:ascii="宋体" w:hAnsi="宋体" w:eastAsia="宋体" w:cs="宋体"/>
          <w:color w:val="auto"/>
          <w:sz w:val="24"/>
          <w:szCs w:val="24"/>
          <w:highlight w:val="none"/>
        </w:rPr>
        <w:t>。</w:t>
      </w:r>
    </w:p>
    <w:p w14:paraId="6542FF27">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rPr>
        <w:t>期内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非人为因素</w:t>
      </w:r>
      <w:r>
        <w:rPr>
          <w:rFonts w:hint="eastAsia" w:ascii="宋体" w:hAnsi="宋体" w:eastAsia="宋体" w:cs="宋体"/>
          <w:color w:val="auto"/>
          <w:sz w:val="24"/>
          <w:szCs w:val="24"/>
          <w:highlight w:val="none"/>
          <w:lang w:eastAsia="zh-CN"/>
        </w:rPr>
        <w:t>服务产品</w:t>
      </w:r>
      <w:r>
        <w:rPr>
          <w:rFonts w:hint="eastAsia" w:ascii="宋体" w:hAnsi="宋体" w:eastAsia="宋体" w:cs="宋体"/>
          <w:color w:val="auto"/>
          <w:sz w:val="24"/>
          <w:szCs w:val="24"/>
          <w:highlight w:val="none"/>
        </w:rPr>
        <w:t>出现质量问题，</w:t>
      </w:r>
      <w:r>
        <w:rPr>
          <w:rFonts w:hint="eastAsia" w:ascii="宋体" w:hAnsi="宋体" w:eastAsia="宋体" w:cs="宋体"/>
          <w:color w:val="auto"/>
          <w:sz w:val="24"/>
          <w:szCs w:val="24"/>
          <w:highlight w:val="none"/>
          <w:lang w:val="en-US" w:eastAsia="zh-CN"/>
        </w:rPr>
        <w:t>由乙方</w:t>
      </w:r>
      <w:r>
        <w:rPr>
          <w:rFonts w:hint="eastAsia" w:ascii="宋体" w:hAnsi="宋体" w:eastAsia="宋体" w:cs="宋体"/>
          <w:color w:val="auto"/>
          <w:sz w:val="24"/>
          <w:szCs w:val="24"/>
          <w:highlight w:val="none"/>
        </w:rPr>
        <w:t>承担</w:t>
      </w:r>
      <w:r>
        <w:rPr>
          <w:rFonts w:hint="eastAsia" w:ascii="宋体" w:hAnsi="宋体" w:eastAsia="宋体" w:cs="宋体"/>
          <w:color w:val="auto"/>
          <w:sz w:val="24"/>
          <w:szCs w:val="24"/>
          <w:highlight w:val="none"/>
          <w:lang w:val="en-US" w:eastAsia="zh-CN"/>
        </w:rPr>
        <w:t>运维支持</w:t>
      </w:r>
      <w:r>
        <w:rPr>
          <w:rFonts w:hint="eastAsia" w:ascii="宋体" w:hAnsi="宋体" w:eastAsia="宋体" w:cs="宋体"/>
          <w:color w:val="auto"/>
          <w:sz w:val="24"/>
          <w:szCs w:val="24"/>
          <w:highlight w:val="none"/>
        </w:rPr>
        <w:t>的全部费用。</w:t>
      </w:r>
    </w:p>
    <w:p w14:paraId="646273CA">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3、本合同涉及服务期限:</w:t>
      </w:r>
      <w:r>
        <w:rPr>
          <w:rFonts w:hint="eastAsia" w:ascii="宋体" w:hAnsi="宋体" w:eastAsia="宋体" w:cs="宋体"/>
          <w:color w:val="auto"/>
          <w:sz w:val="24"/>
          <w:szCs w:val="24"/>
          <w:highlight w:val="none"/>
          <w:u w:val="single"/>
          <w:lang w:val="en-US" w:eastAsia="zh-CN"/>
        </w:rPr>
        <w:t xml:space="preserve">             </w:t>
      </w:r>
    </w:p>
    <w:p w14:paraId="4646010B">
      <w:pPr>
        <w:keepNext w:val="0"/>
        <w:keepLines w:val="0"/>
        <w:pageBreakBefore w:val="0"/>
        <w:widowControl w:val="0"/>
        <w:kinsoku/>
        <w:wordWrap/>
        <w:autoSpaceDE w:val="0"/>
        <w:autoSpaceDN w:val="0"/>
        <w:bidi w:val="0"/>
        <w:adjustRightInd w:val="0"/>
        <w:snapToGrid/>
        <w:spacing w:line="480" w:lineRule="auto"/>
        <w:ind w:left="0" w:leftChars="0" w:firstLine="499" w:firstLineChars="207"/>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eastAsia="zh-CN"/>
        </w:rPr>
        <w:t>七</w:t>
      </w:r>
      <w:r>
        <w:rPr>
          <w:rFonts w:hint="eastAsia" w:ascii="宋体" w:hAnsi="宋体" w:eastAsia="宋体" w:cs="宋体"/>
          <w:b/>
          <w:bCs w:val="0"/>
          <w:color w:val="auto"/>
          <w:sz w:val="24"/>
          <w:szCs w:val="24"/>
          <w:highlight w:val="none"/>
        </w:rPr>
        <w:t>、验收标准、方法及提出异议期限</w:t>
      </w:r>
    </w:p>
    <w:p w14:paraId="61573A00">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1、乙方提供的全部</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lang w:eastAsia="zh-CN"/>
        </w:rPr>
        <w:t>账号开通</w:t>
      </w:r>
      <w:r>
        <w:rPr>
          <w:rFonts w:hint="eastAsia" w:ascii="宋体" w:hAnsi="宋体" w:eastAsia="宋体" w:cs="宋体"/>
          <w:color w:val="auto"/>
          <w:sz w:val="24"/>
          <w:szCs w:val="24"/>
          <w:highlight w:val="none"/>
        </w:rPr>
        <w:t>，在达到使用条件时，由</w:t>
      </w:r>
      <w:r>
        <w:rPr>
          <w:rFonts w:hint="eastAsia" w:ascii="宋体" w:hAnsi="宋体" w:eastAsia="宋体" w:cs="宋体"/>
          <w:color w:val="auto"/>
          <w:sz w:val="24"/>
          <w:szCs w:val="24"/>
          <w:highlight w:val="none"/>
          <w:lang w:val="en-US" w:eastAsia="zh-CN"/>
        </w:rPr>
        <w:t>甲乙双</w:t>
      </w:r>
      <w:r>
        <w:rPr>
          <w:rFonts w:hint="eastAsia" w:ascii="宋体" w:hAnsi="宋体" w:eastAsia="宋体" w:cs="宋体"/>
          <w:color w:val="auto"/>
          <w:sz w:val="24"/>
          <w:szCs w:val="24"/>
          <w:highlight w:val="none"/>
        </w:rPr>
        <w:t>方和有关部门</w:t>
      </w:r>
      <w:r>
        <w:rPr>
          <w:rFonts w:hint="eastAsia" w:ascii="宋体" w:hAnsi="宋体" w:eastAsia="宋体" w:cs="宋体"/>
          <w:color w:val="auto"/>
          <w:sz w:val="24"/>
          <w:szCs w:val="24"/>
          <w:highlight w:val="none"/>
          <w:lang w:val="en-US" w:eastAsia="zh-CN"/>
        </w:rPr>
        <w:t>共同对服务内容</w:t>
      </w:r>
      <w:r>
        <w:rPr>
          <w:rFonts w:hint="eastAsia" w:ascii="宋体" w:hAnsi="宋体" w:eastAsia="宋体" w:cs="宋体"/>
          <w:color w:val="auto"/>
          <w:sz w:val="24"/>
          <w:szCs w:val="24"/>
          <w:highlight w:val="none"/>
        </w:rPr>
        <w:t>进行验收</w:t>
      </w:r>
      <w:r>
        <w:rPr>
          <w:rFonts w:hint="eastAsia" w:ascii="宋体" w:hAnsi="宋体" w:eastAsia="宋体" w:cs="宋体"/>
          <w:color w:val="auto"/>
          <w:sz w:val="24"/>
          <w:szCs w:val="24"/>
          <w:highlight w:val="none"/>
          <w:lang w:eastAsia="zh-CN"/>
        </w:rPr>
        <w:t>。</w:t>
      </w:r>
    </w:p>
    <w:p w14:paraId="41E8C973">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、验收标准：</w:t>
      </w:r>
      <w:r>
        <w:rPr>
          <w:rFonts w:hint="eastAsia" w:ascii="宋体" w:hAnsi="宋体" w:eastAsia="宋体" w:cs="宋体"/>
          <w:color w:val="auto"/>
          <w:sz w:val="24"/>
          <w:szCs w:val="24"/>
          <w:highlight w:val="none"/>
          <w:lang w:val="en-US" w:eastAsia="zh-CN"/>
        </w:rPr>
        <w:t>项目合同书和国家有关标准。</w:t>
      </w:r>
    </w:p>
    <w:p w14:paraId="3D4D4323">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、若发现</w:t>
      </w:r>
      <w:r>
        <w:rPr>
          <w:rFonts w:hint="eastAsia" w:ascii="宋体" w:hAnsi="宋体" w:eastAsia="宋体" w:cs="宋体"/>
          <w:color w:val="auto"/>
          <w:sz w:val="24"/>
          <w:szCs w:val="24"/>
          <w:highlight w:val="none"/>
          <w:lang w:eastAsia="zh-CN"/>
        </w:rPr>
        <w:t>服务内容</w:t>
      </w:r>
      <w:r>
        <w:rPr>
          <w:rFonts w:hint="eastAsia" w:ascii="宋体" w:hAnsi="宋体" w:eastAsia="宋体" w:cs="宋体"/>
          <w:color w:val="auto"/>
          <w:sz w:val="24"/>
          <w:szCs w:val="24"/>
          <w:highlight w:val="none"/>
        </w:rPr>
        <w:t>不全、不符合同约定，乙方</w:t>
      </w:r>
      <w:r>
        <w:rPr>
          <w:rFonts w:hint="eastAsia" w:ascii="宋体" w:hAnsi="宋体" w:eastAsia="宋体" w:cs="宋体"/>
          <w:color w:val="auto"/>
          <w:sz w:val="24"/>
          <w:szCs w:val="24"/>
          <w:highlight w:val="none"/>
          <w:lang w:val="en-US" w:eastAsia="zh-CN"/>
        </w:rPr>
        <w:t>应及时</w:t>
      </w:r>
      <w:r>
        <w:rPr>
          <w:rFonts w:hint="eastAsia" w:ascii="宋体" w:hAnsi="宋体" w:eastAsia="宋体" w:cs="宋体"/>
          <w:color w:val="auto"/>
          <w:sz w:val="24"/>
          <w:szCs w:val="24"/>
          <w:highlight w:val="none"/>
        </w:rPr>
        <w:t>补足、更换合格</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rPr>
        <w:t>。</w:t>
      </w:r>
    </w:p>
    <w:p w14:paraId="53836ABA">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、如有异议，甲方可在验收合格之日起</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个工作日之内以书面形式向乙方提出。乙方在接到甲方书面异议后，应在2个工作日内给予书面回复并着手处理。</w:t>
      </w:r>
    </w:p>
    <w:p w14:paraId="4E5BC644">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rPr>
      </w:pPr>
      <w:r>
        <w:rPr>
          <w:rFonts w:hint="eastAsia" w:ascii="宋体" w:hAnsi="宋体" w:eastAsia="宋体" w:cs="宋体"/>
          <w:color w:val="auto"/>
          <w:sz w:val="24"/>
          <w:szCs w:val="24"/>
          <w:highlight w:val="none"/>
          <w:lang w:val="en-US" w:eastAsia="zh-CN"/>
        </w:rPr>
        <w:t>5、若甲方无异议，服务产品交付达到验收标准，乙方提交验收报告单30天内，甲方无正当理由不进行验收工作并已使用服务产品的，视同已完成验收并验收合格。</w:t>
      </w:r>
    </w:p>
    <w:p w14:paraId="413182A7">
      <w:pPr>
        <w:keepNext w:val="0"/>
        <w:keepLines w:val="0"/>
        <w:pageBreakBefore w:val="0"/>
        <w:widowControl w:val="0"/>
        <w:kinsoku/>
        <w:wordWrap/>
        <w:autoSpaceDE w:val="0"/>
        <w:autoSpaceDN w:val="0"/>
        <w:bidi w:val="0"/>
        <w:adjustRightInd w:val="0"/>
        <w:snapToGrid/>
        <w:spacing w:line="480" w:lineRule="auto"/>
        <w:ind w:left="0" w:leftChars="0" w:firstLine="499" w:firstLineChars="207"/>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八、双方责任</w:t>
      </w:r>
    </w:p>
    <w:p w14:paraId="2DDB016F">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4.1甲方需提为乙方提供必要的服务产品交付场所、维护条件。</w:t>
      </w:r>
    </w:p>
    <w:p w14:paraId="3781A61E">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4.2乙方需按期完成本合同中所有服务产品的实施和维护服务。</w:t>
      </w:r>
    </w:p>
    <w:p w14:paraId="6987FFC8">
      <w:pPr>
        <w:keepNext w:val="0"/>
        <w:keepLines w:val="0"/>
        <w:pageBreakBefore w:val="0"/>
        <w:widowControl w:val="0"/>
        <w:kinsoku/>
        <w:wordWrap/>
        <w:autoSpaceDE w:val="0"/>
        <w:autoSpaceDN w:val="0"/>
        <w:bidi w:val="0"/>
        <w:adjustRightInd w:val="0"/>
        <w:snapToGrid/>
        <w:spacing w:line="480" w:lineRule="auto"/>
        <w:ind w:left="0" w:leftChars="0" w:firstLine="499" w:firstLineChars="207"/>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九、违约责任</w:t>
      </w:r>
    </w:p>
    <w:p w14:paraId="4BF8E598">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由于一方原因造成对方损失的，由责任方据实向对方赔偿损失。</w:t>
      </w:r>
    </w:p>
    <w:p w14:paraId="5F449BD1">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由于不可抗力因素造成的违约除外，不可抗力是指战争、动乱、自然灾害（如地震，雨雪天气）及不可预见的意外，如交通事故、空难等。</w:t>
      </w:r>
    </w:p>
    <w:p w14:paraId="7F21026A">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rPr>
        <w:t>因雨雪等极端恶劣天气导致本项目实施无法如期进行的，</w:t>
      </w:r>
      <w:r>
        <w:rPr>
          <w:rFonts w:hint="eastAsia" w:ascii="宋体" w:hAnsi="宋体" w:eastAsia="宋体" w:cs="宋体"/>
          <w:color w:val="auto"/>
          <w:sz w:val="24"/>
          <w:szCs w:val="24"/>
          <w:highlight w:val="none"/>
          <w:lang w:val="en-US" w:eastAsia="zh-CN"/>
        </w:rPr>
        <w:t>甲乙双方协商后，对本</w:t>
      </w:r>
      <w:r>
        <w:rPr>
          <w:rFonts w:hint="eastAsia" w:ascii="宋体" w:hAnsi="宋体" w:eastAsia="宋体" w:cs="宋体"/>
          <w:color w:val="auto"/>
          <w:sz w:val="24"/>
          <w:szCs w:val="24"/>
          <w:highlight w:val="none"/>
          <w:lang w:val="en-US"/>
        </w:rPr>
        <w:t>项目</w:t>
      </w:r>
      <w:r>
        <w:rPr>
          <w:rFonts w:hint="eastAsia" w:ascii="宋体" w:hAnsi="宋体" w:eastAsia="宋体" w:cs="宋体"/>
          <w:color w:val="auto"/>
          <w:sz w:val="24"/>
          <w:szCs w:val="24"/>
          <w:highlight w:val="none"/>
          <w:lang w:val="en-US" w:eastAsia="zh-CN"/>
        </w:rPr>
        <w:t>交付期限</w:t>
      </w:r>
      <w:r>
        <w:rPr>
          <w:rFonts w:hint="eastAsia" w:ascii="宋体" w:hAnsi="宋体" w:eastAsia="宋体" w:cs="宋体"/>
          <w:color w:val="auto"/>
          <w:sz w:val="24"/>
          <w:szCs w:val="24"/>
          <w:highlight w:val="none"/>
          <w:lang w:val="en-US"/>
        </w:rPr>
        <w:t>相应顺延。</w:t>
      </w:r>
    </w:p>
    <w:p w14:paraId="7C5719F1">
      <w:pPr>
        <w:keepNext w:val="0"/>
        <w:keepLines w:val="0"/>
        <w:pageBreakBefore w:val="0"/>
        <w:widowControl w:val="0"/>
        <w:kinsoku/>
        <w:wordWrap/>
        <w:autoSpaceDE w:val="0"/>
        <w:autoSpaceDN w:val="0"/>
        <w:bidi w:val="0"/>
        <w:adjustRightInd w:val="0"/>
        <w:snapToGrid/>
        <w:spacing w:line="480" w:lineRule="auto"/>
        <w:ind w:left="0" w:leftChars="0" w:firstLine="499" w:firstLineChars="207"/>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val="en-US" w:eastAsia="zh-CN"/>
        </w:rPr>
        <w:t>十</w:t>
      </w:r>
      <w:r>
        <w:rPr>
          <w:rFonts w:hint="eastAsia" w:ascii="宋体" w:hAnsi="宋体" w:eastAsia="宋体" w:cs="宋体"/>
          <w:b/>
          <w:bCs w:val="0"/>
          <w:color w:val="auto"/>
          <w:sz w:val="24"/>
          <w:szCs w:val="24"/>
          <w:highlight w:val="none"/>
        </w:rPr>
        <w:t>、不可抗力风险承担</w:t>
      </w:r>
    </w:p>
    <w:p w14:paraId="787F0838">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任何一方由于不可抗力的原因不能履行合同时，应及时书面通知对方不能履行或不能安全履行的理由，经双方协商一致后可延期履行、部分履行或者不履行合同，并根据情况可部分或全部免予承担违约责任。</w:t>
      </w:r>
    </w:p>
    <w:p w14:paraId="5A3FCC62">
      <w:pPr>
        <w:keepNext w:val="0"/>
        <w:keepLines w:val="0"/>
        <w:pageBreakBefore w:val="0"/>
        <w:widowControl w:val="0"/>
        <w:kinsoku/>
        <w:wordWrap/>
        <w:autoSpaceDE w:val="0"/>
        <w:autoSpaceDN w:val="0"/>
        <w:bidi w:val="0"/>
        <w:adjustRightInd w:val="0"/>
        <w:snapToGrid/>
        <w:spacing w:line="480" w:lineRule="auto"/>
        <w:ind w:left="0" w:leftChars="0" w:firstLine="499" w:firstLineChars="207"/>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十一、保密协议</w:t>
      </w:r>
    </w:p>
    <w:p w14:paraId="0B3AD6E7">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1、保密内容</w:t>
      </w:r>
    </w:p>
    <w:p w14:paraId="4450DA18">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本协议中的保密内容主要是指“</w:t>
      </w:r>
      <w:r>
        <w:rPr>
          <w:rFonts w:hint="eastAsia" w:ascii="宋体" w:hAnsi="宋体" w:eastAsia="宋体" w:cs="宋体"/>
          <w:color w:val="auto"/>
          <w:sz w:val="24"/>
          <w:szCs w:val="24"/>
          <w:lang w:val="en-US" w:eastAsia="zh-CN"/>
        </w:rPr>
        <w:t>XXXX项目</w:t>
      </w:r>
      <w:r>
        <w:rPr>
          <w:rFonts w:hint="eastAsia" w:ascii="宋体" w:hAnsi="宋体" w:eastAsia="宋体" w:cs="宋体"/>
          <w:color w:val="auto"/>
          <w:sz w:val="24"/>
          <w:szCs w:val="24"/>
          <w:highlight w:val="none"/>
          <w:lang w:val="en-US" w:eastAsia="zh-CN"/>
        </w:rPr>
        <w:t>”的相关信息，具体包括产品的品名、数量、品质要求、技术方案、技术指标、计算机软硬件、技术报告、测试报告、操作手册、技术文档、项目进度，双方约定应当保密的重要资料、尚未经甲方正式对外公布的其它资料以及甲方明确提出保密要求的资料或者信息。</w:t>
      </w:r>
    </w:p>
    <w:p w14:paraId="70ABBC66">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2、双方的权利和义务</w:t>
      </w:r>
    </w:p>
    <w:p w14:paraId="055B401E">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（1）乙方承诺对甲方上述秘密，以及所接触到的与甲方有关的其他机密资讯或文件资料保密，遵守甲方的保密制度，执行有关的保密工作程序。</w:t>
      </w:r>
    </w:p>
    <w:p w14:paraId="60267ED2">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（2）乙方应采取尽可能的措施对所有来自甲方的信息严格保密。</w:t>
      </w:r>
    </w:p>
    <w:p w14:paraId="461194F6">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（3）乙方不得通过任何途径将甲方秘密泄漏，并有义务采取措施确保保密工作的顺利进行。</w:t>
      </w:r>
    </w:p>
    <w:p w14:paraId="5E3BDD8E">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（4）除上述义务外，乙方应遵守甲方的有关保密制度以及本协议约定的保密义务。</w:t>
      </w:r>
    </w:p>
    <w:p w14:paraId="23C78046">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（5）甲方有权对乙方在该项目中的保密措施进行监督。</w:t>
      </w:r>
    </w:p>
    <w:p w14:paraId="576A894F">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3、违约责任</w:t>
      </w:r>
    </w:p>
    <w:p w14:paraId="63BF4483">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乙方及其工作人员违反保密协议规定，私自获取、非法持有、泄露或者以其他形式侵犯甲方的秘密，甲方有权要求乙方承担相应的违约责任。</w:t>
      </w:r>
    </w:p>
    <w:p w14:paraId="27D64FD6">
      <w:pPr>
        <w:keepNext w:val="0"/>
        <w:keepLines w:val="0"/>
        <w:pageBreakBefore w:val="0"/>
        <w:widowControl w:val="0"/>
        <w:kinsoku/>
        <w:wordWrap/>
        <w:autoSpaceDE w:val="0"/>
        <w:autoSpaceDN w:val="0"/>
        <w:bidi w:val="0"/>
        <w:adjustRightInd w:val="0"/>
        <w:snapToGrid/>
        <w:spacing w:line="480" w:lineRule="auto"/>
        <w:ind w:left="0" w:leftChars="0" w:firstLine="499" w:firstLineChars="207"/>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w:t>
      </w:r>
      <w:r>
        <w:rPr>
          <w:rFonts w:hint="eastAsia" w:ascii="宋体" w:hAnsi="宋体" w:eastAsia="宋体" w:cs="宋体"/>
          <w:b/>
          <w:bCs w:val="0"/>
          <w:color w:val="auto"/>
          <w:sz w:val="24"/>
          <w:szCs w:val="24"/>
          <w:highlight w:val="none"/>
          <w:lang w:val="en-US" w:eastAsia="zh-CN"/>
        </w:rPr>
        <w:t>二</w:t>
      </w:r>
      <w:r>
        <w:rPr>
          <w:rFonts w:hint="eastAsia" w:ascii="宋体" w:hAnsi="宋体" w:eastAsia="宋体" w:cs="宋体"/>
          <w:b/>
          <w:bCs w:val="0"/>
          <w:color w:val="auto"/>
          <w:sz w:val="24"/>
          <w:szCs w:val="24"/>
          <w:highlight w:val="none"/>
        </w:rPr>
        <w:t>、合同纠纷解决方式</w:t>
      </w:r>
    </w:p>
    <w:p w14:paraId="281E0313">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本合同在执行过程中出现的争议，甲乙双方协商解决，协商不成的</w:t>
      </w:r>
      <w:r>
        <w:rPr>
          <w:rFonts w:hint="eastAsia" w:ascii="宋体" w:hAnsi="宋体" w:eastAsia="宋体" w:cs="宋体"/>
          <w:color w:val="auto"/>
          <w:sz w:val="24"/>
          <w:szCs w:val="24"/>
          <w:highlight w:val="none"/>
          <w:lang w:val="en-US" w:eastAsia="zh-CN"/>
        </w:rPr>
        <w:t>通过司法程序解</w:t>
      </w:r>
      <w:r>
        <w:rPr>
          <w:rFonts w:hint="eastAsia" w:ascii="宋体" w:hAnsi="宋体" w:eastAsia="宋体" w:cs="宋体"/>
          <w:color w:val="auto"/>
          <w:sz w:val="24"/>
          <w:szCs w:val="24"/>
          <w:highlight w:val="none"/>
        </w:rPr>
        <w:t>决，甲乙双方须共同遵照执行。</w:t>
      </w:r>
    </w:p>
    <w:p w14:paraId="3D839C23">
      <w:pPr>
        <w:keepNext w:val="0"/>
        <w:keepLines w:val="0"/>
        <w:pageBreakBefore w:val="0"/>
        <w:widowControl w:val="0"/>
        <w:numPr>
          <w:ilvl w:val="0"/>
          <w:numId w:val="0"/>
        </w:numPr>
        <w:kinsoku/>
        <w:wordWrap/>
        <w:autoSpaceDE w:val="0"/>
        <w:autoSpaceDN w:val="0"/>
        <w:bidi w:val="0"/>
        <w:adjustRightInd w:val="0"/>
        <w:snapToGrid/>
        <w:spacing w:line="480" w:lineRule="auto"/>
        <w:ind w:left="0" w:leftChars="0" w:firstLine="482"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val="en-US" w:eastAsia="zh-CN"/>
        </w:rPr>
        <w:t>十三、</w:t>
      </w:r>
      <w:r>
        <w:rPr>
          <w:rFonts w:hint="eastAsia" w:ascii="宋体" w:hAnsi="宋体" w:eastAsia="宋体" w:cs="宋体"/>
          <w:b/>
          <w:bCs w:val="0"/>
          <w:color w:val="auto"/>
          <w:sz w:val="24"/>
          <w:szCs w:val="24"/>
          <w:highlight w:val="none"/>
        </w:rPr>
        <w:t>其它</w:t>
      </w:r>
    </w:p>
    <w:p w14:paraId="3090C676">
      <w:pPr>
        <w:keepNext w:val="0"/>
        <w:keepLines w:val="0"/>
        <w:pageBreakBefore w:val="0"/>
        <w:widowControl w:val="0"/>
        <w:numPr>
          <w:ilvl w:val="0"/>
          <w:numId w:val="1"/>
        </w:numPr>
        <w:kinsoku/>
        <w:wordWrap/>
        <w:autoSpaceDE w:val="0"/>
        <w:autoSpaceDN w:val="0"/>
        <w:bidi w:val="0"/>
        <w:adjustRightInd w:val="0"/>
        <w:snapToGrid/>
        <w:spacing w:line="48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本合同如有未尽事宜或在合同履行过程中有变更,甲乙双方可另行签订附则。</w:t>
      </w:r>
    </w:p>
    <w:p w14:paraId="256AC31F">
      <w:pPr>
        <w:keepNext w:val="0"/>
        <w:keepLines w:val="0"/>
        <w:pageBreakBefore w:val="0"/>
        <w:widowControl w:val="0"/>
        <w:numPr>
          <w:ilvl w:val="0"/>
          <w:numId w:val="0"/>
        </w:numPr>
        <w:kinsoku/>
        <w:wordWrap/>
        <w:autoSpaceDE w:val="0"/>
        <w:autoSpaceDN w:val="0"/>
        <w:bidi w:val="0"/>
        <w:adjustRightInd w:val="0"/>
        <w:snapToGrid/>
        <w:spacing w:line="48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合同附件为合同有效组成部分，与合同具有同等效力。</w:t>
      </w:r>
    </w:p>
    <w:p w14:paraId="2E7020A8">
      <w:pPr>
        <w:keepNext w:val="0"/>
        <w:keepLines w:val="0"/>
        <w:pageBreakBefore w:val="0"/>
        <w:widowControl w:val="0"/>
        <w:numPr>
          <w:ilvl w:val="0"/>
          <w:numId w:val="0"/>
        </w:numPr>
        <w:kinsoku/>
        <w:wordWrap/>
        <w:autoSpaceDE w:val="0"/>
        <w:autoSpaceDN w:val="0"/>
        <w:bidi w:val="0"/>
        <w:adjustRightInd w:val="0"/>
        <w:snapToGrid/>
        <w:spacing w:line="48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、本合同未尽事宜，甲乙双方协商解决，合同变更及修改必须经双方同意，并以书面形式变更。所补充和变更的合同与本合同具有同等的法律效力。</w:t>
      </w:r>
    </w:p>
    <w:p w14:paraId="714A7D21">
      <w:pPr>
        <w:keepNext w:val="0"/>
        <w:keepLines w:val="0"/>
        <w:pageBreakBefore w:val="0"/>
        <w:widowControl w:val="0"/>
        <w:kinsoku/>
        <w:wordWrap/>
        <w:autoSpaceDE w:val="0"/>
        <w:autoSpaceDN w:val="0"/>
        <w:bidi w:val="0"/>
        <w:adjustRightInd w:val="0"/>
        <w:snapToGrid/>
        <w:spacing w:line="480" w:lineRule="auto"/>
        <w:ind w:left="0" w:leftChars="0" w:firstLine="496" w:firstLineChars="20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、本合同</w:t>
      </w:r>
      <w:r>
        <w:rPr>
          <w:rFonts w:hint="eastAsia" w:ascii="宋体" w:hAnsi="宋体" w:eastAsia="宋体" w:cs="宋体"/>
          <w:color w:val="auto"/>
          <w:sz w:val="24"/>
          <w:szCs w:val="24"/>
          <w:highlight w:val="none"/>
          <w:lang w:eastAsia="zh-CN"/>
        </w:rPr>
        <w:t>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份，</w:t>
      </w:r>
      <w:r>
        <w:rPr>
          <w:rFonts w:hint="eastAsia" w:ascii="宋体" w:hAnsi="宋体" w:eastAsia="宋体" w:cs="宋体"/>
          <w:color w:val="auto"/>
          <w:sz w:val="24"/>
          <w:szCs w:val="24"/>
          <w:highlight w:val="none"/>
          <w:lang w:val="en-US" w:eastAsia="zh-CN"/>
        </w:rPr>
        <w:t>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份自双</w:t>
      </w:r>
      <w:r>
        <w:rPr>
          <w:rFonts w:hint="eastAsia" w:ascii="宋体" w:hAnsi="宋体" w:eastAsia="宋体" w:cs="宋体"/>
          <w:color w:val="auto"/>
          <w:sz w:val="24"/>
          <w:szCs w:val="24"/>
          <w:highlight w:val="none"/>
        </w:rPr>
        <w:t>方签字盖章后生效。</w:t>
      </w:r>
    </w:p>
    <w:p w14:paraId="0DACEE7E">
      <w:pPr>
        <w:pStyle w:val="3"/>
        <w:keepNext w:val="0"/>
        <w:keepLines w:val="0"/>
        <w:pageBreakBefore w:val="0"/>
        <w:widowControl w:val="0"/>
        <w:kinsoku/>
        <w:wordWrap/>
        <w:autoSpaceDE w:val="0"/>
        <w:autoSpaceDN w:val="0"/>
        <w:bidi w:val="0"/>
        <w:adjustRightInd w:val="0"/>
        <w:snapToGrid/>
        <w:spacing w:line="500" w:lineRule="exact"/>
        <w:textAlignment w:val="auto"/>
        <w:rPr>
          <w:rFonts w:hint="eastAsia" w:ascii="宋体" w:hAnsi="宋体" w:eastAsia="宋体" w:cs="宋体"/>
          <w:color w:val="auto"/>
          <w:szCs w:val="21"/>
          <w:highlight w:val="none"/>
        </w:rPr>
      </w:pPr>
    </w:p>
    <w:tbl>
      <w:tblPr>
        <w:tblStyle w:val="6"/>
        <w:tblW w:w="100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67"/>
        <w:gridCol w:w="5232"/>
      </w:tblGrid>
      <w:tr w14:paraId="72E41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5" w:hRule="atLeast"/>
          <w:jc w:val="center"/>
        </w:trPr>
        <w:tc>
          <w:tcPr>
            <w:tcW w:w="4867" w:type="dxa"/>
            <w:noWrap w:val="0"/>
            <w:vAlign w:val="top"/>
          </w:tcPr>
          <w:p w14:paraId="46C4703F">
            <w:pPr>
              <w:keepNext w:val="0"/>
              <w:keepLines w:val="0"/>
              <w:pageBreakBefore w:val="0"/>
              <w:widowControl w:val="0"/>
              <w:kinsoku/>
              <w:wordWrap/>
              <w:autoSpaceDE w:val="0"/>
              <w:autoSpaceDN w:val="0"/>
              <w:bidi w:val="0"/>
              <w:adjustRightInd w:val="0"/>
              <w:snapToGrid/>
              <w:spacing w:line="500" w:lineRule="exact"/>
              <w:ind w:right="-154" w:rightChars="-55"/>
              <w:textAlignment w:val="auto"/>
              <w:rPr>
                <w:rFonts w:hint="default" w:ascii="宋体" w:hAnsi="宋体" w:eastAsia="宋体" w:cs="宋体"/>
                <w:sz w:val="24"/>
                <w:szCs w:val="24"/>
                <w:lang w:val="en-US" w:eastAsia="zh-CN"/>
              </w:rPr>
            </w:pPr>
            <w:r>
              <w:rPr>
                <w:rFonts w:hint="eastAsia" w:ascii="宋体" w:hAnsi="宋体" w:eastAsia="宋体" w:cs="宋体"/>
                <w:sz w:val="24"/>
                <w:szCs w:val="24"/>
              </w:rPr>
              <w:t>甲  方：</w:t>
            </w:r>
          </w:p>
          <w:p w14:paraId="5F3715A8">
            <w:pPr>
              <w:keepNext w:val="0"/>
              <w:keepLines w:val="0"/>
              <w:pageBreakBefore w:val="0"/>
              <w:widowControl w:val="0"/>
              <w:kinsoku/>
              <w:wordWrap/>
              <w:autoSpaceDE w:val="0"/>
              <w:autoSpaceDN w:val="0"/>
              <w:bidi w:val="0"/>
              <w:adjustRightInd w:val="0"/>
              <w:snapToGrid/>
              <w:spacing w:line="500" w:lineRule="exact"/>
              <w:ind w:left="0" w:leftChars="0" w:right="-154" w:rightChars="-55"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地   址：</w:t>
            </w:r>
          </w:p>
          <w:p w14:paraId="0C47136C">
            <w:pPr>
              <w:keepNext w:val="0"/>
              <w:keepLines w:val="0"/>
              <w:pageBreakBefore w:val="0"/>
              <w:widowControl w:val="0"/>
              <w:kinsoku/>
              <w:wordWrap/>
              <w:autoSpaceDE w:val="0"/>
              <w:autoSpaceDN w:val="0"/>
              <w:bidi w:val="0"/>
              <w:adjustRightInd w:val="0"/>
              <w:snapToGrid/>
              <w:spacing w:line="500" w:lineRule="exact"/>
              <w:ind w:left="0" w:leftChars="0" w:right="-154" w:rightChars="-55"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法定代表人（或委托代理人）</w:t>
            </w:r>
            <w:r>
              <w:rPr>
                <w:rFonts w:hint="eastAsia" w:ascii="宋体" w:hAnsi="宋体" w:eastAsia="宋体" w:cs="宋体"/>
                <w:sz w:val="24"/>
                <w:szCs w:val="24"/>
                <w:lang w:eastAsia="zh-CN"/>
              </w:rPr>
              <w:t>：</w:t>
            </w:r>
          </w:p>
          <w:p w14:paraId="39A438D8">
            <w:pPr>
              <w:keepNext w:val="0"/>
              <w:keepLines w:val="0"/>
              <w:pageBreakBefore w:val="0"/>
              <w:widowControl w:val="0"/>
              <w:kinsoku/>
              <w:wordWrap/>
              <w:autoSpaceDE w:val="0"/>
              <w:autoSpaceDN w:val="0"/>
              <w:bidi w:val="0"/>
              <w:adjustRightInd w:val="0"/>
              <w:snapToGrid/>
              <w:spacing w:line="500" w:lineRule="exact"/>
              <w:ind w:left="0" w:leftChars="0" w:right="-154" w:rightChars="-55"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电   话：</w:t>
            </w:r>
            <w:r>
              <w:rPr>
                <w:rFonts w:hint="eastAsia" w:ascii="宋体" w:hAnsi="宋体" w:eastAsia="宋体" w:cs="宋体"/>
                <w:sz w:val="24"/>
                <w:szCs w:val="24"/>
                <w:lang w:val="en-US" w:eastAsia="zh-CN"/>
              </w:rPr>
              <w:t xml:space="preserve"> </w:t>
            </w:r>
          </w:p>
          <w:p w14:paraId="77774B03">
            <w:pPr>
              <w:keepNext w:val="0"/>
              <w:keepLines w:val="0"/>
              <w:pageBreakBefore w:val="0"/>
              <w:widowControl w:val="0"/>
              <w:kinsoku/>
              <w:wordWrap/>
              <w:autoSpaceDE w:val="0"/>
              <w:autoSpaceDN w:val="0"/>
              <w:bidi w:val="0"/>
              <w:adjustRightInd w:val="0"/>
              <w:snapToGrid/>
              <w:spacing w:line="500" w:lineRule="exact"/>
              <w:ind w:left="0" w:leftChars="0" w:right="-154" w:rightChars="-55" w:firstLine="0" w:firstLineChars="0"/>
              <w:textAlignment w:val="auto"/>
              <w:rPr>
                <w:rFonts w:hint="eastAsia" w:ascii="宋体" w:hAnsi="宋体" w:eastAsia="宋体" w:cs="宋体"/>
                <w:b/>
                <w:color w:val="000000"/>
                <w:sz w:val="24"/>
                <w:vertAlign w:val="baseline"/>
              </w:rPr>
            </w:pPr>
            <w:r>
              <w:rPr>
                <w:rFonts w:hint="eastAsia" w:ascii="宋体" w:hAnsi="宋体" w:eastAsia="宋体" w:cs="宋体"/>
                <w:sz w:val="24"/>
                <w:szCs w:val="24"/>
                <w:lang w:val="en-US" w:eastAsia="zh-CN"/>
              </w:rPr>
              <w:t>日   期</w:t>
            </w:r>
            <w:r>
              <w:rPr>
                <w:rFonts w:hint="eastAsia" w:ascii="宋体" w:hAnsi="宋体" w:eastAsia="宋体" w:cs="宋体"/>
                <w:sz w:val="24"/>
                <w:szCs w:val="24"/>
              </w:rPr>
              <w:t>：</w:t>
            </w:r>
            <w:r>
              <w:rPr>
                <w:rFonts w:hint="eastAsia" w:ascii="宋体" w:hAnsi="宋体" w:eastAsia="宋体" w:cs="宋体"/>
                <w:sz w:val="24"/>
                <w:szCs w:val="24"/>
              </w:rPr>
              <w:tab/>
            </w:r>
          </w:p>
        </w:tc>
        <w:tc>
          <w:tcPr>
            <w:tcW w:w="5232" w:type="dxa"/>
            <w:noWrap w:val="0"/>
            <w:vAlign w:val="top"/>
          </w:tcPr>
          <w:p w14:paraId="4857CF35">
            <w:pPr>
              <w:keepNext w:val="0"/>
              <w:keepLines w:val="0"/>
              <w:pageBreakBefore w:val="0"/>
              <w:widowControl w:val="0"/>
              <w:kinsoku/>
              <w:wordWrap/>
              <w:autoSpaceDE w:val="0"/>
              <w:autoSpaceDN w:val="0"/>
              <w:bidi w:val="0"/>
              <w:adjustRightInd w:val="0"/>
              <w:snapToGrid/>
              <w:spacing w:line="500" w:lineRule="exact"/>
              <w:ind w:left="0" w:leftChars="0" w:right="-154" w:rightChars="-55"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zh-CN" w:eastAsia="zh-CN"/>
              </w:rPr>
              <w:t>乙  方：</w:t>
            </w:r>
          </w:p>
          <w:p w14:paraId="0E283B58">
            <w:pPr>
              <w:keepNext w:val="0"/>
              <w:keepLines w:val="0"/>
              <w:pageBreakBefore w:val="0"/>
              <w:widowControl w:val="0"/>
              <w:kinsoku/>
              <w:wordWrap/>
              <w:autoSpaceDE w:val="0"/>
              <w:autoSpaceDN w:val="0"/>
              <w:bidi w:val="0"/>
              <w:adjustRightInd w:val="0"/>
              <w:snapToGrid/>
              <w:spacing w:line="500" w:lineRule="exact"/>
              <w:ind w:left="0" w:leftChars="0" w:right="-154" w:rightChars="-55"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地  址：</w:t>
            </w:r>
          </w:p>
          <w:p w14:paraId="37199B1B">
            <w:pPr>
              <w:keepNext w:val="0"/>
              <w:keepLines w:val="0"/>
              <w:pageBreakBefore w:val="0"/>
              <w:widowControl w:val="0"/>
              <w:kinsoku/>
              <w:wordWrap/>
              <w:autoSpaceDE w:val="0"/>
              <w:autoSpaceDN w:val="0"/>
              <w:bidi w:val="0"/>
              <w:adjustRightInd w:val="0"/>
              <w:snapToGrid/>
              <w:spacing w:line="500" w:lineRule="exact"/>
              <w:ind w:left="0" w:leftChars="0" w:right="-154" w:rightChars="-55"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法定代表人（或委托代理人）：</w:t>
            </w:r>
          </w:p>
          <w:p w14:paraId="5AD9C670">
            <w:pPr>
              <w:keepNext w:val="0"/>
              <w:keepLines w:val="0"/>
              <w:pageBreakBefore w:val="0"/>
              <w:widowControl w:val="0"/>
              <w:kinsoku/>
              <w:wordWrap/>
              <w:autoSpaceDE w:val="0"/>
              <w:autoSpaceDN w:val="0"/>
              <w:bidi w:val="0"/>
              <w:adjustRightInd w:val="0"/>
              <w:snapToGrid/>
              <w:spacing w:line="500" w:lineRule="exact"/>
              <w:ind w:left="0" w:leftChars="0" w:right="-154" w:rightChars="-55"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   话：</w:t>
            </w:r>
          </w:p>
          <w:p w14:paraId="39DECEE6">
            <w:pPr>
              <w:keepNext w:val="0"/>
              <w:keepLines w:val="0"/>
              <w:pageBreakBefore w:val="0"/>
              <w:widowControl w:val="0"/>
              <w:kinsoku/>
              <w:wordWrap/>
              <w:autoSpaceDE w:val="0"/>
              <w:autoSpaceDN w:val="0"/>
              <w:bidi w:val="0"/>
              <w:adjustRightInd w:val="0"/>
              <w:snapToGrid/>
              <w:spacing w:line="500" w:lineRule="exact"/>
              <w:ind w:left="0" w:leftChars="0" w:right="-154" w:rightChars="-55"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期</w:t>
            </w:r>
            <w:r>
              <w:rPr>
                <w:rFonts w:hint="eastAsia" w:ascii="宋体" w:hAnsi="宋体" w:eastAsia="宋体" w:cs="宋体"/>
                <w:sz w:val="24"/>
                <w:szCs w:val="24"/>
                <w:lang w:eastAsia="zh-CN"/>
              </w:rPr>
              <w:t>：</w:t>
            </w:r>
          </w:p>
        </w:tc>
      </w:tr>
    </w:tbl>
    <w:p w14:paraId="113C976F">
      <w:pPr>
        <w:spacing w:line="560" w:lineRule="exact"/>
        <w:ind w:left="0" w:leftChars="0" w:right="-154" w:rightChars="-55" w:firstLine="0" w:firstLineChars="0"/>
        <w:jc w:val="both"/>
        <w:rPr>
          <w:rFonts w:hint="eastAsia" w:ascii="宋体" w:hAnsi="宋体" w:eastAsia="宋体" w:cs="宋体"/>
          <w:sz w:val="22"/>
          <w:szCs w:val="22"/>
          <w:lang w:val="en-US" w:eastAsia="zh-CN"/>
        </w:rPr>
      </w:pPr>
    </w:p>
    <w:p w14:paraId="1A9C11E2">
      <w:bookmarkStart w:id="0" w:name="_GoBack"/>
      <w:bookmarkEnd w:id="0"/>
    </w:p>
    <w:sectPr>
      <w:footerReference r:id="rId4" w:type="first"/>
      <w:footerReference r:id="rId3" w:type="default"/>
      <w:pgSz w:w="11906" w:h="16838"/>
      <w:pgMar w:top="1440" w:right="1417" w:bottom="1587" w:left="1417" w:header="907"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0836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93B0134">
                          <w:pPr>
                            <w:pStyle w:val="4"/>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11</w:t>
                          </w:r>
                          <w:r>
                            <w:rPr>
                              <w:rFonts w:hint="eastAsia" w:ascii="宋体" w:hAnsi="宋体" w:cs="宋体"/>
                            </w:rPr>
                            <w:fldChar w:fldCharType="end"/>
                          </w:r>
                          <w:r>
                            <w:rPr>
                              <w:rFonts w:hint="eastAsia" w:ascii="宋体" w:hAnsi="宋体" w:cs="宋体"/>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path/>
              <v:fill on="f" focussize="0,0"/>
              <v:stroke on="f" weight="1.25pt"/>
              <v:imagedata o:title=""/>
              <o:lock v:ext="edit" aspectratio="f"/>
              <v:textbox inset="0mm,0mm,0mm,0mm" style="mso-fit-shape-to-text:t;">
                <w:txbxContent>
                  <w:p w14:paraId="393B0134">
                    <w:pPr>
                      <w:pStyle w:val="4"/>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11</w:t>
                    </w:r>
                    <w:r>
                      <w:rPr>
                        <w:rFonts w:hint="eastAsia" w:ascii="宋体" w:hAnsi="宋体" w:cs="宋体"/>
                      </w:rPr>
                      <w:fldChar w:fldCharType="end"/>
                    </w:r>
                    <w:r>
                      <w:rPr>
                        <w:rFonts w:hint="eastAsia" w:ascii="宋体" w:hAnsi="宋体" w:cs="宋体"/>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09B51">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58E0DBB">
                          <w:pPr>
                            <w:pStyle w:val="4"/>
                            <w:rPr>
                              <w:rFonts w:hint="eastAsia" w:ascii="宋体" w:hAnsi="宋体" w:cs="宋体"/>
                            </w:rPr>
                          </w:pPr>
                          <w:r>
                            <w:rPr>
                              <w:rFonts w:hint="eastAsia" w:ascii="宋体" w:hAnsi="宋体" w:cs="宋体"/>
                            </w:rPr>
                            <w:t xml:space="preserve">第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w:t>
                          </w:r>
                          <w:r>
                            <w:rPr>
                              <w:rFonts w:hint="eastAsia" w:ascii="宋体" w:hAnsi="宋体" w:cs="宋体"/>
                            </w:rPr>
                            <w:fldChar w:fldCharType="end"/>
                          </w:r>
                          <w:r>
                            <w:rPr>
                              <w:rFonts w:hint="eastAsia" w:ascii="宋体" w:hAnsi="宋体" w:cs="宋体"/>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14:paraId="058E0DBB">
                    <w:pPr>
                      <w:pStyle w:val="4"/>
                      <w:rPr>
                        <w:rFonts w:hint="eastAsia" w:ascii="宋体" w:hAnsi="宋体" w:cs="宋体"/>
                      </w:rPr>
                    </w:pPr>
                    <w:r>
                      <w:rPr>
                        <w:rFonts w:hint="eastAsia" w:ascii="宋体" w:hAnsi="宋体" w:cs="宋体"/>
                      </w:rPr>
                      <w:t xml:space="preserve">第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w:t>
                    </w:r>
                    <w:r>
                      <w:rPr>
                        <w:rFonts w:hint="eastAsia" w:ascii="宋体" w:hAnsi="宋体" w:cs="宋体"/>
                      </w:rPr>
                      <w:fldChar w:fldCharType="end"/>
                    </w:r>
                    <w:r>
                      <w:rPr>
                        <w:rFonts w:hint="eastAsia" w:ascii="宋体" w:hAnsi="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75EA71"/>
    <w:multiLevelType w:val="singleLevel"/>
    <w:tmpl w:val="A075EA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7B1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2026-07-24T08:48:52Z</dcterms:created>
  <dc:creator>Lenovo</dc:creator>
  <cp:lastModifiedBy>沁雨忧馨</cp:lastModifiedBy>
  <dcterms:modified xsi:type="dcterms:W3CDTF">2026-07-24T08:48:58Z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eyJoZGlkIjoiYTdmNDk5ODQ3Y2I1ZTYzNTVkODhkYTNmODU4ZjQyNWMiLCJ1c2VySWQiOiI1NTE5NDgxOTIifQ==</vt:lpwstr>
  </property>
  <property fmtid="{D5CDD505-2E9C-101B-9397-08002B2CF9AE}" pid="4" name="ICV">
    <vt:lpwstr>585F663137D44A77A8952D17C7F41908_12</vt:lpwstr>
  </property>
</Properties>
</file>