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版本号：ZXZB-CG2026-206.1B220260604001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醇基液体燃料等20种产品质量监督抽查(三次)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ZXZB-CG2026-206.1B2</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陕西中信项目咨询有限公司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陕西中信项目咨询有限公司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醇基液体燃料等20种产品质量监督抽查(三次)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ZXZB-CG2026-206.1B2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醇基液体燃料等20种产品质量监督抽查(三次)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醇基液体燃料等20种产品质量监督抽查。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3、具有履行合同所必需的设备和专业技术能力：提供具有履行合同所必需的设备和专业技术能力的承诺书。</w:t>
      </w:r>
    </w:p>
    <w:p>
      <w:pPr>
        <w:pStyle w:val="null3"/>
      </w:pPr>
      <w:r>
        <w:rPr>
          <w:rFonts w:ascii="仿宋_GB2312" w:hAnsi="仿宋_GB2312" w:cs="仿宋_GB2312" w:eastAsia="仿宋_GB2312"/>
        </w:rPr>
        <w:t>4、有依法缴纳税收的良好记录：提供2025年6月至今已缴纳的至少一个月的纳税证明或完税证明，依法免税的单位应提供相关证明材料。</w:t>
      </w:r>
    </w:p>
    <w:p>
      <w:pPr>
        <w:pStyle w:val="null3"/>
      </w:pPr>
      <w:r>
        <w:rPr>
          <w:rFonts w:ascii="仿宋_GB2312" w:hAnsi="仿宋_GB2312" w:cs="仿宋_GB2312" w:eastAsia="仿宋_GB2312"/>
        </w:rPr>
        <w:t>5、有依法缴纳社会保障资金的良好记录：提供2025年6月至今已缴存的至少一个月的社会保障资金缴存单据或社保机构开具的社会保险参保缴费情况证明，依法不需要缴纳社会保障资金的单位应提供相关证明材料。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p>
      <w:pPr>
        <w:pStyle w:val="null3"/>
      </w:pPr>
      <w:r>
        <w:rPr>
          <w:rFonts w:ascii="仿宋_GB2312" w:hAnsi="仿宋_GB2312" w:cs="仿宋_GB2312" w:eastAsia="仿宋_GB2312"/>
        </w:rPr>
        <w:t>7、法定代表人（主要负责人）授权委托书/身份证明：法定代表人参与投标时，提供法定代表人身份证明；授权代表参与投标时，提供法人授权委托书。</w:t>
      </w:r>
    </w:p>
    <w:p>
      <w:pPr>
        <w:pStyle w:val="null3"/>
      </w:pPr>
      <w:r>
        <w:rPr>
          <w:rFonts w:ascii="仿宋_GB2312" w:hAnsi="仿宋_GB2312" w:cs="仿宋_GB2312" w:eastAsia="仿宋_GB2312"/>
        </w:rPr>
        <w:t>8、其他要求：本项目不接受从事承检产品生产、经营活动的供应商参与投标，供应商须提供相关声明。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陕西省西安市碑林区陕西省西安市碑林区和平路71号综合楼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孔仙、贾雅楠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029-87216602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代理服务费收费标准：代理服务费的收取参照《国家计委关于印发&lt;招标代理服务收费管理暂行办法&gt;的通知》（计价格[2002]1980 号）和《国家发展改革委办公厅关于招标代理服务收费有关问题的通知》（发改办价格[2003]857 号）规定标准收取，不足 8000 元的按 8000 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陕西中信项目咨询有限公司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 7）履约验收时间： 供应商提出验收申请之日起10日内组织验收。 8）验收组织的其他事项：/ 9）技术履约验收内容：详见“技术参数与性能指标”。 10）商务履约验收内容：详见采购文件“商务要求”。 11）履约验收标准：以采购文件及合同约定为准。验收依据:合同文本，招标文件，招标响应文件，供应商所出具的检验报告满足国家或行业规范执行标准。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联系人：孔仙、贾雅楠</w:t>
      </w:r>
    </w:p>
    <w:p>
      <w:pPr>
        <w:pStyle w:val="null3"/>
      </w:pPr>
      <w:r>
        <w:rPr>
          <w:rFonts w:ascii="仿宋_GB2312" w:hAnsi="仿宋_GB2312" w:cs="仿宋_GB2312" w:eastAsia="仿宋_GB2312"/>
        </w:rPr>
        <w:t>联系电话：029-87216602、18778673762</w:t>
      </w:r>
    </w:p>
    <w:p>
      <w:pPr>
        <w:pStyle w:val="null3"/>
      </w:pPr>
      <w:r>
        <w:rPr>
          <w:rFonts w:ascii="仿宋_GB2312" w:hAnsi="仿宋_GB2312" w:cs="仿宋_GB2312" w:eastAsia="仿宋_GB2312"/>
        </w:rPr>
        <w:t>地址：陕西省西安市碑林区和平路 71 号综合楼 5 楼 505 室</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醇基液体燃料等20种产品质量监督抽查。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596,000.00</w:t>
      </w:r>
    </w:p>
    <w:p>
      <w:pPr>
        <w:pStyle w:val="null3"/>
      </w:pPr>
      <w:r>
        <w:rPr>
          <w:rFonts w:ascii="仿宋_GB2312" w:hAnsi="仿宋_GB2312" w:cs="仿宋_GB2312" w:eastAsia="仿宋_GB2312"/>
        </w:rPr>
        <w:t>采购包最高限价（元）: 596,000.00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泵（潜水电泵）等4种产品质量监督抽查</w:t>
            </w:r>
          </w:p>
        </w:tc>
        <w:tc>
          <w:tcPr>
            <w:tcW w:type="dxa" w:w="755"/>
          </w:tcPr>
          <w:p>
            <w:pPr>
              <w:pStyle w:val="null3"/>
              <w:jc w:val="right"/>
            </w:pPr>
            <w:r>
              <w:rPr>
                <w:rFonts w:ascii="仿宋_GB2312" w:hAnsi="仿宋_GB2312" w:cs="仿宋_GB2312" w:eastAsia="仿宋_GB2312"/>
              </w:rPr>
              <w:t>74.00</w:t>
            </w:r>
          </w:p>
        </w:tc>
        <w:tc>
          <w:tcPr>
            <w:tcW w:type="dxa" w:w="755"/>
          </w:tcPr>
          <w:p>
            <w:pPr>
              <w:pStyle w:val="null3"/>
              <w:jc w:val="right"/>
            </w:pPr>
            <w:r>
              <w:rPr>
                <w:rFonts w:ascii="仿宋_GB2312" w:hAnsi="仿宋_GB2312" w:cs="仿宋_GB2312" w:eastAsia="仿宋_GB2312"/>
              </w:rPr>
              <w:t>596,000.00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标的名称：泵（潜水电泵）等4种产品质量监督抽查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9"/>
              <w:gridCol w:w="203"/>
              <w:gridCol w:w="199"/>
              <w:gridCol w:w="212"/>
              <w:gridCol w:w="229"/>
              <w:gridCol w:w="245"/>
              <w:gridCol w:w="267"/>
              <w:gridCol w:w="1013"/>
            </w:tblGrid>
            <w:tr>
              <w:tc>
                <w:tcPr>
                  <w:tcW w:type="dxa" w:w="16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20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产品名称</w:t>
                  </w:r>
                </w:p>
              </w:tc>
              <w:tc>
                <w:tcPr>
                  <w:tcW w:type="dxa" w:w="19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购样</w:t>
                  </w:r>
                  <w:r>
                    <w:br/>
                  </w:r>
                  <w:r>
                    <w:rPr>
                      <w:rFonts w:ascii="仿宋_GB2312" w:hAnsi="仿宋_GB2312" w:cs="仿宋_GB2312" w:eastAsia="仿宋_GB2312"/>
                      <w:sz w:val="18"/>
                      <w:b/>
                    </w:rPr>
                    <w:t>单批次价格</w:t>
                  </w:r>
                  <w:r>
                    <w:br/>
                  </w:r>
                  <w:r>
                    <w:rPr>
                      <w:rFonts w:ascii="仿宋_GB2312" w:hAnsi="仿宋_GB2312" w:cs="仿宋_GB2312" w:eastAsia="仿宋_GB2312"/>
                      <w:sz w:val="18"/>
                      <w:b/>
                    </w:rPr>
                    <w:t>（万元/批次）</w:t>
                  </w:r>
                </w:p>
              </w:tc>
              <w:tc>
                <w:tcPr>
                  <w:tcW w:type="dxa" w:w="44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定价招标，增加总批次数</w:t>
                  </w:r>
                </w:p>
              </w:tc>
              <w:tc>
                <w:tcPr>
                  <w:tcW w:type="dxa" w:w="2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批次递增，购样费用累加</w:t>
                  </w:r>
                  <w:r>
                    <w:br/>
                  </w:r>
                  <w:r>
                    <w:rPr>
                      <w:rFonts w:ascii="仿宋_GB2312" w:hAnsi="仿宋_GB2312" w:cs="仿宋_GB2312" w:eastAsia="仿宋_GB2312"/>
                      <w:sz w:val="18"/>
                      <w:b/>
                    </w:rPr>
                    <w:t>（万元）</w:t>
                  </w:r>
                </w:p>
              </w:tc>
              <w:tc>
                <w:tcPr>
                  <w:tcW w:type="dxa" w:w="26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总抽检费</w:t>
                  </w:r>
                  <w:r>
                    <w:br/>
                  </w:r>
                  <w:r>
                    <w:rPr>
                      <w:rFonts w:ascii="仿宋_GB2312" w:hAnsi="仿宋_GB2312" w:cs="仿宋_GB2312" w:eastAsia="仿宋_GB2312"/>
                      <w:sz w:val="18"/>
                      <w:b/>
                    </w:rPr>
                    <w:t>（万元）</w:t>
                  </w:r>
                </w:p>
              </w:tc>
              <w:tc>
                <w:tcPr>
                  <w:tcW w:type="dxa" w:w="101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执行标准及检验项目</w:t>
                  </w:r>
                </w:p>
              </w:tc>
            </w:tr>
            <w:tr>
              <w:tc>
                <w:tcPr>
                  <w:tcW w:type="dxa" w:w="16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99"/>
                  <w:vMerge/>
                  <w:tcBorders>
                    <w:top w:val="single" w:color="000000" w:sz="4"/>
                    <w:left w:val="single" w:color="000000" w:sz="4"/>
                    <w:bottom w:val="single" w:color="000000" w:sz="4"/>
                    <w:right w:val="single" w:color="000000" w:sz="4"/>
                  </w:tcBorders>
                </w:tcPr>
                <w:p/>
              </w:tc>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总批次数</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其中网抽批次数</w:t>
                  </w:r>
                </w:p>
              </w:tc>
              <w:tc>
                <w:tcPr>
                  <w:tcW w:type="dxa" w:w="245"/>
                  <w:vMerge/>
                  <w:tcBorders>
                    <w:top w:val="single" w:color="000000" w:sz="4"/>
                    <w:left w:val="single" w:color="000000" w:sz="4"/>
                    <w:bottom w:val="single" w:color="000000" w:sz="4"/>
                    <w:right w:val="single" w:color="000000" w:sz="4"/>
                  </w:tcBorders>
                </w:tcPr>
                <w:p/>
              </w:tc>
              <w:tc>
                <w:tcPr>
                  <w:tcW w:type="dxa" w:w="267"/>
                  <w:vMerge/>
                  <w:tcBorders>
                    <w:top w:val="single" w:color="000000" w:sz="4"/>
                    <w:left w:val="single" w:color="000000" w:sz="4"/>
                    <w:bottom w:val="single" w:color="000000" w:sz="4"/>
                    <w:right w:val="single" w:color="000000" w:sz="4"/>
                  </w:tcBorders>
                </w:tcPr>
                <w:p/>
              </w:tc>
              <w:tc>
                <w:tcPr>
                  <w:tcW w:type="dxa" w:w="1013"/>
                  <w:vMerge/>
                  <w:tcBorders>
                    <w:top w:val="single" w:color="000000" w:sz="4"/>
                    <w:left w:val="single" w:color="000000" w:sz="4"/>
                    <w:bottom w:val="single" w:color="000000" w:sz="4"/>
                    <w:right w:val="single" w:color="000000" w:sz="4"/>
                  </w:tcBorders>
                </w:tcPr>
                <w:p/>
              </w:tc>
            </w:tr>
            <w:tr>
              <w:tc>
                <w:tcPr>
                  <w:tcW w:type="dxa" w:w="16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99"/>
                  <w:vMerge/>
                  <w:tcBorders>
                    <w:top w:val="single" w:color="000000" w:sz="4"/>
                    <w:left w:val="single" w:color="000000" w:sz="4"/>
                    <w:bottom w:val="single" w:color="000000" w:sz="4"/>
                    <w:right w:val="single" w:color="000000" w:sz="4"/>
                  </w:tcBorders>
                </w:tcPr>
                <w:p/>
              </w:tc>
              <w:tc>
                <w:tcPr>
                  <w:tcW w:type="dxa" w:w="212"/>
                  <w:vMerge/>
                  <w:tcBorders>
                    <w:top w:val="none" w:color="000000" w:sz="4"/>
                    <w:left w:val="single" w:color="000000" w:sz="4"/>
                    <w:bottom w:val="single" w:color="000000" w:sz="4"/>
                    <w:right w:val="singl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5"/>
                  <w:vMerge/>
                  <w:tcBorders>
                    <w:top w:val="single" w:color="000000" w:sz="4"/>
                    <w:left w:val="single" w:color="000000" w:sz="4"/>
                    <w:bottom w:val="single" w:color="000000" w:sz="4"/>
                    <w:right w:val="single" w:color="000000" w:sz="4"/>
                  </w:tcBorders>
                </w:tcPr>
                <w:p/>
              </w:tc>
              <w:tc>
                <w:tcPr>
                  <w:tcW w:type="dxa" w:w="267"/>
                  <w:vMerge/>
                  <w:tcBorders>
                    <w:top w:val="single" w:color="000000" w:sz="4"/>
                    <w:left w:val="single" w:color="000000" w:sz="4"/>
                    <w:bottom w:val="single" w:color="000000" w:sz="4"/>
                    <w:right w:val="single" w:color="000000" w:sz="4"/>
                  </w:tcBorders>
                </w:tcPr>
                <w:p/>
              </w:tc>
              <w:tc>
                <w:tcPr>
                  <w:tcW w:type="dxa" w:w="1013"/>
                  <w:vMerge/>
                  <w:tcBorders>
                    <w:top w:val="single" w:color="000000" w:sz="4"/>
                    <w:left w:val="singl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泵（潜水电泵）</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w:t>
                  </w:r>
                </w:p>
              </w:tc>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不破坏性检测，退还样品</w:t>
                  </w:r>
                </w:p>
              </w:tc>
              <w:tc>
                <w:tcPr>
                  <w:tcW w:type="dxa" w:w="2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59.6</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GB/T 2816-2014；GB/T 2818-2014；GB/T 24674-2021；GB/T 25409-2010过载保护、接地措施、绝缘电阻、电泵引出电缆、定子绕组耐电压、效率、规定点流量与扬程、功率因数、定子温升限值、电机内腔水（气）压试验、安全标志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耕整机（手扶微型耕耘机）</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w:t>
                  </w:r>
                </w:p>
              </w:tc>
              <w:tc>
                <w:tcPr>
                  <w:tcW w:type="dxa" w:w="245"/>
                  <w:vMerge/>
                  <w:tcBorders>
                    <w:top w:val="none" w:color="000000" w:sz="4"/>
                    <w:left w:val="single" w:color="000000" w:sz="4"/>
                    <w:bottom w:val="single" w:color="000000" w:sz="4"/>
                    <w:right w:val="single" w:color="000000" w:sz="4"/>
                  </w:tcBorders>
                </w:tcPr>
                <w:p/>
              </w:tc>
              <w:tc>
                <w:tcPr>
                  <w:tcW w:type="dxa" w:w="267"/>
                  <w:vMerge/>
                  <w:tcBorders>
                    <w:top w:val="none" w:color="000000" w:sz="4"/>
                    <w:left w:val="single" w:color="000000" w:sz="4"/>
                    <w:bottom w:val="single" w:color="000000" w:sz="4"/>
                    <w:right w:val="single" w:color="000000" w:sz="4"/>
                  </w:tcBorders>
                </w:tc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10395.10－2006 ；GB 10396－2006 ；JB/T 10266－2013安全要求、握持运行控制装置性能、握持运行控制装置影响发动机、安全标志、驾驶员操作位置噪声、定置环境噪声、起动性能、操纵手柄、操纵力、操纵柄自动回位、油门操纵机构</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机动脱粒机</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w:t>
                  </w:r>
                </w:p>
              </w:tc>
              <w:tc>
                <w:tcPr>
                  <w:tcW w:type="dxa" w:w="245"/>
                  <w:vMerge/>
                  <w:tcBorders>
                    <w:top w:val="none" w:color="000000" w:sz="4"/>
                    <w:left w:val="single" w:color="000000" w:sz="4"/>
                    <w:bottom w:val="single" w:color="000000" w:sz="4"/>
                    <w:right w:val="single" w:color="000000" w:sz="4"/>
                  </w:tcBorders>
                </w:tcPr>
                <w:p/>
              </w:tc>
              <w:tc>
                <w:tcPr>
                  <w:tcW w:type="dxa" w:w="267"/>
                  <w:vMerge/>
                  <w:tcBorders>
                    <w:top w:val="none" w:color="000000" w:sz="4"/>
                    <w:left w:val="single" w:color="000000" w:sz="4"/>
                    <w:bottom w:val="single" w:color="000000" w:sz="4"/>
                    <w:right w:val="single" w:color="000000" w:sz="4"/>
                  </w:tcBorders>
                </w:tc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10396-2006；GB/T 23821-2022；JB/T 9777-2018；JB/T 9778-2018；JB/T 10749-2018：喂入装置、防护装置、紧固件、噪声、轴承温升、空载运转、安全标志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播种机</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w:t>
                  </w:r>
                </w:p>
              </w:tc>
              <w:tc>
                <w:tcPr>
                  <w:tcW w:type="dxa" w:w="245"/>
                  <w:vMerge/>
                  <w:tcBorders>
                    <w:top w:val="none" w:color="000000" w:sz="4"/>
                    <w:left w:val="single" w:color="000000" w:sz="4"/>
                    <w:bottom w:val="single" w:color="000000" w:sz="4"/>
                    <w:right w:val="single" w:color="000000" w:sz="4"/>
                  </w:tcBorders>
                </w:tcPr>
                <w:p/>
              </w:tc>
              <w:tc>
                <w:tcPr>
                  <w:tcW w:type="dxa" w:w="267"/>
                  <w:vMerge/>
                  <w:tcBorders>
                    <w:top w:val="none" w:color="000000" w:sz="4"/>
                    <w:left w:val="single" w:color="000000" w:sz="4"/>
                    <w:bottom w:val="single" w:color="000000" w:sz="4"/>
                    <w:right w:val="single" w:color="000000" w:sz="4"/>
                  </w:tcBorders>
                </w:tc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10395.9-2014；GB/T 20865-2017；JB/T 6274.1-2013；JB/T 8401.1-2017；JB/T 10293-2013安全要求、料箱、工作台、划行器、装载、安全标志</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所配备人员充足且专业能力满足采购需求，可保证本项目顺利实施。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所提供设施设备充足先进，满足检验要求，可保证本项目顺利实施。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供应商所出具的检验报告满足国家或行业规范执行标准。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一、定价招标说明： 1.根据《产品质量监督抽查管理暂行办法》要求，线下抽检需购买检验样品（除不以破坏性试验方式进行检验，并且不会对样品质量造成实质性影响的外），备用样品只封存，不购买；线上抽检检验样品与备用样品都需购买。 2.购样费指线下抽样的检验样品购买费、电商抽样的检验样品和备用样品购买费；抽检等费指抽样过程中发生的车辆保障费及人员旅差费、食宿费，检验费（含检验过程中发生的相关费用），相关文件资料（含检验报告等相关资料文书送达）中国邮政EMS邮寄费以及相关通讯费用，以及其他与抽检工作相关产生的费用。 3.预算经费为购样费与抽检等费用组成。定价招标，指预算经费与购样费平均单价不变的情况下，如抽样批次数增加，购样费则递增，按不超过中标批次核算后的购样费结算。如：A产品预算经费10万元，其中含购样费1万元，购样费单价平均每批次0.01万元不变，能抽样100批次。现某承检机构拟报价抽样200批次，那购样费增加为0.01万元×200批次=2万元，抽检等其他经费则为8万元。 4.本项目为定价招标，因格式限制，现对各投标人报价进行统一规定，本次采购包1单价为8054.05元，投标总报价为595999.70元。请各投标人按照上述报价规定执行，否则按无效投标处理。 二、中标单位在领取中标通知书前，须向采购代理机构提供纸质版投标文件2套（1正1副），且提供的投标文件必须与在陕西省政府采购综合管理平台的项目电子化交易系统中递交的电子投标文件内容一致，纸质版投标文件必须装订成册封面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法定代表人（主要负责人）授权委托书/身份证明</w:t>
            </w:r>
          </w:p>
        </w:tc>
        <w:tc>
          <w:tcPr>
            <w:tcW w:type="dxa" w:w="3322"/>
          </w:tcPr>
          <w:p>
            <w:pPr>
              <w:pStyle w:val="null3"/>
            </w:pPr>
            <w:r>
              <w:rPr>
                <w:rFonts w:ascii="仿宋_GB2312" w:hAnsi="仿宋_GB2312" w:cs="仿宋_GB2312" w:eastAsia="仿宋_GB2312"/>
              </w:rPr>
              <w:t>法定代表人参与投标时，提供法定代表人身份证明；授权代表参与投标时，提供法人授权委托书。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本项目不接受从事承检产品生产、经营活动的供应商参与投标，供应商须提供相关声明。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（1）投标文件封面 （2）投标函 （3）法定代表人（主要负责人）授权委托书/身份证明</w:t>
            </w:r>
          </w:p>
        </w:tc>
        <w:tc>
          <w:tcPr>
            <w:tcW w:type="dxa" w:w="1661"/>
          </w:tcPr>
          <w:p>
            <w:pPr>
              <w:pStyle w:val="null3"/>
            </w:pPr>
            <w:r>
              <w:rPr>
                <w:rFonts w:ascii="仿宋_GB2312" w:hAnsi="仿宋_GB2312" w:cs="仿宋_GB2312" w:eastAsia="仿宋_GB2312"/>
              </w:rPr>
              <w:t>供应商应提交的相关资格证明材料.docx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 遗漏。</w:t>
            </w:r>
          </w:p>
        </w:tc>
        <w:tc>
          <w:tcPr>
            <w:tcW w:type="dxa" w:w="1661"/>
          </w:tcPr>
          <w:p>
            <w:pPr>
              <w:pStyle w:val="null3"/>
            </w:pPr>
            <w:r>
              <w:rPr>
                <w:rFonts w:ascii="仿宋_GB2312" w:hAnsi="仿宋_GB2312" w:cs="仿宋_GB2312" w:eastAsia="仿宋_GB2312"/>
              </w:rPr>
              <w:t>服务内容及服务要求偏离表.docx 类似抽检品目业绩一览表.docx 中小企业声明函 供应商概况与承诺.docx 供应商认为有必要提供的其他资料.docx 供应商应提交的相关资格证明材料.docx 投标函 残疾人福利性单位声明函 泵（潜水电泵）等4种产品质量监督抽查响应表.xlsx 标的清单 投标文件封面 投标包产品抽样检验周期承诺表.docx 商务偏离表.docx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服务内容及服务要求偏离表.docx 类似抽检品目业绩一览表.docx 中小企业声明函 供应商概况与承诺.docx 供应商认为有必要提供的其他资料.docx 供应商应提交的相关资格证明材料.docx 投标函 残疾人福利性单位声明函 泵（潜水电泵）等4种产品质量监督抽查响应表.xlsx 标的清单 投标文件封面 投标包产品抽样检验周期承诺表.docx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服务内容及服务要求偏离表.docx 类似抽检品目业绩一览表.docx 中小企业声明函 供应商概况与承诺.docx 供应商认为有必要提供的其他资料.docx 供应商应提交的相关资格证明材料.docx 投标函 残疾人福利性单位声明函 泵（潜水电泵）等4种产品质量监督抽查响应表.xlsx 标的清单 投标文件封面 投标包产品抽样检验周期承诺表.docx 商务偏离表.docx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Pmax：所有有效供应商提交的该品目总抽检批次中的最高值。 Pn：第n个供应商的该品目总抽检批次。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泵（潜水电泵）等4种产品质量监督抽查响应表.xlsx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投标包产品抽样检验周期承诺表.docx</w:t>
            </w:r>
          </w:p>
          <w:p>
            <w:pPr>
              <w:pStyle w:val="null3"/>
            </w:pPr>
            <w:r>
              <w:rPr>
                <w:rFonts w:ascii="仿宋_GB2312" w:hAnsi="仿宋_GB2312" w:cs="仿宋_GB2312" w:eastAsia="仿宋_GB2312"/>
              </w:rPr>
              <w:t>泵（潜水电泵）等4种产品质量监督抽查响应表.xlsx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或参与国家监督抽查细则方案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2.5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具有工业产品质量监督抽查相关专业的中级（含）以上职称检验人员或具有10年（含）以上产品检验工作经历的人员数量≥6人，得6分； 具有工业产品质量监督抽查相关专业的中级（含）以上职称检验人员或具有10年（含）以上产品检验工作经历的人员数量介于4（含）人-5（含）人之间的，得3分；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能证明设备为自主拥有的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 ⑵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⑶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每提供１个品目产品的描述的得1分，此项总得分不超过4分。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类似抽检品目业绩一览表.docx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详见附件：投标包产品抽样检验周期承诺表.docx</w:t>
      </w:r>
    </w:p>
    <w:p>
      <w:pPr>
        <w:pStyle w:val="null3"/>
        <w:ind w:firstLine="960"/>
      </w:pPr>
      <w:r>
        <w:rPr>
          <w:rFonts w:ascii="仿宋_GB2312" w:hAnsi="仿宋_GB2312" w:cs="仿宋_GB2312" w:eastAsia="仿宋_GB2312"/>
        </w:rPr>
        <w:t>详见附件：供应商认为有必要提供的其他资料.docx</w:t>
      </w:r>
    </w:p>
    <w:p>
      <w:pPr>
        <w:pStyle w:val="null3"/>
        <w:ind w:firstLine="960"/>
      </w:pPr>
      <w:r>
        <w:rPr>
          <w:rFonts w:ascii="仿宋_GB2312" w:hAnsi="仿宋_GB2312" w:cs="仿宋_GB2312" w:eastAsia="仿宋_GB2312"/>
        </w:rPr>
        <w:t>详见附件：泵（潜水电泵）等4种产品质量监督抽查响应表.xlsx</w:t>
      </w:r>
    </w:p>
    <w:p>
      <w:pPr>
        <w:pStyle w:val="null3"/>
        <w:ind w:firstLine="960"/>
      </w:pPr>
      <w:r>
        <w:rPr>
          <w:rFonts w:ascii="仿宋_GB2312" w:hAnsi="仿宋_GB2312" w:cs="仿宋_GB2312" w:eastAsia="仿宋_GB2312"/>
        </w:rPr>
        <w:t>详见附件：类似抽检品目业绩一览表.docx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