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版本号：SXHT-（CS）2026061120260701001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小寨校区消防整体提升改造项目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SXHT-（CS）20260611</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小寨校区消防整体提升改造项目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SXHT-（CS）20260611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小寨校区消防整体提升改造项目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小寨校区消防整体提升改造项目，主要施工内容有：学苑大厦、体育馆、1号综合教学楼、餐厅及门诊楼消防水电改造等。具体详见磋商文件。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采购包1（小寨校区消防整体提升改造项目）：属于专门面向中小企业采购。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供应商提供2025年度经审计的财务会计报告（包括审计报告、资产负债表、利润表、现金流量表、所有者权益变动表及其附注，成立时间至提交响应文件截止时间不足一年的可提供成立后任意时段的资产负债表），或其投标前三个月内银行出具的资信证明，或信用担保机构出具的投标担保函。（以上三种形式的资料提供任何一种即可，审计报告须具有注册会计师行业统一监管平台赋予的验证码）；</w:t>
      </w:r>
    </w:p>
    <w:p>
      <w:pPr>
        <w:pStyle w:val="null3"/>
      </w:pPr>
      <w:r>
        <w:rPr>
          <w:rFonts w:ascii="仿宋_GB2312" w:hAnsi="仿宋_GB2312" w:cs="仿宋_GB2312" w:eastAsia="仿宋_GB2312"/>
        </w:rPr>
        <w:t>4、社会保障资金缴纳证明：供应商提供2025年6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6月至今任意一个月的纳税证明或完税证明，纳税证明或完税证明上应有代收机构或税务机关的公章；成立时间至提交响应文件截止时间不足3个月的供应商，可提供成立之日起至投标截止之日止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6、资质：供应商应具备建设行政主管部门颁发的消防设施工程专业承包二级及以上资质，且具备有效的安全生产许可证；</w:t>
      </w:r>
    </w:p>
    <w:p>
      <w:pPr>
        <w:pStyle w:val="null3"/>
      </w:pPr>
      <w:r>
        <w:rPr>
          <w:rFonts w:ascii="仿宋_GB2312" w:hAnsi="仿宋_GB2312" w:cs="仿宋_GB2312" w:eastAsia="仿宋_GB2312"/>
        </w:rPr>
        <w:t>7、项目经理：拟委派的项目经理应具备机电工程专业二级及以上注册建造师资格，具有安全生产考核合格B证在本单位注册，且未担任在建工程项目经理（提供承诺书）；</w:t>
      </w:r>
    </w:p>
    <w:p>
      <w:pPr>
        <w:pStyle w:val="null3"/>
      </w:pPr>
      <w:r>
        <w:rPr>
          <w:rFonts w:ascii="仿宋_GB2312" w:hAnsi="仿宋_GB2312" w:cs="仿宋_GB2312" w:eastAsia="仿宋_GB2312"/>
        </w:rPr>
        <w:t>8、信用中国：通过“信用中国”网站（www.creditchina.gov.cn/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9、无重大违法记录声明：参加政府采购活动前3年内经营活动中没有重大违法记录声明；</w:t>
      </w:r>
    </w:p>
    <w:p>
      <w:pPr>
        <w:pStyle w:val="null3"/>
      </w:pPr>
      <w:r>
        <w:rPr>
          <w:rFonts w:ascii="仿宋_GB2312" w:hAnsi="仿宋_GB2312" w:cs="仿宋_GB2312" w:eastAsia="仿宋_GB2312"/>
        </w:rPr>
        <w:t>10、承诺函：具有履行合同所必需的专业技术能力的承诺函；</w:t>
      </w:r>
    </w:p>
    <w:p>
      <w:pPr>
        <w:pStyle w:val="null3"/>
      </w:pPr>
      <w:r>
        <w:rPr>
          <w:rFonts w:ascii="仿宋_GB2312" w:hAnsi="仿宋_GB2312" w:cs="仿宋_GB2312" w:eastAsia="仿宋_GB2312"/>
        </w:rPr>
        <w:t>11、控股、管理关系：单位负责人为同一人或者存在控股、管理关系的不同供应商，不得同时参加本项目采购活动；</w:t>
      </w:r>
    </w:p>
    <w:p>
      <w:pPr>
        <w:pStyle w:val="null3"/>
      </w:pPr>
      <w:r>
        <w:rPr>
          <w:rFonts w:ascii="仿宋_GB2312" w:hAnsi="仿宋_GB2312" w:cs="仿宋_GB2312" w:eastAsia="仿宋_GB2312"/>
        </w:rPr>
        <w:t>12、中小企业：本项目专门面向中小企业采购。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双管荧光灯</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说明：交至甲方指定账户，履约完成后退还。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计费基准参照国家计委颁布的《招标代理服务收费管理暂行办法》（计价格[2002]1980号），按照以下要求计：100万元（不含）以下的项目，按照文件标准计费收取；100万元（含）以上的项目，按照文件标准上限80%计费。 2.造价咨询费收费标准：编制工程量清单及最高限价的费用，依据工程造价咨询服务收费标准陕价行发（2014）88号文，按校（院）工程审计服务费的最低折扣计取。 3.采购代理服务费和造价咨询费由中标/成交人支付，中标/成交人领取中标通知书时，须一次性向采购代理机构交纳采购代理服务费和造价咨询费。 公司名称：陕西海堂项目管理咨询有限公司 开户行：中国银行股份有限公司西安雁塔路支行 账号：103675480567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踏勘时间：2026-07-10 09:30:00</w:t>
            </w:r>
          </w:p>
          <w:p>
            <w:pPr>
              <w:pStyle w:val="null3"/>
              <w:ind w:firstLine="975"/>
            </w:pPr>
            <w:r>
              <w:rPr>
                <w:rFonts w:ascii="仿宋_GB2312" w:hAnsi="仿宋_GB2312" w:cs="仿宋_GB2312" w:eastAsia="仿宋_GB2312"/>
              </w:rPr>
              <w:t>踏勘地点：中共陕西省委党校（陕西行政学院）小寨校区</w:t>
            </w:r>
          </w:p>
          <w:p>
            <w:pPr>
              <w:pStyle w:val="null3"/>
              <w:ind w:firstLine="975"/>
            </w:pPr>
            <w:r>
              <w:rPr>
                <w:rFonts w:ascii="仿宋_GB2312" w:hAnsi="仿宋_GB2312" w:cs="仿宋_GB2312" w:eastAsia="仿宋_GB2312"/>
              </w:rPr>
              <w:t>联系人：程工</w:t>
            </w:r>
          </w:p>
          <w:p>
            <w:pPr>
              <w:pStyle w:val="null3"/>
              <w:ind w:firstLine="975"/>
            </w:pPr>
            <w:r>
              <w:rPr>
                <w:rFonts w:ascii="仿宋_GB2312" w:hAnsi="仿宋_GB2312" w:cs="仿宋_GB2312" w:eastAsia="仿宋_GB2312"/>
              </w:rPr>
              <w:t>联系电话号码：029-85266606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3,985,000.00</w:t>
      </w:r>
    </w:p>
    <w:p>
      <w:pPr>
        <w:pStyle w:val="null3"/>
      </w:pPr>
      <w:r>
        <w:rPr>
          <w:rFonts w:ascii="仿宋_GB2312" w:hAnsi="仿宋_GB2312" w:cs="仿宋_GB2312" w:eastAsia="仿宋_GB2312"/>
        </w:rPr>
        <w:t>采购包最高限价（元）: 3,985,000.00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小寨校区消防整体提升改造项目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标的名称：小寨校区消防整体提升改造项目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小寨校区消防整体提升改造项目，主要施工内容有：学苑大厦、体育馆、</w:t>
            </w:r>
            <w:r>
              <w:rPr>
                <w:rFonts w:ascii="仿宋_GB2312" w:hAnsi="仿宋_GB2312" w:cs="仿宋_GB2312" w:eastAsia="仿宋_GB2312"/>
                <w:sz w:val="28"/>
              </w:rPr>
              <w:t>1号综合教学楼、餐厅及门诊楼消防水电改造等。</w:t>
            </w:r>
          </w:p>
          <w:p>
            <w:pPr>
              <w:pStyle w:val="null3"/>
              <w:jc w:val="both"/>
            </w:pPr>
            <w:r>
              <w:rPr>
                <w:rFonts w:ascii="仿宋_GB2312" w:hAnsi="仿宋_GB2312" w:cs="仿宋_GB2312" w:eastAsia="仿宋_GB2312"/>
                <w:sz w:val="28"/>
                <w:b/>
              </w:rPr>
              <w:t>二、编制依据：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小寨校区消防整体提升改造项目</w:t>
            </w:r>
            <w:r>
              <w:rPr>
                <w:rFonts w:ascii="仿宋_GB2312" w:hAnsi="仿宋_GB2312" w:cs="仿宋_GB2312" w:eastAsia="仿宋_GB2312"/>
                <w:sz w:val="28"/>
              </w:rPr>
              <w:t>设计图纸；</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w:t>
            </w:r>
            <w:r>
              <w:rPr>
                <w:rFonts w:ascii="仿宋_GB2312" w:hAnsi="仿宋_GB2312" w:cs="仿宋_GB2312" w:eastAsia="仿宋_GB2312"/>
                <w:sz w:val="28"/>
              </w:rPr>
              <w:t>工程量清单计价标准及计算标准</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2025）、《陕西省通用安装工程消耗量定额》（2025）、《陕西</w:t>
            </w:r>
            <w:r>
              <w:rPr>
                <w:rFonts w:ascii="仿宋_GB2312" w:hAnsi="仿宋_GB2312" w:cs="仿宋_GB2312" w:eastAsia="仿宋_GB2312"/>
                <w:sz w:val="28"/>
              </w:rPr>
              <w:t>省</w:t>
            </w:r>
            <w:r>
              <w:rPr>
                <w:rFonts w:ascii="仿宋_GB2312" w:hAnsi="仿宋_GB2312" w:cs="仿宋_GB2312" w:eastAsia="仿宋_GB2312"/>
                <w:sz w:val="28"/>
              </w:rPr>
              <w:t>市政工程消耗量定额》（</w:t>
            </w:r>
            <w:r>
              <w:rPr>
                <w:rFonts w:ascii="仿宋_GB2312" w:hAnsi="仿宋_GB2312" w:cs="仿宋_GB2312" w:eastAsia="仿宋_GB2312"/>
                <w:sz w:val="28"/>
              </w:rPr>
              <w:t>2025）、《陕西省园林绿化工程消耗量定额》（2025）、《陕西省房屋建筑与装饰工程基价表》（2025），《陕西省通用安装工程基价表》（2025）、《陕西</w:t>
            </w:r>
            <w:r>
              <w:rPr>
                <w:rFonts w:ascii="仿宋_GB2312" w:hAnsi="仿宋_GB2312" w:cs="仿宋_GB2312" w:eastAsia="仿宋_GB2312"/>
                <w:sz w:val="28"/>
              </w:rPr>
              <w:t>省</w:t>
            </w:r>
            <w:r>
              <w:rPr>
                <w:rFonts w:ascii="仿宋_GB2312" w:hAnsi="仿宋_GB2312" w:cs="仿宋_GB2312" w:eastAsia="仿宋_GB2312"/>
                <w:sz w:val="28"/>
              </w:rPr>
              <w:t>市政工程基价表》（</w:t>
            </w:r>
            <w:r>
              <w:rPr>
                <w:rFonts w:ascii="仿宋_GB2312" w:hAnsi="仿宋_GB2312" w:cs="仿宋_GB2312" w:eastAsia="仿宋_GB2312"/>
                <w:sz w:val="28"/>
              </w:rPr>
              <w:t>2025）、《陕西省园林绿化工程基价表》（2025）、《陕西省建设工程费用规则》（2025）及其他相关文件；</w:t>
            </w:r>
          </w:p>
          <w:p>
            <w:pPr>
              <w:pStyle w:val="null3"/>
              <w:ind w:firstLine="560"/>
              <w:jc w:val="both"/>
            </w:pPr>
            <w:r>
              <w:rPr>
                <w:rFonts w:ascii="仿宋_GB2312" w:hAnsi="仿宋_GB2312" w:cs="仿宋_GB2312" w:eastAsia="仿宋_GB2312"/>
                <w:sz w:val="28"/>
              </w:rPr>
              <w:t>4、税金执行陕建发﹝2019﹞45号《关于调整我省建设工程计价依据的通知》；</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、其他相关资料。</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、其他说明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1、吊顶上的照明灯具拆除及利旧恢复暂定5万元计入其他项目费（含风口等吊顶上附着物拆除及恢复）；</w:t>
            </w:r>
          </w:p>
          <w:p>
            <w:pPr>
              <w:pStyle w:val="null3"/>
              <w:ind w:firstLine="560"/>
              <w:jc w:val="both"/>
            </w:pPr>
            <w:r>
              <w:rPr>
                <w:rFonts w:ascii="仿宋_GB2312" w:hAnsi="仿宋_GB2312" w:cs="仿宋_GB2312" w:eastAsia="仿宋_GB2312"/>
                <w:sz w:val="28"/>
              </w:rPr>
              <w:t>2、本工程暂列金额10万元计入其他项目费；</w:t>
            </w:r>
          </w:p>
          <w:p>
            <w:pPr>
              <w:pStyle w:val="null3"/>
              <w:ind w:firstLine="560"/>
              <w:jc w:val="both"/>
            </w:pPr>
            <w:r>
              <w:rPr>
                <w:rFonts w:ascii="仿宋_GB2312" w:hAnsi="仿宋_GB2312" w:cs="仿宋_GB2312" w:eastAsia="仿宋_GB2312"/>
                <w:sz w:val="28"/>
              </w:rPr>
              <w:t>3、采用广联达云计价平台GCCP7.0 （版本号：7.5000.23.3）。</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有关</w:t>
            </w:r>
            <w:r>
              <w:rPr>
                <w:rFonts w:ascii="仿宋_GB2312" w:hAnsi="仿宋_GB2312" w:cs="仿宋_GB2312" w:eastAsia="仿宋_GB2312"/>
                <w:sz w:val="28"/>
                <w:b/>
              </w:rPr>
              <w:t>说明</w:t>
            </w:r>
            <w:r>
              <w:rPr>
                <w:rFonts w:ascii="仿宋_GB2312" w:hAnsi="仿宋_GB2312" w:cs="仿宋_GB2312" w:eastAsia="仿宋_GB2312"/>
                <w:sz w:val="28"/>
                <w:b/>
              </w:rPr>
              <w:t>:</w:t>
            </w:r>
          </w:p>
          <w:p>
            <w:pPr>
              <w:pStyle w:val="null3"/>
              <w:spacing w:after="120"/>
              <w:ind w:firstLine="560"/>
              <w:jc w:val="both"/>
            </w:pPr>
            <w:r>
              <w:rPr>
                <w:rFonts w:ascii="仿宋_GB2312" w:hAnsi="仿宋_GB2312" w:cs="仿宋_GB2312" w:eastAsia="仿宋_GB2312"/>
                <w:sz w:val="28"/>
              </w:rPr>
              <w:t>1、体育馆钢网架防火涂料因无详细设计图纸，柱面防火涂料暂按500㎡、梁面防火涂料暂按1500㎡、其余构件防火涂料暂按1000㎡计入，结算时据实调整；</w:t>
            </w:r>
          </w:p>
          <w:p>
            <w:pPr>
              <w:pStyle w:val="null3"/>
              <w:spacing w:after="120"/>
              <w:ind w:firstLine="560"/>
              <w:jc w:val="both"/>
            </w:pPr>
            <w:r>
              <w:rPr>
                <w:rFonts w:ascii="仿宋_GB2312" w:hAnsi="仿宋_GB2312" w:cs="仿宋_GB2312" w:eastAsia="仿宋_GB2312"/>
                <w:sz w:val="28"/>
              </w:rPr>
              <w:t>2、学苑大厦石膏板吊顶、3餐厅铝扣板吊顶、1号综合教学楼石膏板吊顶，基层龙骨拆除及新做均按50%计入，剩余50%为利旧；</w:t>
            </w:r>
          </w:p>
          <w:p>
            <w:pPr>
              <w:pStyle w:val="null3"/>
              <w:spacing w:after="120"/>
              <w:ind w:firstLine="560"/>
              <w:jc w:val="both"/>
            </w:pPr>
            <w:r>
              <w:rPr>
                <w:rFonts w:ascii="仿宋_GB2312" w:hAnsi="仿宋_GB2312" w:cs="仿宋_GB2312" w:eastAsia="仿宋_GB2312"/>
                <w:sz w:val="28"/>
              </w:rPr>
              <w:t>3、现状手提式磷酸铵盐干粉灭火器均不做更换。</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35个日历日。2、地点：采购人指定地点。3、质保期：自竣工验收合格之日起2年，防水质保5年。4、缺陷责任期：本工程缺陷责任期为2年，缺陷责任期自工程通过竣工验收之日计算。5、工程质量：达到国家建设工程验收规范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 户名：陕西海堂项目管理咨询有限公司 开户银行：中国银行股份有限公司西安雁塔路支行 账号：103675480567 3.供应商需要在线提交所有通过电子化交易平台实施的政府采购项目的响应文件，同时，线下提交响应文件正本壹份、副本贰套、电子版贰套（U盘标明供应商名称）。 线下提交响应文件地点：于磋商截止时间前。 线下提交响应文件地点：西安市雁塔区电子二路青松公寓二楼西二楼第一会议室。 若电子响应文件与纸质响应文件不一致的，以电子响应文件为准；若正本和副本不符，以正本为准。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的财务会计报告（包括审计报告、资产负债表、利润表、现金流量表、所有者权益变动表及其附注，成立时间至提交响应文件截止时间不足一年的可提供成立后任意时段的资产负债表），或其投标前三个月内银行出具的资信证明，或信用担保机构出具的投标担保函。（以上三种形式的资料提供任何一种即可，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会计报告（包括审计报告、资产负债表、利润表、现金流量表、所有者权益变动表及其附注，成立时间至提交响应文件截止时间不足一年的可提供成立后任意时段的资产负债表），或其投标前三个月内银行出具的资信证明，或信用担保机构出具的投标担保函。（以上三种形式的资料提供任何一种即可，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6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6月至今任意一个月的纳税证明或完税证明，纳税证明或完税证明上应有代收机构或税务机关的公章；成立时间至提交响应文件截止时间不足3个月的供应商，可提供成立之日起至投标截止之日止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供应商应具备建设行政主管部门颁发的消防设施工程专业承包二级及以上资质，且具备有效的安全生产许可证；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拟委派的项目经理应具备机电工程专业二级及以上注册建造师资格，具有安全生产考核合格B证在本单位注册，且未担任在建工程项目经理（提供承诺书）；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磋商响应文件按磋商文件要求的数量、计量单位、报价货币及签字盖章</w:t>
            </w:r>
          </w:p>
        </w:tc>
        <w:tc>
          <w:tcPr>
            <w:tcW w:type="dxa" w:w="3322"/>
          </w:tcPr>
          <w:p>
            <w:pPr>
              <w:pStyle w:val="null3"/>
            </w:pPr>
            <w:r>
              <w:rPr>
                <w:rFonts w:ascii="仿宋_GB2312" w:hAnsi="仿宋_GB2312" w:cs="仿宋_GB2312" w:eastAsia="仿宋_GB2312"/>
              </w:rPr>
              <w:t>磋商响应文件按磋商文件要求的数量、计量单位、报价货币及签字盖章</w:t>
            </w:r>
          </w:p>
        </w:tc>
        <w:tc>
          <w:tcPr>
            <w:tcW w:type="dxa" w:w="1661"/>
          </w:tcPr>
          <w:p>
            <w:pPr>
              <w:pStyle w:val="null3"/>
            </w:pPr>
            <w:r>
              <w:rPr>
                <w:rFonts w:ascii="仿宋_GB2312" w:hAnsi="仿宋_GB2312" w:cs="仿宋_GB2312" w:eastAsia="仿宋_GB2312"/>
              </w:rPr>
              <w:t>响应方案说明.docx 已标价工程量清单 已标价工程量清单.docx 中小企业声明函 技术服务合同条款及其他商务要求应答表 供应商应提交的相关资格证明材料 强制优先采购产品承诺函 响应文件封面 项目管理机构组成表 残疾人福利性单位声明函 法定代表人证明书与法定代表人授权书.docx 报价函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磋商响应文件的有效期达到磋商文件要求</w:t>
            </w:r>
          </w:p>
        </w:tc>
        <w:tc>
          <w:tcPr>
            <w:tcW w:type="dxa" w:w="3322"/>
          </w:tcPr>
          <w:p>
            <w:pPr>
              <w:pStyle w:val="null3"/>
            </w:pPr>
            <w:r>
              <w:rPr>
                <w:rFonts w:ascii="仿宋_GB2312" w:hAnsi="仿宋_GB2312" w:cs="仿宋_GB2312" w:eastAsia="仿宋_GB2312"/>
              </w:rPr>
              <w:t>磋商响应文件的有效期达到磋商文件要求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磋商响应文件的投标报价、工期等达到磋商文件要求</w:t>
            </w:r>
          </w:p>
        </w:tc>
        <w:tc>
          <w:tcPr>
            <w:tcW w:type="dxa" w:w="3322"/>
          </w:tcPr>
          <w:p>
            <w:pPr>
              <w:pStyle w:val="null3"/>
            </w:pPr>
            <w:r>
              <w:rPr>
                <w:rFonts w:ascii="仿宋_GB2312" w:hAnsi="仿宋_GB2312" w:cs="仿宋_GB2312" w:eastAsia="仿宋_GB2312"/>
              </w:rPr>
              <w:t>磋商响应文件的投标报价、工期等达到磋商文件要求</w:t>
            </w:r>
          </w:p>
        </w:tc>
        <w:tc>
          <w:tcPr>
            <w:tcW w:type="dxa" w:w="1661"/>
          </w:tcPr>
          <w:p>
            <w:pPr>
              <w:pStyle w:val="null3"/>
            </w:pPr>
            <w:r>
              <w:rPr>
                <w:rFonts w:ascii="仿宋_GB2312" w:hAnsi="仿宋_GB2312" w:cs="仿宋_GB2312" w:eastAsia="仿宋_GB2312"/>
              </w:rPr>
              <w:t>响应文件封面 已标价工程量清单.docx 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政府强制采购节能产品</w:t>
            </w:r>
          </w:p>
        </w:tc>
        <w:tc>
          <w:tcPr>
            <w:tcW w:type="dxa" w:w="3322"/>
          </w:tcPr>
          <w:p>
            <w:pPr>
              <w:pStyle w:val="null3"/>
            </w:pPr>
            <w:r>
              <w:rPr>
                <w:rFonts w:ascii="仿宋_GB2312" w:hAnsi="仿宋_GB2312" w:cs="仿宋_GB2312" w:eastAsia="仿宋_GB2312"/>
              </w:rPr>
              <w:t>政府强制采购节能产品为:双管荧光灯;（提供有效期内的节能产品认证证书）</w:t>
            </w:r>
          </w:p>
        </w:tc>
        <w:tc>
          <w:tcPr>
            <w:tcW w:type="dxa" w:w="1661"/>
          </w:tcPr>
          <w:p>
            <w:pPr>
              <w:pStyle w:val="null3"/>
            </w:pPr>
            <w:r>
              <w:rPr>
                <w:rFonts w:ascii="仿宋_GB2312" w:hAnsi="仿宋_GB2312" w:cs="仿宋_GB2312" w:eastAsia="仿宋_GB2312"/>
              </w:rPr>
              <w:t>响应文件封面 响应方案说明.docx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已标价工程量清单 已标价工程量清单.docx 中小企业声明函 技术服务合同条款及其他商务要求应答表 供应商应提交的相关资格证明材料 强制优先采购产品承诺函 响应文件封面 项目管理机构组成表 残疾人福利性单位声明函 法定代表人证明书与法定代表人授权书.docx 报价函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施工方案及施工工艺</w:t>
            </w:r>
          </w:p>
        </w:tc>
        <w:tc>
          <w:tcPr>
            <w:tcW w:type="dxa" w:w="2492"/>
          </w:tcPr>
          <w:p>
            <w:pPr>
              <w:pStyle w:val="null3"/>
            </w:pPr>
            <w:r>
              <w:rPr>
                <w:rFonts w:ascii="仿宋_GB2312" w:hAnsi="仿宋_GB2312" w:cs="仿宋_GB2312" w:eastAsia="仿宋_GB2312"/>
              </w:rPr>
              <w:t>供应商针对本项目学苑大厦、多功能厅、体育馆、1号综合教学楼、餐厅及门诊楼提供详细可行的消防整体提升改造施工方案及施工工艺。消防整体提升改造施工方案内容包含但不限于： 1.建筑工程施工方案及施工流程（拆除工程、恢复工程等）；2.消防水土建工程施工方案及施工流程（土方开挖、回填、拆除工程、新建、恢复工程、气体灭火装置、消火栓系统、喷淋系统、系统调试等）； 3.吊顶拆除及恢复施工方案及施工流程（拆除工程、恢复工程等）； 4.暖通土建工程施工方案及施工流程（排风系统、拆除工程、安装工程等）； 5.暖通工程施工方案及施工流程（排烟系统、排风系统、补风系统、系统调试等）；6.消防水电工程施工方案及施工流程（消防软管卷盘系统、火灾自动报警、应急照明、自动报警系统调试、原有烟感及线路拆除、可燃气体探测报警系统、消火栓系统等）； 施工方案及施工工艺内容完整全面，按照上述要求响应得满分12分。每有一项评审内容缺项扣2分，每项评审内容如存在缺陷，每处缺陷扣0.5分，扣完为止。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供应商针对本项目提供详细可行的确保工程质量的技术组织措施。措施内容包含但不限于： 1.工程质量管控措施；2.消防系统调试、检测；3.消防验收报备方案；4.消防材料与设备质量管控；5.应急抢险预案；5.工程重难点问题应对措施； 评审标准：确保工程质量的技术组织措施内容完整全面，按照上述要求响应得满分5分。每有一项评审内容缺项扣1分，每项评审内容如存在缺陷，每处缺陷扣0.5分，扣完为止。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供应商针对本项目提供详细可行的确保安全生产的技术组织措施。措施内容包含但不限于： 1.消防安全管理体系；2.安全生产保证措施；3.安全教育培训制度；4.安全生产责任制度；5.现场火灾危险源管控； 评审标准：确保安全生产的技术组织措施内容完整全面，按照上述要求响应得满分5分。每有一项评审内容缺项扣1分，每项评审内容如存在缺陷，每处缺陷扣0.5分，扣完为止。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供应商针对本项目提供详细可行的确保工期的技术组织措施。措施内容包含但不限于： 1.工期进度计划；2.工期进度保障措施；3.进度表或施工网络图； 评审标准：确保工期的技术组织措施内容完整全面，按照上述要求响应得满分3分。每有一项评审内容缺项扣1分，每项评审内容如存在缺陷，每处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供应商针对本项目提供详细可行的确保文明施工的技术组织措施及环境保护措施。措施内容包含但不限于： 1.施工噪音控制方案；2.尘粉飞扬控制方案；3.环境保护措施；4.环境卫生管理制度；5.施工垃圾处理方案； 评审标准：确保文明施工的技术组织措施及环境保护措施内容完整全面，按照上述要求响应得满分5分。每有一项评审内容缺项扣1分，每项评审内容如存在缺陷，每处缺陷扣0.5分，扣完为止。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供应商针对本项目提供详细可行的施工机械配备和材料投入计划。投入计划内容包含但不限于： 1.施工机械、材料及进场计划；2.仪器设备配备；3.材料管理计划；4.降低成本的措施； 评审标准：施工机械配备和材料投入计划内容完整全面，按照上述要求响应得满分4分。每有一项评审内容缺项扣1分，每项评审内容如存在缺陷，每处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主要材料的来源和供货渠道</w:t>
            </w:r>
          </w:p>
        </w:tc>
        <w:tc>
          <w:tcPr>
            <w:tcW w:type="dxa" w:w="2492"/>
          </w:tcPr>
          <w:p>
            <w:pPr>
              <w:pStyle w:val="null3"/>
            </w:pPr>
            <w:r>
              <w:rPr>
                <w:rFonts w:ascii="仿宋_GB2312" w:hAnsi="仿宋_GB2312" w:cs="仿宋_GB2312" w:eastAsia="仿宋_GB2312"/>
              </w:rPr>
              <w:t>供应商针对本项目提供主要材料的来源清单和供货渠道，佐证材料包含但不限于第三方检测报告、合格证等证明材料。主要材料包含： 1.电线；2.穿线管；3.消防柜；4.镀锌钢管；5.感烟探测器；6.应急照明灯；7.气体灭火装置；8.泵；9.防火涂料；10.无机涂料；11.窗；12.钢质防火门；13.石膏板。 评审标准：每项材料均提供规范、完整、主材质量技术参数的有效佐证材料，无缺陷，无缺项应得满分13分。按照上述要求响应得满分13分。每有一项评审内容缺项扣1分，每项评审内容如存在缺陷，每个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供应商针对本项目提供详细可行的劳动力安排计划。计划内容包含但不限于： 1.劳动力安排计划；2.人员管理制度；3.劳动力保证措施； 评审标准： 劳动力安排计划内容完整全面，按照上述要求响应得满分3分。每有一项评审内容缺项扣1.0分，每项评审内容如存在缺陷，每处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项目经理具有2023年6月至今类似项目业绩(以合同时间或成交通知书时间为准)，每提供一份得1分，最高得3分。 注：提供合同或成交通知书复印件并加盖公章，合同或成交通知书内容须体现项目经理名字，未提供不得分。项目经理业绩与企业业绩不重复计分。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供应商针对本项目实际情况提供项目部人员配备。内容包含但不限于： 1.项目经理部组成人员名单；2.团队人员配置（如施工员、安全员、资料员、材料员、质量员、标准员、机械员、劳务员）；3.岗位分工； 评审标准：项目部人员配备情况内容完整全面，按照上述3项评审内容每完整响应1项得2分，满分6分。每项评审内容中，存在缺失缺陷1处扣0.5分，扣完为止。 备注:缺失缺陷是指内容缺项、不完整或缺少关键点、只有简单描述无实质性内容；非专门针对本项目或不适用本项目特性、套用其他项目内容； 注：提供人员证明材料（包含但不限于毕业证、资格证书、职称证、业绩或学历证等相关证明材料，复印件加盖公章），未提供不得分。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供应商所投产品属于最新“节能产品政府采购品目清单”或“环境标志产品政府采购品目清单”且证书在有效期内的产品（强制节能产品除外），每有一类设备条目得0.5分； 备注:1.节能产品：泵、照明灯具（双管荧光灯除外）；2.环保产品：瓷砖、石膏板、涂料、钢质门、木质门、塑料管材。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供应商具有2023年6月至今类似项目业绩(以合同时间或成交通知书时间为准)，每提供一份得1分，最高得5分。 注：提供合同或成交通知书复印件并加盖公章，未提供不得分。项目经理业绩与企业业绩不重复计分。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供应商针对本项目施工内容做出切实可行的保修承诺。承诺内容包含但不限于： 1.工程竣工验收合格后使用过程中因质量问题而产生的补救措施；2.工程竣工验收合格后使用过程中发生质量问题后的响应时间； 评审标准： 评审标准：保修承诺切实可行，按照上述要求响应得满分2分。每有一项评审内容缺项扣1分，每项评审内容如存在缺陷，每处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的价格为评标基准价，其价格分为满分。其他供应商的价格分统一按照下列公式计算：报价得分=（评标基准价/投标报价）×价格权值×100。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