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版本号：ZYJY-【2026】JT054220260612001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数智课堂建设项目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ZYJY-【2026】JT0542</w:t>
      </w:r>
      <w:r>
        <w:br/>
      </w:r>
      <w:r>
        <w:br/>
      </w:r>
      <w:r>
        <w:br/>
      </w:r>
    </w:p>
    <w:p>
      <w:pPr>
        <w:pStyle w:val="null3"/>
        <w:jc w:val="center"/>
        <w:outlineLvl w:val="2"/>
      </w:pPr>
      <w:r>
        <w:rPr>
          <w:rFonts w:ascii="仿宋_GB2312" w:hAnsi="仿宋_GB2312" w:cs="仿宋_GB2312" w:eastAsia="仿宋_GB2312"/>
          <w:sz w:val="28"/>
          <w:b/>
        </w:rPr>
        <w:t>西安市第三十中学</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西安市第三十中学</w:t>
      </w:r>
      <w:r>
        <w:rPr>
          <w:rFonts w:ascii="仿宋_GB2312" w:hAnsi="仿宋_GB2312" w:cs="仿宋_GB2312" w:eastAsia="仿宋_GB2312"/>
        </w:rPr>
        <w:t>委托，拟对</w:t>
      </w:r>
      <w:r>
        <w:rPr>
          <w:rFonts w:ascii="仿宋_GB2312" w:hAnsi="仿宋_GB2312" w:cs="仿宋_GB2312" w:eastAsia="仿宋_GB2312"/>
        </w:rPr>
        <w:t>数智课堂建设项目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ZYJY-【2026】JT0542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数智课堂建设项目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西安市第三十中学数智课堂建设项目，具体内容详见谈判文件第三章。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财务状况报告：提供2025年度完整版的财务审计报告（审计报告须具有注册会计师行业统一监管平台赋予的验证码）（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4、税收缴纳证明：税收缴纳证明：提供投标截止之日前一年内已缴纳的任意一个月的纳税证明或完税证明，依法免税的单位应提供相关证明材料；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10、非联合体承诺书：本项目不接受联合体投标。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陕西省西安市新城区西新街51-10号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029-87261365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合同生效成交供应商向采购人提交合同总价5%的履约保函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2、服务费参照《国家计委关于印发&lt;招标代理服务收费管理暂行办法&gt;的通知》（计价格[2002]1980号）和国家发展和改革委员会办公厅颁发的《关于招标代理服务收费有关问题的通知》（发改办价格[2003]857号）规定标准，按照代理协议约定由中标（成交）人支付。3、成交单位服务费交纳信息银行户名：陕西知源集易招标代理有限公司开户银行：西安银行股份有限公司西安曲江支行账号：981011510000073005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西安市第三十中学</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西安市第三十中学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西安市第三十中学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陕西知源集易招标代理有限公司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地址：陕西省西安市高新区科技二路兰基中心10楼1003室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西安市第三十中学数智课堂建设项目，具体内容详见谈判文件第三章。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数智课堂建设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标的名称：数智课堂建设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一、采购内容及技术要求</w:t>
            </w:r>
          </w:p>
          <w:p>
            <w:pPr>
              <w:pStyle w:val="null3"/>
            </w:pPr>
            <w:r>
              <w:rPr>
                <w:rFonts w:ascii="仿宋_GB2312" w:hAnsi="仿宋_GB2312" w:cs="仿宋_GB2312" w:eastAsia="仿宋_GB2312"/>
                <w:sz w:val="22"/>
                <w:b/>
              </w:rPr>
              <w:t>1.</w:t>
            </w:r>
            <w:r>
              <w:rPr>
                <w:rFonts w:ascii="仿宋_GB2312" w:hAnsi="仿宋_GB2312" w:cs="仿宋_GB2312" w:eastAsia="仿宋_GB2312"/>
                <w:sz w:val="28"/>
                <w:b/>
              </w:rPr>
              <w:t>本项目的核心产品为：</w:t>
            </w:r>
            <w:r>
              <w:rPr>
                <w:rFonts w:ascii="仿宋_GB2312" w:hAnsi="仿宋_GB2312" w:cs="仿宋_GB2312" w:eastAsia="仿宋_GB2312"/>
                <w:sz w:val="32"/>
                <w:b/>
              </w:rPr>
              <w:t>（智慧健康管理系统）</w:t>
            </w:r>
          </w:p>
          <w:p>
            <w:pPr>
              <w:pStyle w:val="null3"/>
              <w:jc w:val="both"/>
            </w:pPr>
            <w:r>
              <w:rPr>
                <w:rFonts w:ascii="仿宋_GB2312" w:hAnsi="仿宋_GB2312" w:cs="仿宋_GB2312" w:eastAsia="仿宋_GB2312"/>
                <w:sz w:val="24"/>
                <w:b/>
              </w:rPr>
              <w:t>2.成交供应商交付的实物设备功能、性能、参数应与最终响应文件及合同约定一致。</w:t>
            </w:r>
          </w:p>
          <w:p>
            <w:pPr>
              <w:pStyle w:val="null3"/>
              <w:jc w:val="both"/>
            </w:pPr>
            <w:r>
              <w:rPr>
                <w:rFonts w:ascii="仿宋_GB2312" w:hAnsi="仿宋_GB2312" w:cs="仿宋_GB2312" w:eastAsia="仿宋_GB2312"/>
                <w:sz w:val="24"/>
                <w:b/>
              </w:rPr>
              <w:t>3.本项目因硬件种类多、软件功能多、需分期分批培训，成交供应商须派1名技术人员，在安装调试、验收及集中培训期间（合计≤60日历天）到场配合。</w:t>
            </w:r>
          </w:p>
          <w:tbl>
            <w:tblPr>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b/>
                    </w:rPr>
                    <w:t>序号</w:t>
                  </w:r>
                </w:p>
              </w:tc>
              <w:tc>
                <w:tcPr>
                  <w:tcW w:type="dxa" w:w="85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b/>
                    </w:rPr>
                    <w:t>建设内容</w:t>
                  </w:r>
                </w:p>
              </w:tc>
              <w:tc>
                <w:tcPr>
                  <w:tcW w:type="dxa" w:w="4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b/>
                    </w:rPr>
                    <w:t>参数</w:t>
                  </w:r>
                </w:p>
              </w:tc>
              <w:tc>
                <w:tcPr>
                  <w:tcW w:type="dxa" w:w="4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b/>
                    </w:rPr>
                    <w:t>数量</w:t>
                  </w:r>
                </w:p>
              </w:tc>
              <w:tc>
                <w:tcPr>
                  <w:tcW w:type="dxa" w:w="4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单位</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1"/>
                    </w:rPr>
                    <w:t>智能云阅卷系统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网上</w:t>
                  </w:r>
                  <w:r>
                    <w:rPr>
                      <w:rFonts w:ascii="仿宋_GB2312" w:hAnsi="仿宋_GB2312" w:cs="仿宋_GB2312" w:eastAsia="仿宋_GB2312"/>
                      <w:sz w:val="21"/>
                    </w:rPr>
                    <w:t>与</w:t>
                  </w:r>
                  <w:r>
                    <w:rPr>
                      <w:rFonts w:ascii="仿宋_GB2312" w:hAnsi="仿宋_GB2312" w:cs="仿宋_GB2312" w:eastAsia="仿宋_GB2312"/>
                      <w:sz w:val="21"/>
                    </w:rPr>
                    <w:t>手工兼容型智能评卷系统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、基础管理</w:t>
                  </w:r>
                  <w:r>
                    <w:rPr>
                      <w:rFonts w:ascii="仿宋_GB2312" w:hAnsi="仿宋_GB2312" w:cs="仿宋_GB2312" w:eastAsia="仿宋_GB2312"/>
                      <w:sz w:val="21"/>
                    </w:rPr>
                    <w:t>平台</w:t>
                  </w:r>
                </w:p>
                <w:p>
                  <w:pPr>
                    <w:pStyle w:val="null3"/>
                    <w:jc w:val="both"/>
                  </w:pPr>
                  <w:r>
                    <w:rPr>
                      <w:rFonts w:ascii="仿宋_GB2312" w:hAnsi="仿宋_GB2312" w:cs="仿宋_GB2312" w:eastAsia="仿宋_GB2312"/>
                      <w:sz w:val="21"/>
                    </w:rPr>
                    <w:t>1、支持学生、教师信息的快速录入，录入的信息包括学生姓名、自定义考号、所属班级、教师姓名，系统自动生成账号；支持班级批量导入与自定义命名；支持转班及升年级，同时可批量导入转班说明和下载学生名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、支持异动学生的信息管理：包括</w:t>
                  </w:r>
                  <w:r>
                    <w:rPr>
                      <w:rFonts w:ascii="仿宋_GB2312" w:hAnsi="仿宋_GB2312" w:cs="仿宋_GB2312" w:eastAsia="仿宋_GB2312"/>
                      <w:sz w:val="21"/>
                    </w:rPr>
                    <w:t>且不限于</w:t>
                  </w:r>
                  <w:r>
                    <w:rPr>
                      <w:rFonts w:ascii="仿宋_GB2312" w:hAnsi="仿宋_GB2312" w:cs="仿宋_GB2312" w:eastAsia="仿宋_GB2312"/>
                      <w:sz w:val="21"/>
                    </w:rPr>
                    <w:t>转班、休学、退学</w:t>
                  </w:r>
                  <w:r>
                    <w:rPr>
                      <w:rFonts w:ascii="仿宋_GB2312" w:hAnsi="仿宋_GB2312" w:cs="仿宋_GB2312" w:eastAsia="仿宋_GB2312"/>
                      <w:sz w:val="21"/>
                    </w:rPr>
                    <w:t>等</w:t>
                  </w:r>
                  <w:r>
                    <w:rPr>
                      <w:rFonts w:ascii="仿宋_GB2312" w:hAnsi="仿宋_GB2312" w:cs="仿宋_GB2312" w:eastAsia="仿宋_GB2312"/>
                      <w:sz w:val="21"/>
                    </w:rPr>
                    <w:t>场景的异动学生管理；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支持设置学校管理员、考试管理员、子管理员、校长、年级主任、学科组长、班主任、学科教师、学生用户角色</w:t>
                  </w:r>
                  <w:r>
                    <w:rPr>
                      <w:rFonts w:ascii="仿宋_GB2312" w:hAnsi="仿宋_GB2312" w:cs="仿宋_GB2312" w:eastAsia="仿宋_GB2312"/>
                      <w:sz w:val="21"/>
                    </w:rPr>
                    <w:t>等多种角色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、支持录入学校的走班教学信息表并进行新高考教学走班配置；支持自定义班级名称、分层层次、走班学科的配置方式。</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、题库</w:t>
                  </w:r>
                </w:p>
                <w:p>
                  <w:pPr>
                    <w:pStyle w:val="null3"/>
                    <w:jc w:val="both"/>
                  </w:pPr>
                  <w:r>
                    <w:rPr>
                      <w:rFonts w:ascii="仿宋_GB2312" w:hAnsi="仿宋_GB2312" w:cs="仿宋_GB2312" w:eastAsia="仿宋_GB2312"/>
                      <w:sz w:val="21"/>
                    </w:rPr>
                    <w:t>1、覆盖高中语文、数学、英语、物理、化学、生物、政治、历史、地理、信息技术、通用技术、思想政治学科；初中语文、数学、英语、物理、化学、生物、政治、历史、地理、道德与法治、历史与社会、科学、信息技术学科；试题提供组卷次数、作答人数、平均得分率、解析、考情信息，支持教师对试题进行纠错与收藏；</w:t>
                  </w:r>
                </w:p>
                <w:p>
                  <w:pPr>
                    <w:pStyle w:val="null3"/>
                    <w:jc w:val="both"/>
                  </w:pPr>
                  <w:r>
                    <w:rPr>
                      <w:rFonts w:ascii="仿宋_GB2312" w:hAnsi="仿宋_GB2312" w:cs="仿宋_GB2312" w:eastAsia="仿宋_GB2312"/>
                      <w:sz w:val="21"/>
                    </w:rPr>
                    <w:t>2、支持选择教材、同步章节，系统自动呈现章节下涵盖知识点、试题，支持按题型、难度、所属试卷类型筛选试题进行组卷；支持知识点单选、多选两种知识点组卷方式，知识点多选支持选择知识点交集、知识点并集；支持按年级、题型、难度、所属试卷类型维度筛选试题进行组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3、试题资源：≥1000万道。</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网上智能评卷</w:t>
                  </w:r>
                  <w:r>
                    <w:rPr>
                      <w:rFonts w:ascii="仿宋_GB2312" w:hAnsi="仿宋_GB2312" w:cs="仿宋_GB2312" w:eastAsia="仿宋_GB2312"/>
                      <w:sz w:val="21"/>
                    </w:rPr>
                    <w:t>数据采集</w:t>
                  </w:r>
                </w:p>
                <w:p>
                  <w:pPr>
                    <w:pStyle w:val="null3"/>
                    <w:jc w:val="both"/>
                  </w:pPr>
                  <w:r>
                    <w:rPr>
                      <w:rFonts w:ascii="仿宋_GB2312" w:hAnsi="仿宋_GB2312" w:cs="仿宋_GB2312" w:eastAsia="仿宋_GB2312"/>
                      <w:sz w:val="21"/>
                    </w:rPr>
                    <w:t>1、支持学校周考、月考、期中、期末考试采集；支持考试试卷上传和教师自主进行资源标注；支持批量生成学生条形码；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、支持对试题设置单评、双评、按比例双评、三评；支持自定义仲裁分差值；支持集中、分散或集中与分散相结合的方式进行网上阅卷。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支持网页在线新建空白答题卡、题库制卡、三方制卡、导入</w:t>
                  </w:r>
                  <w:r>
                    <w:rPr>
                      <w:rFonts w:ascii="仿宋_GB2312" w:hAnsi="仿宋_GB2312" w:cs="仿宋_GB2312" w:eastAsia="仿宋_GB2312"/>
                      <w:sz w:val="21"/>
                    </w:rPr>
                    <w:t>Word试卷制卡；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、支持答题卡的编辑、下载、删除、废弃和复用；支持自定义答题卡模板，支持答题卡模版二次修改；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、支持设置单选题、判断题、多选题、填空题、解答题、选做题、主客观混合题、语文作文、英语作文、不定项选择题题型；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、支持教师分享自己制作的答题卡给学校管理员；</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、支持答题卡扫描与准考证号填涂、条形码、客观题、主观题、缺考标记、</w:t>
                  </w:r>
                  <w:r>
                    <w:rPr>
                      <w:rFonts w:ascii="仿宋_GB2312" w:hAnsi="仿宋_GB2312" w:cs="仿宋_GB2312" w:eastAsia="仿宋_GB2312"/>
                      <w:sz w:val="21"/>
                    </w:rPr>
                    <w:t>AB卷及选做题识别同步完成；支持扫错学科自动检测与提示；支持折角自动检测与提示；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、支持直接选定班级或导入指定名单进行扫描识别；支持同一场考试每一个学科设置有不同的参加考试的学生名单；支持答题卡扫描时针对学生填涂的考号、客观题、选做题、</w:t>
                  </w:r>
                  <w:r>
                    <w:rPr>
                      <w:rFonts w:ascii="仿宋_GB2312" w:hAnsi="仿宋_GB2312" w:cs="仿宋_GB2312" w:eastAsia="仿宋_GB2312"/>
                      <w:sz w:val="21"/>
                    </w:rPr>
                    <w:t>AB卷信息存在错填、误填、漏填的信息具有自动检测、提示功能；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云端阅卷，教师阅卷过程中可标记优秀卷、典型错误卷；支持使用鼠标点击打分板给分、键盘输入给分；需支持打勾划圈、写评语操作并能够保留阅卷痕迹；支持阅卷老师设置评分步长；支持老师在改卷时，将疑难的试卷提交成问题卷；</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、支持按班级进行阅卷，老师只需阅所负责班级的试卷，阅完后即可提前导出成绩，支持分班发布成绩；</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、支持管理员、科组长角色对阅卷的总体进度、各题进度、个人进度及阅卷质量的实时监控；</w:t>
                  </w:r>
                  <w:r>
                    <w:rPr>
                      <w:rFonts w:ascii="仿宋_GB2312" w:hAnsi="仿宋_GB2312" w:cs="仿宋_GB2312" w:eastAsia="仿宋_GB2312"/>
                      <w:sz w:val="21"/>
                    </w:rPr>
                    <w:t>阅卷过程中，需支持管理员、科组长角色对主观题进行核查，包括按学生、按班级查看得分明细，修改打分结果；</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手工智能评卷</w:t>
                  </w:r>
                  <w:r>
                    <w:rPr>
                      <w:rFonts w:ascii="仿宋_GB2312" w:hAnsi="仿宋_GB2312" w:cs="仿宋_GB2312" w:eastAsia="仿宋_GB2312"/>
                      <w:sz w:val="21"/>
                    </w:rPr>
                    <w:t>数据采集</w:t>
                  </w:r>
                </w:p>
                <w:p>
                  <w:pPr>
                    <w:pStyle w:val="null3"/>
                    <w:jc w:val="both"/>
                  </w:pPr>
                  <w:r>
                    <w:rPr>
                      <w:rFonts w:ascii="仿宋_GB2312" w:hAnsi="仿宋_GB2312" w:cs="仿宋_GB2312" w:eastAsia="仿宋_GB2312"/>
                      <w:sz w:val="21"/>
                    </w:rPr>
                    <w:t>1、支持从系统题库中按选择题目，系统自动生成答题卡；支持教师使用web端浏览器在线制作编辑答题卡；</w:t>
                  </w:r>
                </w:p>
                <w:p>
                  <w:pPr>
                    <w:pStyle w:val="null3"/>
                  </w:pPr>
                  <w:r>
                    <w:rPr>
                      <w:rFonts w:ascii="仿宋_GB2312" w:hAnsi="仿宋_GB2312" w:cs="仿宋_GB2312" w:eastAsia="仿宋_GB2312"/>
                      <w:sz w:val="21"/>
                    </w:rPr>
                    <w:t>2、</w:t>
                  </w:r>
                  <w:r>
                    <w:rPr>
                      <w:rFonts w:ascii="仿宋_GB2312" w:hAnsi="仿宋_GB2312" w:cs="仿宋_GB2312" w:eastAsia="仿宋_GB2312"/>
                      <w:sz w:val="21"/>
                    </w:rPr>
                    <w:t>初高中语文、数学、英语、物理、化学、生物、政治、历史、地理、科学、历史与社会、信息技术、通用技术学科，需支持导入</w:t>
                  </w:r>
                  <w:r>
                    <w:rPr>
                      <w:rFonts w:ascii="仿宋_GB2312" w:hAnsi="仿宋_GB2312" w:cs="仿宋_GB2312" w:eastAsia="仿宋_GB2312"/>
                      <w:sz w:val="21"/>
                    </w:rPr>
                    <w:t>Word试卷，系统自动切题；支持根据切题结构自动生成答题卡；</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支持通过准考证号、短学号、自定义考号（学校自定义4~14位考号）、填涂考号，以及条形码、手写考号多种识别方式识别答题卡上的学生信息；支持填涂考号和贴条形码区域并存，且支持在一场考试里，两种方式并用；</w:t>
                  </w:r>
                </w:p>
                <w:p>
                  <w:pPr>
                    <w:pStyle w:val="null3"/>
                    <w:jc w:val="both"/>
                  </w:pPr>
                  <w:r>
                    <w:rPr>
                      <w:rFonts w:ascii="仿宋_GB2312" w:hAnsi="仿宋_GB2312" w:cs="仿宋_GB2312" w:eastAsia="仿宋_GB2312"/>
                      <w:sz w:val="21"/>
                    </w:rPr>
                    <w:t>4、答题卡排版需支持单选题、多选题、判断题、填空题、解答题、选做题多种题型；填空题支持一题多空的批阅；解答题支持分步骤批阅；支持将混合题中的客观题作答区域并入顶部客观题填涂区、客观题至多26个选项、顶部考试信息区域更紧凑的排版方式；</w:t>
                  </w:r>
                </w:p>
                <w:p>
                  <w:pPr>
                    <w:pStyle w:val="null3"/>
                    <w:jc w:val="both"/>
                  </w:pPr>
                  <w:r>
                    <w:rPr>
                      <w:rFonts w:ascii="仿宋_GB2312" w:hAnsi="仿宋_GB2312" w:cs="仿宋_GB2312" w:eastAsia="仿宋_GB2312"/>
                      <w:sz w:val="21"/>
                    </w:rPr>
                    <w:t>5、支持仅红笔批改痕迹的识别和任意笔批改痕迹识别两种方式；</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数据</w:t>
                  </w:r>
                  <w:r>
                    <w:rPr>
                      <w:rFonts w:ascii="仿宋_GB2312" w:hAnsi="仿宋_GB2312" w:cs="仿宋_GB2312" w:eastAsia="仿宋_GB2312"/>
                      <w:sz w:val="21"/>
                    </w:rPr>
                    <w:t>报告</w:t>
                  </w:r>
                </w:p>
                <w:p>
                  <w:pPr>
                    <w:pStyle w:val="null3"/>
                    <w:jc w:val="both"/>
                  </w:pPr>
                  <w:r>
                    <w:rPr>
                      <w:rFonts w:ascii="仿宋_GB2312" w:hAnsi="仿宋_GB2312" w:cs="仿宋_GB2312" w:eastAsia="仿宋_GB2312"/>
                      <w:sz w:val="21"/>
                    </w:rPr>
                    <w:t>1、支持单次考试结束后，用户可根据需要生成</w:t>
                  </w:r>
                  <w:r>
                    <w:rPr>
                      <w:rFonts w:ascii="仿宋_GB2312" w:hAnsi="仿宋_GB2312" w:cs="仿宋_GB2312" w:eastAsia="仿宋_GB2312"/>
                      <w:sz w:val="21"/>
                    </w:rPr>
                    <w:t>不少于</w:t>
                  </w:r>
                  <w:r>
                    <w:rPr>
                      <w:rFonts w:ascii="仿宋_GB2312" w:hAnsi="仿宋_GB2312" w:cs="仿宋_GB2312" w:eastAsia="仿宋_GB2312"/>
                      <w:sz w:val="21"/>
                    </w:rPr>
                    <w:t>20份分析报告；支持根据学校诉求自主选择报告是否向校内校长、副校长、年级主任、学科组长、备课组长、班主任、副班主任、老师角色发布；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、支持新高考模式下的行政班与教学班双重评价分析；行政班支持查看行政班维度的单科报告，教学班支持查看教学班维度的单科报告；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设置试卷分卷，支持设置分卷名称及试题所属分卷并进行分卷分析；支持按照行政班或教学班、学生标签、学生选科组合、学科组灵活选择统计分析的学生范围，并支持用户组合单个或多个班级标签类型进行对比分析</w:t>
                  </w:r>
                  <w:r>
                    <w:rPr>
                      <w:rFonts w:ascii="仿宋_GB2312" w:hAnsi="仿宋_GB2312" w:cs="仿宋_GB2312" w:eastAsia="仿宋_GB2312"/>
                      <w:sz w:val="21"/>
                    </w:rPr>
                    <w:t>；</w:t>
                  </w:r>
                  <w:r>
                    <w:rPr>
                      <w:rFonts w:ascii="仿宋_GB2312" w:hAnsi="仿宋_GB2312" w:cs="仿宋_GB2312" w:eastAsia="仿宋_GB2312"/>
                      <w:sz w:val="21"/>
                    </w:rPr>
                    <w:t>支持选定学科分析，并支持对多个学科设置不同的权重后进行组合分析；</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、支持新高考区域分析诉求，生成物理、历史方向报告或选科报告。</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查看校级多学科报告，指标包括学科成绩对比、班级成绩对比、学业等级分布、成绩分段对比、进线分析、临界生对比、优秀学困生对比、优劣势学科对比；支持查看校级单学科报告，指标包括班级成绩对比、学业等级分布、成绩分段对比、进线分析、临界生对比、优秀生学困生对比；</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支持查看试卷分析，指标包括试卷整体难度、试题难度比例、信度、区分度、大题分析、小题分析、知识点分析、核心素养分析、作答详情；支持选择添加班级进行对比分析；</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支持分析数据</w:t>
                  </w:r>
                  <w:r>
                    <w:rPr>
                      <w:rFonts w:ascii="仿宋_GB2312" w:hAnsi="仿宋_GB2312" w:cs="仿宋_GB2312" w:eastAsia="仿宋_GB2312"/>
                      <w:sz w:val="21"/>
                    </w:rPr>
                    <w:t>Excel格式一键导出；支持上传和查看试卷；提供全部和各班学生成绩，指标包括校次、班次及进退步情况、各学科分数；支持各班级和全部学生的学生成绩表、单科成绩汇总、学生小题明细表、题组得分情况统计数据Excel格式导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班主任查看班级多学科报告，指标包括学科成绩对比、平均分对比、学业等级分布、成绩分段对比、优劣势学科对比；支持授课教师查看授课学科的班级单学科报告，指标包括学情概览、平均分对比、学业等级分布、需关注学生、高频错题；</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查看试题答题统计，包括试题的班级均分和得分率、年级均分和得分率、客观题选项数据统计和主观题得分数据统计柱状图，并支持查看对应学生名单；支持查看优秀解答和典型错误的典型卷；支持典型试卷图片导出；</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、支持移动端的试卷讲评工具：按照题号顺序或学生作答情况对试题进行讲解排序，支持单题学生作答情况分段统计、错题名单及学生原卷调取、典型试卷调取。</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、智能批改</w:t>
                  </w:r>
                </w:p>
                <w:p>
                  <w:pPr>
                    <w:pStyle w:val="null3"/>
                    <w:jc w:val="both"/>
                  </w:pPr>
                  <w:r>
                    <w:rPr>
                      <w:rFonts w:ascii="仿宋_GB2312" w:hAnsi="仿宋_GB2312" w:cs="仿宋_GB2312" w:eastAsia="仿宋_GB2312"/>
                      <w:sz w:val="21"/>
                    </w:rPr>
                    <w:t>1、支持英语填空题自动评分；支持英语填空题人机双评功能；支持英语作文自动评分及英语作文人机双评；支持语文填空题（古诗词默写）的自动评分；</w:t>
                  </w:r>
                </w:p>
                <w:p>
                  <w:pPr>
                    <w:pStyle w:val="null3"/>
                  </w:pPr>
                  <w:r>
                    <w:rPr>
                      <w:rFonts w:ascii="仿宋_GB2312" w:hAnsi="仿宋_GB2312" w:cs="仿宋_GB2312" w:eastAsia="仿宋_GB2312"/>
                      <w:sz w:val="21"/>
                    </w:rPr>
                    <w:t>2、支持英语短文改错题自动评分；</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、支持数学解答题（主观题）的自动评分；</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4、需提供班级整体的英语作文智能批改报告，包括英语作文的成绩分布情况，诊断作文中书写不规范、短语错误、动词错误、名词错误、词性错误常见错误类型，统计分析学生犯错频次并显示学生具体的错误信息，并可导出班级作文批改分析报告；系统提供学生个人智能批改报告，覆盖作文分数、作文批改详情指标；</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2</w:t>
                  </w:r>
                </w:p>
              </w:tc>
              <w:tc>
                <w:tcPr>
                  <w:tcW w:type="dxa" w:w="4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套</w:t>
                  </w:r>
                  <w:r>
                    <w:rPr>
                      <w:rFonts w:ascii="仿宋_GB2312" w:hAnsi="仿宋_GB2312" w:cs="仿宋_GB2312" w:eastAsia="仿宋_GB2312"/>
                      <w:sz w:val="21"/>
                    </w:rPr>
                    <w:t>/三年</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2</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jc w:val="center"/>
                  </w:pPr>
                  <w:r>
                    <w:rPr>
                      <w:rFonts w:ascii="仿宋_GB2312" w:hAnsi="仿宋_GB2312" w:cs="仿宋_GB2312" w:eastAsia="仿宋_GB2312"/>
                      <w:sz w:val="21"/>
                    </w:rPr>
                    <w:t>AI教学系统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AI课堂分析</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pPr>
                  <w:r>
                    <w:rPr>
                      <w:rFonts w:ascii="仿宋_GB2312" w:hAnsi="仿宋_GB2312" w:cs="仿宋_GB2312" w:eastAsia="仿宋_GB2312"/>
                      <w:sz w:val="21"/>
                    </w:rPr>
                    <w:t>一、基础管理平台</w:t>
                  </w:r>
                </w:p>
                <w:p>
                  <w:pPr>
                    <w:pStyle w:val="null3"/>
                    <w:spacing w:before="30"/>
                    <w:ind w:left="120" w:right="105"/>
                  </w:pPr>
                  <w:r>
                    <w:rPr>
                      <w:rFonts w:ascii="仿宋_GB2312" w:hAnsi="仿宋_GB2312" w:cs="仿宋_GB2312" w:eastAsia="仿宋_GB2312"/>
                      <w:sz w:val="21"/>
                    </w:rPr>
                    <w:t>1.部署架构：系统需支持多样化部署方式。</w:t>
                  </w:r>
                </w:p>
                <w:p>
                  <w:pPr>
                    <w:pStyle w:val="null3"/>
                    <w:spacing w:before="30"/>
                    <w:ind w:left="120" w:right="105"/>
                  </w:pPr>
                  <w:r>
                    <w:rPr>
                      <w:rFonts w:ascii="仿宋_GB2312" w:hAnsi="仿宋_GB2312" w:cs="仿宋_GB2312" w:eastAsia="仿宋_GB2312"/>
                      <w:sz w:val="21"/>
                    </w:rPr>
                    <w:t>2.访问方式：需支持主流架构，用户通过主流浏览器即可通过网络访问后台，完成管理与应用操作。</w:t>
                  </w:r>
                </w:p>
                <w:p>
                  <w:pPr>
                    <w:pStyle w:val="null3"/>
                    <w:spacing w:before="30"/>
                    <w:ind w:left="120" w:right="105"/>
                  </w:pPr>
                  <w:r>
                    <w:rPr>
                      <w:rFonts w:ascii="仿宋_GB2312" w:hAnsi="仿宋_GB2312" w:cs="仿宋_GB2312" w:eastAsia="仿宋_GB2312"/>
                      <w:sz w:val="21"/>
                    </w:rPr>
                    <w:t>3.权限体系：具备完善的组织架构与用户权限管理机制，支持基于角色的访问控制，可针对不同角色灵活配置操作权限，确保平台资源与数据的安全性。</w:t>
                  </w:r>
                </w:p>
                <w:p>
                  <w:pPr>
                    <w:pStyle w:val="null3"/>
                    <w:spacing w:before="30"/>
                    <w:ind w:left="120" w:right="105"/>
                  </w:pPr>
                  <w:r>
                    <w:rPr>
                      <w:rFonts w:ascii="仿宋_GB2312" w:hAnsi="仿宋_GB2312" w:cs="仿宋_GB2312" w:eastAsia="仿宋_GB2312"/>
                      <w:sz w:val="21"/>
                    </w:rPr>
                    <w:t>4.教室与设备关联：支持教学楼及教室的创建与维护；支持将教室与教学设备（如教师摄像机、学生摄像机、智慧黑板等）进行绑定关联。</w:t>
                  </w:r>
                </w:p>
                <w:p>
                  <w:pPr>
                    <w:pStyle w:val="null3"/>
                    <w:spacing w:before="30"/>
                    <w:ind w:left="120" w:right="105"/>
                  </w:pPr>
                  <w:r>
                    <w:rPr>
                      <w:rFonts w:ascii="仿宋_GB2312" w:hAnsi="仿宋_GB2312" w:cs="仿宋_GB2312" w:eastAsia="仿宋_GB2312"/>
                      <w:sz w:val="21"/>
                    </w:rPr>
                    <w:t>5.课表管理：支持管理员创建、维护班级课程，并提供课表批量导入功能；课表字段需包含学期、周次、单双周、节次、星期、教室、班级、教师、课程信息等。</w:t>
                  </w:r>
                </w:p>
                <w:p>
                  <w:pPr>
                    <w:pStyle w:val="null3"/>
                    <w:spacing w:before="30"/>
                    <w:ind w:left="120" w:right="105"/>
                  </w:pPr>
                  <w:r>
                    <w:rPr>
                      <w:rFonts w:ascii="仿宋_GB2312" w:hAnsi="仿宋_GB2312" w:cs="仿宋_GB2312" w:eastAsia="仿宋_GB2312"/>
                      <w:sz w:val="21"/>
                    </w:rPr>
                    <w:t>6.自定义角色：支持系统管理员根据实际业务需求，自定义创建不同角色并分配对应的功能操作权限。</w:t>
                  </w:r>
                </w:p>
                <w:p>
                  <w:pPr>
                    <w:pStyle w:val="null3"/>
                    <w:spacing w:before="30"/>
                    <w:ind w:left="120" w:right="105"/>
                  </w:pPr>
                  <w:r>
                    <w:rPr>
                      <w:rFonts w:ascii="仿宋_GB2312" w:hAnsi="仿宋_GB2312" w:cs="仿宋_GB2312" w:eastAsia="仿宋_GB2312"/>
                      <w:sz w:val="21"/>
                    </w:rPr>
                    <w:t>二、</w:t>
                  </w:r>
                  <w:r>
                    <w:rPr>
                      <w:rFonts w:ascii="仿宋_GB2312" w:hAnsi="仿宋_GB2312" w:cs="仿宋_GB2312" w:eastAsia="仿宋_GB2312"/>
                      <w:sz w:val="21"/>
                    </w:rPr>
                    <w:t>AI课堂分析系统</w:t>
                  </w:r>
                </w:p>
                <w:p>
                  <w:pPr>
                    <w:pStyle w:val="null3"/>
                    <w:spacing w:before="30"/>
                    <w:ind w:left="120" w:right="105"/>
                  </w:pPr>
                  <w:r>
                    <w:rPr>
                      <w:rFonts w:ascii="仿宋_GB2312" w:hAnsi="仿宋_GB2312" w:cs="仿宋_GB2312" w:eastAsia="仿宋_GB2312"/>
                      <w:sz w:val="21"/>
                    </w:rPr>
                    <w:t>1.语音转字幕：支持视频与字幕自动适配功能，在播放授课音视频时，自动调用语音识别服务，将教师语音实时转换为文字字幕。</w:t>
                  </w:r>
                </w:p>
                <w:p>
                  <w:pPr>
                    <w:pStyle w:val="null3"/>
                  </w:pPr>
                  <w:r>
                    <w:rPr>
                      <w:rFonts w:ascii="仿宋_GB2312" w:hAnsi="仿宋_GB2312" w:cs="仿宋_GB2312" w:eastAsia="仿宋_GB2312"/>
                      <w:sz w:val="21"/>
                    </w:rPr>
                    <w:t>2.提问模型分析：支持自动提取教学视频中教师提出的问题，分析问题间的逻辑关联；结合教育学相关理论模型，从记忆、理解、应用、分析、评价、创造等维度对问题进行归类与深度解析。</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pPr>
                  <w:r>
                    <w:rPr>
                      <w:rFonts w:ascii="仿宋_GB2312" w:hAnsi="仿宋_GB2312" w:cs="仿宋_GB2312" w:eastAsia="仿宋_GB2312"/>
                      <w:sz w:val="21"/>
                    </w:rPr>
                    <w:t>3.教学行为分析：支持基于经典课堂教学互动评价理论，自动生成师生互动行为图表（如S-T图、Rt-Ch图等），量化分析教师的授课类型（对话型、练习型、混合型、讲授型）以及师生互动的行为特征、频次与时间分布。</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spacing w:before="30"/>
                    <w:ind w:right="105"/>
                  </w:pPr>
                  <w:r>
                    <w:rPr>
                      <w:rFonts w:ascii="仿宋_GB2312" w:hAnsi="仿宋_GB2312" w:cs="仿宋_GB2312" w:eastAsia="仿宋_GB2312"/>
                      <w:sz w:val="21"/>
                    </w:rPr>
                    <w:t>4.智能点评与建议：支持通过对授课视频的综合分析，自动生成教学内容小结、教学点评及改进建议反馈。</w:t>
                  </w:r>
                </w:p>
                <w:p>
                  <w:pPr>
                    <w:pStyle w:val="null3"/>
                    <w:spacing w:before="30"/>
                    <w:ind w:right="105"/>
                  </w:pPr>
                  <w:r>
                    <w:rPr>
                      <w:rFonts w:ascii="仿宋_GB2312" w:hAnsi="仿宋_GB2312" w:cs="仿宋_GB2312" w:eastAsia="仿宋_GB2312"/>
                      <w:sz w:val="21"/>
                    </w:rPr>
                    <w:t>5.教案一致性比对：支持将课前教案与课堂实况进行智能比对，自动分析授课内容与教案的吻合度，评估教师是否按计划授课，并提供一致性数据统计。</w:t>
                  </w:r>
                </w:p>
                <w:p>
                  <w:pPr>
                    <w:pStyle w:val="null3"/>
                    <w:jc w:val="both"/>
                  </w:pPr>
                  <w:r>
                    <w:rPr>
                      <w:rFonts w:ascii="仿宋_GB2312" w:hAnsi="仿宋_GB2312" w:cs="仿宋_GB2312" w:eastAsia="仿宋_GB2312"/>
                      <w:sz w:val="21"/>
                    </w:rPr>
                    <w:t>6.知识点/关键词切片与检索：支持利用AI大模型自动识别授课视频中的关键词与知识点，标记其在视频中出现的时间节点与画面截图；支持自定义关键词检索，点击结果可直接跳转至对应视频片段。</w:t>
                  </w:r>
                </w:p>
                <w:p>
                  <w:pPr>
                    <w:pStyle w:val="null3"/>
                  </w:pPr>
                  <w:r>
                    <w:rPr>
                      <w:rFonts w:ascii="仿宋_GB2312" w:hAnsi="仿宋_GB2312" w:cs="仿宋_GB2312" w:eastAsia="仿宋_GB2312"/>
                      <w:sz w:val="21"/>
                    </w:rPr>
                    <w:t>7.学习方式效能分析：支持综合分析师生行为，结合“学习金字塔”等相关教育理论，量化学生在听讲、阅读、视听、演示、讨论、实践、教授他人等环节的行为占比，为提升学习效率提供科学依据。</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spacing w:before="30"/>
                    <w:ind w:left="120" w:right="105"/>
                  </w:pPr>
                  <w:r>
                    <w:rPr>
                      <w:rFonts w:ascii="仿宋_GB2312" w:hAnsi="仿宋_GB2312" w:cs="仿宋_GB2312" w:eastAsia="仿宋_GB2312"/>
                      <w:sz w:val="21"/>
                    </w:rPr>
                    <w:t>8.多维度评价模板：支持根据不同学科属性与教学要求，灵活设置差异化的教学评价模版。</w:t>
                  </w:r>
                </w:p>
                <w:p>
                  <w:pPr>
                    <w:pStyle w:val="null3"/>
                    <w:spacing w:before="30"/>
                    <w:ind w:left="120" w:right="105"/>
                  </w:pPr>
                  <w:r>
                    <w:rPr>
                      <w:rFonts w:ascii="仿宋_GB2312" w:hAnsi="仿宋_GB2312" w:cs="仿宋_GB2312" w:eastAsia="仿宋_GB2312"/>
                      <w:sz w:val="21"/>
                    </w:rPr>
                    <w:t>9.思维导图生成：支持在课程结束后，自动提炼核心内容并生成思维导图，直观还原课堂教学脉络。</w:t>
                  </w:r>
                </w:p>
                <w:p>
                  <w:pPr>
                    <w:pStyle w:val="null3"/>
                    <w:jc w:val="both"/>
                  </w:pPr>
                  <w:r>
                    <w:rPr>
                      <w:rFonts w:ascii="仿宋_GB2312" w:hAnsi="仿宋_GB2312" w:cs="仿宋_GB2312" w:eastAsia="仿宋_GB2312"/>
                      <w:sz w:val="21"/>
                    </w:rPr>
                    <w:t>10.AI智能问答助手：支持通过AI智能体针对当堂授课内容进行交互式问答；智能体需能结合本节课的实际授课内容，对师生的疑问进行精准解答。</w:t>
                  </w:r>
                </w:p>
                <w:p>
                  <w:pPr>
                    <w:pStyle w:val="null3"/>
                    <w:spacing w:before="30"/>
                    <w:ind w:left="120" w:right="105"/>
                  </w:pPr>
                  <w:r>
                    <w:rPr>
                      <w:rFonts w:ascii="仿宋_GB2312" w:hAnsi="仿宋_GB2312" w:cs="仿宋_GB2312" w:eastAsia="仿宋_GB2312"/>
                      <w:sz w:val="21"/>
                    </w:rPr>
                    <w:t>11.学生专注度分析：支持对学生课堂行为（如起立、举手、趴桌子、表演、发言、分组讨论等）进行识别与分析，综合评估学生的课堂专注度。</w:t>
                  </w:r>
                </w:p>
                <w:p>
                  <w:pPr>
                    <w:pStyle w:val="null3"/>
                    <w:spacing w:before="30"/>
                    <w:ind w:left="120" w:right="105"/>
                  </w:pPr>
                  <w:r>
                    <w:rPr>
                      <w:rFonts w:ascii="仿宋_GB2312" w:hAnsi="仿宋_GB2312" w:cs="仿宋_GB2312" w:eastAsia="仿宋_GB2312"/>
                      <w:sz w:val="21"/>
                    </w:rPr>
                    <w:t>12.教学环节拆解：支持自动划分教学环节，分析各环节的构成比例及时间段分布。</w:t>
                  </w:r>
                </w:p>
                <w:p>
                  <w:pPr>
                    <w:pStyle w:val="null3"/>
                  </w:pPr>
                  <w:r>
                    <w:rPr>
                      <w:rFonts w:ascii="仿宋_GB2312" w:hAnsi="仿宋_GB2312" w:cs="仿宋_GB2312" w:eastAsia="仿宋_GB2312"/>
                      <w:sz w:val="21"/>
                    </w:rPr>
                    <w:t>13.分段连贯性分析：支持对教学环节进行分段拆解，分析各阶段的教学连贯性、内容完整性及教学特点。</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spacing w:before="30"/>
                    <w:ind w:right="105"/>
                  </w:pPr>
                  <w:r>
                    <w:rPr>
                      <w:rFonts w:ascii="仿宋_GB2312" w:hAnsi="仿宋_GB2312" w:cs="仿宋_GB2312" w:eastAsia="仿宋_GB2312"/>
                      <w:sz w:val="21"/>
                    </w:rPr>
                    <w:t>14.支持上传MP4格式的课堂实录视频，进行智能评价分析。</w:t>
                  </w:r>
                </w:p>
                <w:p>
                  <w:pPr>
                    <w:pStyle w:val="null3"/>
                    <w:spacing w:before="30"/>
                    <w:ind w:right="105"/>
                  </w:pPr>
                  <w:r>
                    <w:rPr>
                      <w:rFonts w:ascii="仿宋_GB2312" w:hAnsi="仿宋_GB2312" w:cs="仿宋_GB2312" w:eastAsia="仿宋_GB2312"/>
                      <w:sz w:val="21"/>
                    </w:rPr>
                    <w:t>15.每年课堂分析数量：≥5000节课。</w:t>
                  </w:r>
                </w:p>
                <w:p>
                  <w:pPr>
                    <w:pStyle w:val="null3"/>
                    <w:spacing w:before="30"/>
                    <w:ind w:left="120" w:right="105"/>
                  </w:pPr>
                  <w:r>
                    <w:rPr>
                      <w:rFonts w:ascii="仿宋_GB2312" w:hAnsi="仿宋_GB2312" w:cs="仿宋_GB2312" w:eastAsia="仿宋_GB2312"/>
                      <w:sz w:val="21"/>
                    </w:rPr>
                    <w:t>三、智能巡课系统</w:t>
                  </w:r>
                </w:p>
                <w:p>
                  <w:pPr>
                    <w:pStyle w:val="null3"/>
                    <w:spacing w:before="30"/>
                    <w:ind w:left="120" w:right="105"/>
                  </w:pPr>
                  <w:r>
                    <w:rPr>
                      <w:rFonts w:ascii="仿宋_GB2312" w:hAnsi="仿宋_GB2312" w:cs="仿宋_GB2312" w:eastAsia="仿宋_GB2312"/>
                      <w:sz w:val="21"/>
                    </w:rPr>
                    <w:t>1.实时直播预览：支持实时接入教室画面的直播预览，预览源需包括教师全景、学生全景、电脑屏幕画面等；支持点击画面自由切换浏览视角。</w:t>
                  </w:r>
                </w:p>
                <w:p>
                  <w:pPr>
                    <w:pStyle w:val="null3"/>
                    <w:spacing w:before="30"/>
                    <w:ind w:left="120" w:right="105"/>
                  </w:pPr>
                  <w:r>
                    <w:rPr>
                      <w:rFonts w:ascii="仿宋_GB2312" w:hAnsi="仿宋_GB2312" w:cs="仿宋_GB2312" w:eastAsia="仿宋_GB2312"/>
                      <w:sz w:val="21"/>
                    </w:rPr>
                    <w:t>2.在线听评课：支持在观看直播时同步进行点评；评价模板可由学校自定义，并结合学科要求差异化配置；巡课员可直接在直播页面填写评价结果与留言。</w:t>
                  </w:r>
                </w:p>
                <w:p>
                  <w:pPr>
                    <w:pStyle w:val="null3"/>
                    <w:spacing w:before="30"/>
                    <w:ind w:left="120" w:right="105"/>
                  </w:pPr>
                  <w:r>
                    <w:rPr>
                      <w:rFonts w:ascii="仿宋_GB2312" w:hAnsi="仿宋_GB2312" w:cs="仿宋_GB2312" w:eastAsia="仿宋_GB2312"/>
                      <w:sz w:val="21"/>
                    </w:rPr>
                    <w:t>3.桌面流媒体推流：支持云桌面直播功能，无需物理HDMI投屏；通过网络推流技术实时捕捉并传输教师授课时的电脑画面或智慧黑板画面；电脑开机即自动开启推流服务，支持在线巡课时实时查看各教室电脑端画面。</w:t>
                  </w:r>
                </w:p>
                <w:p>
                  <w:pPr>
                    <w:pStyle w:val="null3"/>
                    <w:spacing w:before="30"/>
                    <w:ind w:left="120" w:right="105"/>
                  </w:pPr>
                  <w:r>
                    <w:rPr>
                      <w:rFonts w:ascii="仿宋_GB2312" w:hAnsi="仿宋_GB2312" w:cs="仿宋_GB2312" w:eastAsia="仿宋_GB2312"/>
                      <w:sz w:val="21"/>
                    </w:rPr>
                    <w:t>4.高清录制存储：支持根据课表或教师指令对本地教室进行自动视频录制；录制分辨率需达到1080P及以上，封装格式为MP4。</w:t>
                  </w:r>
                </w:p>
                <w:p>
                  <w:pPr>
                    <w:pStyle w:val="null3"/>
                    <w:spacing w:before="30"/>
                    <w:ind w:left="120" w:right="105"/>
                  </w:pPr>
                  <w:r>
                    <w:rPr>
                      <w:rFonts w:ascii="仿宋_GB2312" w:hAnsi="仿宋_GB2312" w:cs="仿宋_GB2312" w:eastAsia="仿宋_GB2312"/>
                      <w:sz w:val="21"/>
                    </w:rPr>
                    <w:t>5.远程预约录课：支持用户通过平台远程发起录课预约，支持单个或批量预约操作。</w:t>
                  </w:r>
                </w:p>
                <w:p>
                  <w:pPr>
                    <w:pStyle w:val="null3"/>
                    <w:spacing w:before="30"/>
                    <w:ind w:left="120" w:right="105"/>
                  </w:pPr>
                  <w:r>
                    <w:rPr>
                      <w:rFonts w:ascii="仿宋_GB2312" w:hAnsi="仿宋_GB2312" w:cs="仿宋_GB2312" w:eastAsia="仿宋_GB2312"/>
                      <w:sz w:val="21"/>
                    </w:rPr>
                    <w:t>6.历史巡课调阅：支持按校区、年级、班级、学科、教师、时间段等多维条件查询历史巡课记录；支持点击进入具体班级查看巡课详情、评价记录及视频回放。</w:t>
                  </w:r>
                </w:p>
                <w:p>
                  <w:pPr>
                    <w:pStyle w:val="null3"/>
                    <w:spacing w:before="30"/>
                    <w:ind w:left="120" w:right="105"/>
                  </w:pPr>
                  <w:r>
                    <w:rPr>
                      <w:rFonts w:ascii="仿宋_GB2312" w:hAnsi="仿宋_GB2312" w:cs="仿宋_GB2312" w:eastAsia="仿宋_GB2312"/>
                      <w:sz w:val="21"/>
                    </w:rPr>
                    <w:t>7.课件同步展示：支持上传教案、课件等附件并与课程绑定；在实时巡课或视频回看时，支持同步展示相关的教案与课件内容。</w:t>
                  </w:r>
                </w:p>
                <w:p>
                  <w:pPr>
                    <w:pStyle w:val="null3"/>
                    <w:spacing w:before="30"/>
                    <w:ind w:left="120" w:right="105"/>
                  </w:pPr>
                  <w:r>
                    <w:rPr>
                      <w:rFonts w:ascii="仿宋_GB2312" w:hAnsi="仿宋_GB2312" w:cs="仿宋_GB2312" w:eastAsia="仿宋_GB2312"/>
                      <w:sz w:val="21"/>
                    </w:rPr>
                    <w:t>8.多机位同步回放：针对一堂课关联多个视频源的场景，支持一键控制所有视频源的同步播放、暂停、快进等操作，保证多视角画面的一致性。</w:t>
                  </w:r>
                </w:p>
                <w:p>
                  <w:pPr>
                    <w:pStyle w:val="null3"/>
                    <w:spacing w:before="30"/>
                    <w:ind w:left="120" w:right="105"/>
                  </w:pPr>
                  <w:r>
                    <w:rPr>
                      <w:rFonts w:ascii="仿宋_GB2312" w:hAnsi="仿宋_GB2312" w:cs="仿宋_GB2312" w:eastAsia="仿宋_GB2312"/>
                      <w:sz w:val="21"/>
                    </w:rPr>
                    <w:t>9.设备兼容：支持对接学校现有录播教室设备、常规教室摄像机，以及带摄像头和拾音功能的智慧黑板，实现录课、巡课、评课等业务闭环。</w:t>
                  </w:r>
                </w:p>
                <w:p>
                  <w:pPr>
                    <w:pStyle w:val="null3"/>
                    <w:jc w:val="both"/>
                  </w:pPr>
                  <w:r>
                    <w:rPr>
                      <w:rFonts w:ascii="仿宋_GB2312" w:hAnsi="仿宋_GB2312" w:cs="仿宋_GB2312" w:eastAsia="仿宋_GB2312"/>
                      <w:sz w:val="21"/>
                    </w:rPr>
                    <w:t>10.手机设备扫码关联：支持通过手机扫码关联课程，使用手机设备进行直播推流。</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jc w:val="center"/>
                  </w:pPr>
                  <w:r>
                    <w:rPr>
                      <w:rFonts w:ascii="仿宋_GB2312" w:hAnsi="仿宋_GB2312" w:cs="仿宋_GB2312" w:eastAsia="仿宋_GB2312"/>
                      <w:sz w:val="21"/>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jc w:val="center"/>
                  </w:pPr>
                  <w:r>
                    <w:rPr>
                      <w:rFonts w:ascii="仿宋_GB2312" w:hAnsi="仿宋_GB2312" w:cs="仿宋_GB2312" w:eastAsia="仿宋_GB2312"/>
                      <w:sz w:val="21"/>
                    </w:rPr>
                    <w:t>套</w:t>
                  </w:r>
                  <w:r>
                    <w:rPr>
                      <w:rFonts w:ascii="仿宋_GB2312" w:hAnsi="仿宋_GB2312" w:cs="仿宋_GB2312" w:eastAsia="仿宋_GB2312"/>
                      <w:sz w:val="21"/>
                    </w:rPr>
                    <w:t>/五年</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3</w:t>
                  </w:r>
                </w:p>
              </w:tc>
              <w:tc>
                <w:tcPr>
                  <w:tcW w:type="dxa" w:w="42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jc w:val="center"/>
                  </w:pPr>
                  <w:r>
                    <w:rPr>
                      <w:rFonts w:ascii="仿宋_GB2312" w:hAnsi="仿宋_GB2312" w:cs="仿宋_GB2312" w:eastAsia="仿宋_GB2312"/>
                      <w:sz w:val="21"/>
                    </w:rPr>
                    <w:t>智慧健康管理系统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运动</w:t>
                  </w:r>
                  <w:r>
                    <w:rPr>
                      <w:rFonts w:ascii="仿宋_GB2312" w:hAnsi="仿宋_GB2312" w:cs="仿宋_GB2312" w:eastAsia="仿宋_GB2312"/>
                      <w:sz w:val="21"/>
                    </w:rPr>
                    <w:t>负荷</w:t>
                  </w:r>
                  <w:r>
                    <w:rPr>
                      <w:rFonts w:ascii="仿宋_GB2312" w:hAnsi="仿宋_GB2312" w:cs="仿宋_GB2312" w:eastAsia="仿宋_GB2312"/>
                      <w:sz w:val="21"/>
                    </w:rPr>
                    <w:t>检测系统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班级学生管理，教师可以根据表格模板填写学生信息，按班级导入学生信息基础数据。</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臂带设备套组管理，教师可以通过模板表格录入臂带编号、</w:t>
                  </w:r>
                  <w:r>
                    <w:rPr>
                      <w:rFonts w:ascii="仿宋_GB2312" w:hAnsi="仿宋_GB2312" w:cs="仿宋_GB2312" w:eastAsia="仿宋_GB2312"/>
                      <w:sz w:val="21"/>
                      <w:shd w:fill="FFFFFF" w:val="clear"/>
                    </w:rPr>
                    <w:t>MAC地址等设备信息，建立多个臂带设备组，展示臂带组别列表。可以设置每个班级同时配对一套设备，也可每个班级一对一配对设备。</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一套臂带设备组支持匹配多个学生班级，训练时选取班级上课，即可进行学生和臂带快速绑定，臂带监测数据与学生进行一对一匹配。</w:t>
                  </w:r>
                </w:p>
                <w:p>
                  <w:pPr>
                    <w:pStyle w:val="null3"/>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教师可以查看体育课、大课间、兴趣班等类型课堂报告，支持选择上课时间快速搜索查看课堂报告。</w:t>
                  </w:r>
                </w:p>
                <w:p>
                  <w:pPr>
                    <w:pStyle w:val="null3"/>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班级训练结束后，系统自动生成班级课堂报告，报告展示课堂总体情况概述，展示班级信息、上课时间、参与人数，分析平均心率持续时间与课程时间占比、分析运动质量、分析最高心率和出现时间、分析运动强度和运动密度是否符合预期，以及分析课堂平均心率变化发展情况是否符合预期。</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pP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班级课堂报告分析内容具体包含班级运动强度、运动密度、平均心率、最高心率、最低心率、心率高于</w:t>
                  </w:r>
                  <w:r>
                    <w:rPr>
                      <w:rFonts w:ascii="仿宋_GB2312" w:hAnsi="仿宋_GB2312" w:cs="仿宋_GB2312" w:eastAsia="仿宋_GB2312"/>
                      <w:sz w:val="21"/>
                      <w:shd w:fill="FFFFFF" w:val="clear"/>
                    </w:rPr>
                    <w:t>120持续时间、平均步数和卡路里，以及运动强度、运动密度、平均心率等预期达成情况、达标人数和达标率。</w:t>
                  </w:r>
                </w:p>
                <w:p>
                  <w:pPr>
                    <w:pStyle w:val="null3"/>
                  </w:pP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班级课堂报告展示班级心率运动曲线、班级平均心率分布、运动强度分布、班级运动强度指数、运动密度分布、班级平均步数、班级平均消耗卡路里、心率异常学生名单和设备未使用学生名单，以及学生个人心率曲线图、步数、卡路里、最高心率、最低心率、平均心率、运动强度和运动密度。</w:t>
                  </w:r>
                </w:p>
                <w:p>
                  <w:pPr>
                    <w:pStyle w:val="null3"/>
                  </w:pPr>
                  <w:r>
                    <w:rPr>
                      <w:rFonts w:ascii="仿宋_GB2312" w:hAnsi="仿宋_GB2312" w:cs="仿宋_GB2312" w:eastAsia="仿宋_GB2312"/>
                      <w:sz w:val="21"/>
                      <w:shd w:fill="FFFFFF" w:val="clear"/>
                    </w:rPr>
                    <w:t>8、</w:t>
                  </w:r>
                  <w:r>
                    <w:rPr>
                      <w:rFonts w:ascii="仿宋_GB2312" w:hAnsi="仿宋_GB2312" w:cs="仿宋_GB2312" w:eastAsia="仿宋_GB2312"/>
                      <w:sz w:val="21"/>
                      <w:shd w:fill="FFFFFF" w:val="clear"/>
                    </w:rPr>
                    <w:t>教师可以浏览、打印班级课堂报告。</w:t>
                  </w:r>
                </w:p>
                <w:p>
                  <w:pPr>
                    <w:pStyle w:val="null3"/>
                  </w:pPr>
                  <w:r>
                    <w:rPr>
                      <w:rFonts w:ascii="仿宋_GB2312" w:hAnsi="仿宋_GB2312" w:cs="仿宋_GB2312" w:eastAsia="仿宋_GB2312"/>
                      <w:sz w:val="21"/>
                      <w:shd w:fill="FFFFFF" w:val="clear"/>
                    </w:rPr>
                    <w:t>9、</w:t>
                  </w:r>
                  <w:r>
                    <w:rPr>
                      <w:rFonts w:ascii="仿宋_GB2312" w:hAnsi="仿宋_GB2312" w:cs="仿宋_GB2312" w:eastAsia="仿宋_GB2312"/>
                      <w:sz w:val="21"/>
                      <w:shd w:fill="FFFFFF" w:val="clear"/>
                    </w:rPr>
                    <w:t>支持统计分析学生日常锻炼的数据，以学生报告形式展示。</w:t>
                  </w:r>
                </w:p>
                <w:p>
                  <w:pPr>
                    <w:pStyle w:val="null3"/>
                  </w:pPr>
                  <w:r>
                    <w:rPr>
                      <w:rFonts w:ascii="仿宋_GB2312" w:hAnsi="仿宋_GB2312" w:cs="仿宋_GB2312" w:eastAsia="仿宋_GB2312"/>
                      <w:sz w:val="21"/>
                      <w:shd w:fill="FFFFFF" w:val="clear"/>
                    </w:rPr>
                    <w:t>10、</w:t>
                  </w:r>
                  <w:r>
                    <w:rPr>
                      <w:rFonts w:ascii="仿宋_GB2312" w:hAnsi="仿宋_GB2312" w:cs="仿宋_GB2312" w:eastAsia="仿宋_GB2312"/>
                      <w:sz w:val="21"/>
                      <w:shd w:fill="FFFFFF" w:val="clear"/>
                    </w:rPr>
                    <w:t>班级训练结束后，系统自动生成学生个人报告，报告展示学生基础信息，包括姓名、年龄、性别、班级。</w:t>
                  </w:r>
                </w:p>
                <w:p>
                  <w:pPr>
                    <w:pStyle w:val="null3"/>
                  </w:pPr>
                  <w:r>
                    <w:rPr>
                      <w:rFonts w:ascii="仿宋_GB2312" w:hAnsi="仿宋_GB2312" w:cs="仿宋_GB2312" w:eastAsia="仿宋_GB2312"/>
                      <w:sz w:val="21"/>
                      <w:shd w:fill="FFFFFF" w:val="clear"/>
                    </w:rPr>
                    <w:t>11、</w:t>
                  </w:r>
                  <w:r>
                    <w:rPr>
                      <w:rFonts w:ascii="仿宋_GB2312" w:hAnsi="仿宋_GB2312" w:cs="仿宋_GB2312" w:eastAsia="仿宋_GB2312"/>
                      <w:sz w:val="21"/>
                      <w:shd w:fill="FFFFFF" w:val="clear"/>
                    </w:rPr>
                    <w:t>学生个人报告展示运动强度数值与预设的期望区间、训练密度数值与预设的期望区间、平均心率数值与预设的期望区间、最低心率数值和最高心率数值，并通过进度条形式展示学生运动强度、训练密度和心率数据。</w:t>
                  </w:r>
                </w:p>
                <w:p>
                  <w:pPr>
                    <w:pStyle w:val="null3"/>
                  </w:pPr>
                  <w:r>
                    <w:rPr>
                      <w:rFonts w:ascii="仿宋_GB2312" w:hAnsi="仿宋_GB2312" w:cs="仿宋_GB2312" w:eastAsia="仿宋_GB2312"/>
                      <w:sz w:val="21"/>
                      <w:shd w:fill="FFFFFF" w:val="clear"/>
                    </w:rPr>
                    <w:t>12、</w:t>
                  </w:r>
                  <w:r>
                    <w:rPr>
                      <w:rFonts w:ascii="仿宋_GB2312" w:hAnsi="仿宋_GB2312" w:cs="仿宋_GB2312" w:eastAsia="仿宋_GB2312"/>
                      <w:sz w:val="21"/>
                      <w:shd w:fill="FFFFFF" w:val="clear"/>
                    </w:rPr>
                    <w:t>学生个人报告展示学生个人平均心率超过</w:t>
                  </w:r>
                  <w:r>
                    <w:rPr>
                      <w:rFonts w:ascii="仿宋_GB2312" w:hAnsi="仿宋_GB2312" w:cs="仿宋_GB2312" w:eastAsia="仿宋_GB2312"/>
                      <w:sz w:val="21"/>
                      <w:shd w:fill="FFFFFF" w:val="clear"/>
                    </w:rPr>
                    <w:t>120时间、课程持续时间和班级排名，总体步数、班级平均步数和班级排名，卡路里、班级平均卡路里和班级排名。</w:t>
                  </w:r>
                </w:p>
                <w:p>
                  <w:pPr>
                    <w:pStyle w:val="null3"/>
                  </w:pPr>
                  <w:r>
                    <w:rPr>
                      <w:rFonts w:ascii="仿宋_GB2312" w:hAnsi="仿宋_GB2312" w:cs="仿宋_GB2312" w:eastAsia="仿宋_GB2312"/>
                      <w:sz w:val="21"/>
                      <w:shd w:fill="FFFFFF" w:val="clear"/>
                    </w:rPr>
                    <w:t>13、</w:t>
                  </w:r>
                  <w:r>
                    <w:rPr>
                      <w:rFonts w:ascii="仿宋_GB2312" w:hAnsi="仿宋_GB2312" w:cs="仿宋_GB2312" w:eastAsia="仿宋_GB2312"/>
                      <w:sz w:val="21"/>
                      <w:shd w:fill="FFFFFF" w:val="clear"/>
                    </w:rPr>
                    <w:t>学生个人报告展示学生个人平均心率曲线和班级平均心率曲线，曲线分别从开始、准备、基本和结束四个阶段展示，并文字描述学生个人平均心率曲线四个阶段的走势程度，以及总体走势是否超过预期值。</w:t>
                  </w:r>
                </w:p>
                <w:p>
                  <w:pPr>
                    <w:pStyle w:val="null3"/>
                  </w:pPr>
                  <w:r>
                    <w:rPr>
                      <w:rFonts w:ascii="仿宋_GB2312" w:hAnsi="仿宋_GB2312" w:cs="仿宋_GB2312" w:eastAsia="仿宋_GB2312"/>
                      <w:sz w:val="21"/>
                      <w:shd w:fill="FFFFFF" w:val="clear"/>
                    </w:rPr>
                    <w:t>14、</w:t>
                  </w:r>
                  <w:r>
                    <w:rPr>
                      <w:rFonts w:ascii="仿宋_GB2312" w:hAnsi="仿宋_GB2312" w:cs="仿宋_GB2312" w:eastAsia="仿宋_GB2312"/>
                      <w:sz w:val="21"/>
                      <w:shd w:fill="FFFFFF" w:val="clear"/>
                    </w:rPr>
                    <w:t>学生个人报告展示学生个人运动强度时间，以条状图形式展示学生在体育课堂上的五大心率区间</w:t>
                  </w:r>
                  <w:r>
                    <w:rPr>
                      <w:rFonts w:ascii="仿宋_GB2312" w:hAnsi="仿宋_GB2312" w:cs="仿宋_GB2312" w:eastAsia="仿宋_GB2312"/>
                      <w:sz w:val="21"/>
                      <w:shd w:fill="FFFFFF" w:val="clear"/>
                    </w:rPr>
                    <w:t>[0,119]，[120,139]，[140,159]，[160,179]，[180+]所占时间。</w:t>
                  </w:r>
                </w:p>
                <w:p>
                  <w:pPr>
                    <w:pStyle w:val="null3"/>
                  </w:pPr>
                  <w:r>
                    <w:rPr>
                      <w:rFonts w:ascii="仿宋_GB2312" w:hAnsi="仿宋_GB2312" w:cs="仿宋_GB2312" w:eastAsia="仿宋_GB2312"/>
                      <w:sz w:val="21"/>
                      <w:shd w:fill="FFFFFF" w:val="clear"/>
                    </w:rPr>
                    <w:t>15、</w:t>
                  </w:r>
                  <w:r>
                    <w:rPr>
                      <w:rFonts w:ascii="仿宋_GB2312" w:hAnsi="仿宋_GB2312" w:cs="仿宋_GB2312" w:eastAsia="仿宋_GB2312"/>
                      <w:sz w:val="21"/>
                      <w:shd w:fill="FFFFFF" w:val="clear"/>
                    </w:rPr>
                    <w:t>学生个人报告展示学生个人步数和卡路里曲线，曲线分别从开始、准备、基本和结束四个阶段展现学生个人的步数和卡路里数据。</w:t>
                  </w:r>
                </w:p>
                <w:p>
                  <w:pPr>
                    <w:pStyle w:val="null3"/>
                  </w:pPr>
                  <w:r>
                    <w:rPr>
                      <w:rFonts w:ascii="仿宋_GB2312" w:hAnsi="仿宋_GB2312" w:cs="仿宋_GB2312" w:eastAsia="仿宋_GB2312"/>
                      <w:sz w:val="21"/>
                      <w:shd w:fill="FFFFFF" w:val="clear"/>
                    </w:rPr>
                    <w:t>16、</w:t>
                  </w:r>
                  <w:r>
                    <w:rPr>
                      <w:rFonts w:ascii="仿宋_GB2312" w:hAnsi="仿宋_GB2312" w:cs="仿宋_GB2312" w:eastAsia="仿宋_GB2312"/>
                      <w:sz w:val="21"/>
                      <w:shd w:fill="FFFFFF" w:val="clear"/>
                    </w:rPr>
                    <w:t>学生个人报告提供综合分析与建议，根据学生个人的心率、步数、卡路里数据提供学生专属运动建议与指导，包含运动强度、持续时间、运动频度和运动动作说明。</w:t>
                  </w:r>
                </w:p>
                <w:p>
                  <w:pPr>
                    <w:pStyle w:val="null3"/>
                  </w:pPr>
                  <w:r>
                    <w:rPr>
                      <w:rFonts w:ascii="仿宋_GB2312" w:hAnsi="仿宋_GB2312" w:cs="仿宋_GB2312" w:eastAsia="仿宋_GB2312"/>
                      <w:sz w:val="21"/>
                      <w:shd w:fill="FFFFFF" w:val="clear"/>
                    </w:rPr>
                    <w:t>17、</w:t>
                  </w:r>
                  <w:r>
                    <w:rPr>
                      <w:rFonts w:ascii="仿宋_GB2312" w:hAnsi="仿宋_GB2312" w:cs="仿宋_GB2312" w:eastAsia="仿宋_GB2312"/>
                      <w:sz w:val="21"/>
                      <w:shd w:fill="FFFFFF" w:val="clear"/>
                    </w:rPr>
                    <w:t>支持按学年、学期查看心率数据分析，展示心率监测课时、心率监测班级、总体平均心率、心率</w:t>
                  </w:r>
                  <w:r>
                    <w:rPr>
                      <w:rFonts w:ascii="仿宋_GB2312" w:hAnsi="仿宋_GB2312" w:cs="仿宋_GB2312" w:eastAsia="仿宋_GB2312"/>
                      <w:sz w:val="21"/>
                      <w:shd w:fill="FFFFFF" w:val="clear"/>
                    </w:rPr>
                    <w:t>≥120平均时间，并以图形形式展示课时数对比、平均心率、心率大于等于120的平均时间、累计运动强度、累计运动密度统计。</w:t>
                  </w:r>
                </w:p>
                <w:p>
                  <w:pPr>
                    <w:pStyle w:val="null3"/>
                  </w:pPr>
                  <w:r>
                    <w:rPr>
                      <w:rFonts w:ascii="仿宋_GB2312" w:hAnsi="仿宋_GB2312" w:cs="仿宋_GB2312" w:eastAsia="仿宋_GB2312"/>
                      <w:sz w:val="21"/>
                      <w:shd w:fill="FFFFFF" w:val="clear"/>
                    </w:rPr>
                    <w:t>18、</w:t>
                  </w:r>
                  <w:r>
                    <w:rPr>
                      <w:rFonts w:ascii="仿宋_GB2312" w:hAnsi="仿宋_GB2312" w:cs="仿宋_GB2312" w:eastAsia="仿宋_GB2312"/>
                      <w:sz w:val="21"/>
                      <w:shd w:fill="FFFFFF" w:val="clear"/>
                    </w:rPr>
                    <w:t>心率数据年级统计结果以表格形式，分性别统计平均心率、平均运动强度、平均运动密度、平均步数、平均卡路里、心率</w:t>
                  </w:r>
                  <w:r>
                    <w:rPr>
                      <w:rFonts w:ascii="仿宋_GB2312" w:hAnsi="仿宋_GB2312" w:cs="仿宋_GB2312" w:eastAsia="仿宋_GB2312"/>
                      <w:sz w:val="21"/>
                      <w:shd w:fill="FFFFFF" w:val="clear"/>
                    </w:rPr>
                    <w:t>≥120平均时间、最高心率。</w:t>
                  </w:r>
                </w:p>
                <w:p>
                  <w:pPr>
                    <w:pStyle w:val="null3"/>
                  </w:pPr>
                  <w:r>
                    <w:rPr>
                      <w:rFonts w:ascii="仿宋_GB2312" w:hAnsi="仿宋_GB2312" w:cs="仿宋_GB2312" w:eastAsia="仿宋_GB2312"/>
                      <w:sz w:val="21"/>
                      <w:shd w:fill="FFFFFF" w:val="clear"/>
                    </w:rPr>
                    <w:t>19、</w:t>
                  </w:r>
                  <w:r>
                    <w:rPr>
                      <w:rFonts w:ascii="仿宋_GB2312" w:hAnsi="仿宋_GB2312" w:cs="仿宋_GB2312" w:eastAsia="仿宋_GB2312"/>
                      <w:sz w:val="21"/>
                      <w:shd w:fill="FFFFFF" w:val="clear"/>
                    </w:rPr>
                    <w:t>心率数据班级统计，支持按学年、学期查询</w:t>
                  </w:r>
                  <w:r>
                    <w:rPr>
                      <w:rFonts w:ascii="仿宋_GB2312" w:hAnsi="仿宋_GB2312" w:cs="仿宋_GB2312" w:eastAsia="仿宋_GB2312"/>
                      <w:sz w:val="21"/>
                    </w:rPr>
                    <w:t>平均心率</w:t>
                  </w:r>
                  <w:r>
                    <w:rPr>
                      <w:rFonts w:ascii="仿宋_GB2312" w:hAnsi="仿宋_GB2312" w:cs="仿宋_GB2312" w:eastAsia="仿宋_GB2312"/>
                      <w:sz w:val="21"/>
                    </w:rPr>
                    <w:t>、</w:t>
                  </w:r>
                  <w:r>
                    <w:rPr>
                      <w:rFonts w:ascii="仿宋_GB2312" w:hAnsi="仿宋_GB2312" w:cs="仿宋_GB2312" w:eastAsia="仿宋_GB2312"/>
                      <w:sz w:val="21"/>
                    </w:rPr>
                    <w:t>心率</w:t>
                  </w:r>
                  <w:r>
                    <w:rPr>
                      <w:rFonts w:ascii="仿宋_GB2312" w:hAnsi="仿宋_GB2312" w:cs="仿宋_GB2312" w:eastAsia="仿宋_GB2312"/>
                      <w:sz w:val="21"/>
                    </w:rPr>
                    <w:t>≥120的平均时间</w:t>
                  </w:r>
                  <w:r>
                    <w:rPr>
                      <w:rFonts w:ascii="仿宋_GB2312" w:hAnsi="仿宋_GB2312" w:cs="仿宋_GB2312" w:eastAsia="仿宋_GB2312"/>
                      <w:sz w:val="21"/>
                    </w:rPr>
                    <w:t>、</w:t>
                  </w:r>
                  <w:r>
                    <w:rPr>
                      <w:rFonts w:ascii="仿宋_GB2312" w:hAnsi="仿宋_GB2312" w:cs="仿宋_GB2312" w:eastAsia="仿宋_GB2312"/>
                      <w:sz w:val="21"/>
                    </w:rPr>
                    <w:t>运动强度及运动密度</w:t>
                  </w:r>
                  <w:r>
                    <w:rPr>
                      <w:rFonts w:ascii="仿宋_GB2312" w:hAnsi="仿宋_GB2312" w:cs="仿宋_GB2312" w:eastAsia="仿宋_GB2312"/>
                      <w:sz w:val="21"/>
                    </w:rPr>
                    <w:t>，统计数据均以图形形式展示。</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套</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采集器软件系统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采集学生运动训练过程中的心率、步数、运动强度等运动数据。</w:t>
                  </w:r>
                </w:p>
                <w:p>
                  <w:pPr>
                    <w:pStyle w:val="null3"/>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数据通过无线技术上传至服务器，进行存储、分析、反馈。</w:t>
                  </w:r>
                </w:p>
                <w:p>
                  <w:pPr>
                    <w:pStyle w:val="null3"/>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支持智能化考勤，自动统计出勤、缺勤学生名单，教师可设置缺勤学生为请假状态，实时生成考勤历史记录。</w:t>
                  </w:r>
                </w:p>
                <w:p>
                  <w:pPr>
                    <w:pStyle w:val="null3"/>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可查看考勤历史，包含班级、考勤时间，以及出勤、缺勤、请假学生人数与名单。</w:t>
                  </w:r>
                </w:p>
                <w:p>
                  <w:pPr>
                    <w:pStyle w:val="null3"/>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体育课监测支持选择上课班级，快速完成换班。</w:t>
                  </w:r>
                </w:p>
                <w:p>
                  <w:pPr>
                    <w:pStyle w:val="null3"/>
                  </w:pP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训练前可以设置每次课堂的训练期望值，包含包含体育课上课时长（</w:t>
                  </w:r>
                  <w:r>
                    <w:rPr>
                      <w:rFonts w:ascii="仿宋_GB2312" w:hAnsi="仿宋_GB2312" w:cs="仿宋_GB2312" w:eastAsia="仿宋_GB2312"/>
                      <w:sz w:val="21"/>
                      <w:shd w:fill="FFFFFF" w:val="clear"/>
                    </w:rPr>
                    <w:t>0-100分钟）、运动强度设计值（0-100）、训练密度设计值（0-100）、平均心率区间（50-200），训练结束后期望值与实际值进行对比。</w:t>
                  </w:r>
                </w:p>
                <w:p>
                  <w:pPr>
                    <w:pStyle w:val="null3"/>
                  </w:pP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教师可以控制体育课堂开始和结束，实时查看班级信息、体育课时长和倒计时时间。</w:t>
                  </w:r>
                </w:p>
                <w:p>
                  <w:pPr>
                    <w:pStyle w:val="null3"/>
                  </w:pPr>
                  <w:r>
                    <w:rPr>
                      <w:rFonts w:ascii="仿宋_GB2312" w:hAnsi="仿宋_GB2312" w:cs="仿宋_GB2312" w:eastAsia="仿宋_GB2312"/>
                      <w:sz w:val="21"/>
                      <w:shd w:fill="FFFFFF" w:val="clear"/>
                    </w:rPr>
                    <w:t>8、</w:t>
                  </w:r>
                  <w:r>
                    <w:rPr>
                      <w:rFonts w:ascii="仿宋_GB2312" w:hAnsi="仿宋_GB2312" w:cs="仿宋_GB2312" w:eastAsia="仿宋_GB2312"/>
                      <w:sz w:val="21"/>
                      <w:shd w:fill="FFFFFF" w:val="clear"/>
                    </w:rPr>
                    <w:t>在手持设备上可以进行心率、步数、强度、卡路里实时数据查看。</w:t>
                  </w:r>
                </w:p>
                <w:p>
                  <w:pPr>
                    <w:pStyle w:val="null3"/>
                  </w:pPr>
                  <w:r>
                    <w:rPr>
                      <w:rFonts w:ascii="仿宋_GB2312" w:hAnsi="仿宋_GB2312" w:cs="仿宋_GB2312" w:eastAsia="仿宋_GB2312"/>
                      <w:sz w:val="21"/>
                      <w:shd w:fill="FFFFFF" w:val="clear"/>
                    </w:rPr>
                    <w:t>9、</w:t>
                  </w:r>
                  <w:r>
                    <w:rPr>
                      <w:rFonts w:ascii="仿宋_GB2312" w:hAnsi="仿宋_GB2312" w:cs="仿宋_GB2312" w:eastAsia="仿宋_GB2312"/>
                      <w:sz w:val="21"/>
                      <w:shd w:fill="FFFFFF" w:val="clear"/>
                    </w:rPr>
                    <w:t>监测软件一屏展示</w:t>
                  </w:r>
                  <w:r>
                    <w:rPr>
                      <w:rFonts w:ascii="仿宋_GB2312" w:hAnsi="仿宋_GB2312" w:cs="仿宋_GB2312" w:eastAsia="仿宋_GB2312"/>
                      <w:sz w:val="21"/>
                      <w:shd w:fill="FFFFFF" w:val="clear"/>
                    </w:rPr>
                    <w:t>≥40个心率数据，心率展示从高到低，心率区间以颜色进行区分。</w:t>
                  </w:r>
                </w:p>
                <w:p>
                  <w:pPr>
                    <w:pStyle w:val="null3"/>
                  </w:pPr>
                  <w:r>
                    <w:rPr>
                      <w:rFonts w:ascii="仿宋_GB2312" w:hAnsi="仿宋_GB2312" w:cs="仿宋_GB2312" w:eastAsia="仿宋_GB2312"/>
                      <w:sz w:val="21"/>
                      <w:shd w:fill="FFFFFF" w:val="clear"/>
                    </w:rPr>
                    <w:t>10、</w:t>
                  </w:r>
                  <w:r>
                    <w:rPr>
                      <w:rFonts w:ascii="仿宋_GB2312" w:hAnsi="仿宋_GB2312" w:cs="仿宋_GB2312" w:eastAsia="仿宋_GB2312"/>
                      <w:sz w:val="21"/>
                      <w:shd w:fill="FFFFFF" w:val="clear"/>
                    </w:rPr>
                    <w:t>心率、步数、强度、卡路里实时数据可以投射到大显示屏。</w:t>
                  </w:r>
                </w:p>
                <w:p>
                  <w:pPr>
                    <w:pStyle w:val="null3"/>
                  </w:pPr>
                  <w:r>
                    <w:rPr>
                      <w:rFonts w:ascii="仿宋_GB2312" w:hAnsi="仿宋_GB2312" w:cs="仿宋_GB2312" w:eastAsia="仿宋_GB2312"/>
                      <w:sz w:val="21"/>
                      <w:shd w:fill="FFFFFF" w:val="clear"/>
                    </w:rPr>
                    <w:t>11、</w:t>
                  </w:r>
                  <w:r>
                    <w:rPr>
                      <w:rFonts w:ascii="仿宋_GB2312" w:hAnsi="仿宋_GB2312" w:cs="仿宋_GB2312" w:eastAsia="仿宋_GB2312"/>
                      <w:sz w:val="21"/>
                      <w:shd w:fill="FFFFFF" w:val="clear"/>
                    </w:rPr>
                    <w:t>支持实时查看班级整体的监测统计数据，包含运动强度、运动密度、平均心率、最高心率、最低心率、心率高于</w:t>
                  </w:r>
                  <w:r>
                    <w:rPr>
                      <w:rFonts w:ascii="仿宋_GB2312" w:hAnsi="仿宋_GB2312" w:cs="仿宋_GB2312" w:eastAsia="仿宋_GB2312"/>
                      <w:sz w:val="21"/>
                      <w:shd w:fill="FFFFFF" w:val="clear"/>
                    </w:rPr>
                    <w:t>120时间、平均步数和平均卡路里等。</w:t>
                  </w:r>
                </w:p>
                <w:p>
                  <w:pPr>
                    <w:pStyle w:val="null3"/>
                  </w:pPr>
                  <w:r>
                    <w:rPr>
                      <w:rFonts w:ascii="仿宋_GB2312" w:hAnsi="仿宋_GB2312" w:cs="仿宋_GB2312" w:eastAsia="仿宋_GB2312"/>
                      <w:sz w:val="21"/>
                      <w:shd w:fill="FFFFFF" w:val="clear"/>
                    </w:rPr>
                    <w:t>12、</w:t>
                  </w:r>
                  <w:r>
                    <w:rPr>
                      <w:rFonts w:ascii="仿宋_GB2312" w:hAnsi="仿宋_GB2312" w:cs="仿宋_GB2312" w:eastAsia="仿宋_GB2312"/>
                      <w:sz w:val="21"/>
                      <w:shd w:fill="FFFFFF" w:val="clear"/>
                    </w:rPr>
                    <w:t>支持查看班级整体、男生、女生实时平均心率曲线。</w:t>
                  </w:r>
                </w:p>
                <w:p>
                  <w:pPr>
                    <w:pStyle w:val="null3"/>
                  </w:pPr>
                  <w:r>
                    <w:rPr>
                      <w:rFonts w:ascii="仿宋_GB2312" w:hAnsi="仿宋_GB2312" w:cs="仿宋_GB2312" w:eastAsia="仿宋_GB2312"/>
                      <w:sz w:val="21"/>
                      <w:shd w:fill="FFFFFF" w:val="clear"/>
                    </w:rPr>
                    <w:t>13、</w:t>
                  </w:r>
                  <w:r>
                    <w:rPr>
                      <w:rFonts w:ascii="仿宋_GB2312" w:hAnsi="仿宋_GB2312" w:cs="仿宋_GB2312" w:eastAsia="仿宋_GB2312"/>
                      <w:sz w:val="21"/>
                      <w:shd w:fill="FFFFFF" w:val="clear"/>
                    </w:rPr>
                    <w:t>支持实时查看运动强度分布和五区间人数分布图等统计数据。</w:t>
                  </w:r>
                </w:p>
                <w:p>
                  <w:pPr>
                    <w:pStyle w:val="null3"/>
                  </w:pPr>
                  <w:r>
                    <w:rPr>
                      <w:rFonts w:ascii="仿宋_GB2312" w:hAnsi="仿宋_GB2312" w:cs="仿宋_GB2312" w:eastAsia="仿宋_GB2312"/>
                      <w:sz w:val="21"/>
                      <w:shd w:fill="FFFFFF" w:val="clear"/>
                    </w:rPr>
                    <w:t>14、</w:t>
                  </w:r>
                  <w:r>
                    <w:rPr>
                      <w:rFonts w:ascii="仿宋_GB2312" w:hAnsi="仿宋_GB2312" w:cs="仿宋_GB2312" w:eastAsia="仿宋_GB2312"/>
                      <w:sz w:val="21"/>
                      <w:shd w:fill="FFFFFF" w:val="clear"/>
                    </w:rPr>
                    <w:t>教师可以查看任意一节体育课的臂带课堂报告。</w:t>
                  </w:r>
                </w:p>
                <w:p>
                  <w:pPr>
                    <w:pStyle w:val="null3"/>
                  </w:pPr>
                  <w:r>
                    <w:rPr>
                      <w:rFonts w:ascii="仿宋_GB2312" w:hAnsi="仿宋_GB2312" w:cs="仿宋_GB2312" w:eastAsia="仿宋_GB2312"/>
                      <w:sz w:val="21"/>
                      <w:shd w:fill="FFFFFF" w:val="clear"/>
                    </w:rPr>
                    <w:t>15、</w:t>
                  </w:r>
                  <w:r>
                    <w:rPr>
                      <w:rFonts w:ascii="仿宋_GB2312" w:hAnsi="仿宋_GB2312" w:cs="仿宋_GB2312" w:eastAsia="仿宋_GB2312"/>
                      <w:sz w:val="21"/>
                      <w:shd w:fill="FFFFFF" w:val="clear"/>
                    </w:rPr>
                    <w:t>班级训练结束后，自动生成训练报告，报告内容包含班级运动强度、运动密度、平均心率、最高心率、最低心率、平均步数、平均消耗卡路里的分析结果，班级、男生、女生平均心率曲线图，运动强度区间人员分布图，缺勤人员名单，心率异常人员名单。</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pPr>
                  <w:r>
                    <w:rPr>
                      <w:rFonts w:ascii="仿宋_GB2312" w:hAnsi="仿宋_GB2312" w:cs="仿宋_GB2312" w:eastAsia="仿宋_GB2312"/>
                      <w:sz w:val="21"/>
                      <w:shd w:fill="FFFFFF" w:val="clear"/>
                    </w:rPr>
                    <w:t>16、学生个人训练数据报告，包含心率曲线图、步数、卡路里、最高心率、最低心率、平均心率。</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套</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体质健康系统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pPr>
                  <w:r>
                    <w:rPr>
                      <w:rFonts w:ascii="仿宋_GB2312" w:hAnsi="仿宋_GB2312" w:cs="仿宋_GB2312" w:eastAsia="仿宋_GB2312"/>
                      <w:sz w:val="21"/>
                      <w:shd w:fill="FFFFFF" w:val="clear"/>
                    </w:rPr>
                    <w:t>体质测试结果不需要电脑中转直接实时上传至体质健康数据平台云端，系统采用</w:t>
                  </w:r>
                  <w:r>
                    <w:rPr>
                      <w:rFonts w:ascii="仿宋_GB2312" w:hAnsi="仿宋_GB2312" w:cs="仿宋_GB2312" w:eastAsia="仿宋_GB2312"/>
                      <w:sz w:val="21"/>
                      <w:shd w:fill="FFFFFF" w:val="clear"/>
                    </w:rPr>
                    <w:t>B/S结构，无需在客户端安装应用程序，支持主流的浏览器。</w:t>
                  </w:r>
                </w:p>
                <w:p>
                  <w:pPr>
                    <w:pStyle w:val="null3"/>
                  </w:pPr>
                  <w:r>
                    <w:rPr>
                      <w:rFonts w:ascii="仿宋_GB2312" w:hAnsi="仿宋_GB2312" w:cs="仿宋_GB2312" w:eastAsia="仿宋_GB2312"/>
                      <w:sz w:val="21"/>
                      <w:shd w:fill="FFFFFF" w:val="clear"/>
                    </w:rPr>
                    <w:t>2、支持导入当前成绩、历史成绩，可按照年级批量导入学生成绩；多维度分析体测各项指标成绩，分班级、年级、项目、男女等，持续多年跟踪学生身体发展趋势；</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pPr>
                  <w:r>
                    <w:rPr>
                      <w:rFonts w:ascii="仿宋_GB2312" w:hAnsi="仿宋_GB2312" w:cs="仿宋_GB2312" w:eastAsia="仿宋_GB2312"/>
                      <w:sz w:val="21"/>
                      <w:shd w:fill="FFFFFF" w:val="clear"/>
                    </w:rPr>
                    <w:t>3、学生健康档案展示学生信息、综合评分、素质统计图、单项指标、学生单项素质多年成绩对比折线图等，支持打印；</w:t>
                  </w:r>
                  <w:r>
                    <w:rPr>
                      <w:rFonts w:ascii="仿宋_GB2312" w:hAnsi="仿宋_GB2312" w:cs="仿宋_GB2312" w:eastAsia="仿宋_GB2312"/>
                      <w:sz w:val="21"/>
                      <w:b/>
                    </w:rPr>
                    <w:t>（提供证明材料</w:t>
                  </w:r>
                  <w:r>
                    <w:rPr>
                      <w:rFonts w:ascii="仿宋_GB2312" w:hAnsi="仿宋_GB2312" w:cs="仿宋_GB2312" w:eastAsia="仿宋_GB2312"/>
                      <w:sz w:val="21"/>
                      <w:b/>
                    </w:rPr>
                    <w:t>及真实系统现场演示</w:t>
                  </w:r>
                  <w:r>
                    <w:rPr>
                      <w:rFonts w:ascii="仿宋_GB2312" w:hAnsi="仿宋_GB2312" w:cs="仿宋_GB2312" w:eastAsia="仿宋_GB2312"/>
                      <w:sz w:val="21"/>
                      <w:b/>
                    </w:rPr>
                    <w:t>）</w:t>
                  </w:r>
                </w:p>
                <w:p>
                  <w:pPr>
                    <w:pStyle w:val="null3"/>
                  </w:pPr>
                  <w:r>
                    <w:rPr>
                      <w:rFonts w:ascii="仿宋_GB2312" w:hAnsi="仿宋_GB2312" w:cs="仿宋_GB2312" w:eastAsia="仿宋_GB2312"/>
                      <w:sz w:val="21"/>
                      <w:shd w:fill="FFFFFF" w:val="clear"/>
                    </w:rPr>
                    <w:t>4、支持下载体质健康数据，包含原始成绩、成绩得分和成绩等级；同时支持导出国家体质健康数据标准表（仅体测数据）；</w:t>
                  </w:r>
                </w:p>
                <w:p>
                  <w:pPr>
                    <w:pStyle w:val="null3"/>
                  </w:pPr>
                  <w:r>
                    <w:rPr>
                      <w:rFonts w:ascii="仿宋_GB2312" w:hAnsi="仿宋_GB2312" w:cs="仿宋_GB2312" w:eastAsia="仿宋_GB2312"/>
                      <w:sz w:val="21"/>
                      <w:shd w:fill="FFFFFF" w:val="clear"/>
                    </w:rPr>
                    <w:t>5、支持打印班级学生体质报告，包含学生信息、综合评分、素质统计图、单项体质指标、体质综合评测、运动建议、膳食建议；</w:t>
                  </w:r>
                </w:p>
                <w:p>
                  <w:pPr>
                    <w:pStyle w:val="null3"/>
                  </w:pPr>
                  <w:r>
                    <w:rPr>
                      <w:rFonts w:ascii="仿宋_GB2312" w:hAnsi="仿宋_GB2312" w:cs="仿宋_GB2312" w:eastAsia="仿宋_GB2312"/>
                      <w:sz w:val="21"/>
                      <w:shd w:fill="FFFFFF" w:val="clear"/>
                    </w:rPr>
                    <w:t>6、自由组合查询，按照查询条件展示班级、年级或全校学生的单项素质分析及总成绩各等级统计人数，支持查看下载优秀、良好、及格和不及格等群体学生名单；</w:t>
                  </w:r>
                </w:p>
                <w:p>
                  <w:pPr>
                    <w:pStyle w:val="null3"/>
                  </w:pPr>
                  <w:r>
                    <w:rPr>
                      <w:rFonts w:ascii="仿宋_GB2312" w:hAnsi="仿宋_GB2312" w:cs="仿宋_GB2312" w:eastAsia="仿宋_GB2312"/>
                      <w:sz w:val="21"/>
                      <w:shd w:fill="FFFFFF" w:val="clear"/>
                    </w:rPr>
                    <w:t>7、系统自动生成体质测试总成绩和各分项分析数据结果，按全校、年级统计总人数、优秀人数和优秀率、良好人数和良好率、及格人数和及格率、不及格人数和不及格率等，支持下载分析数据表格，支持切换列表、图表、性别查看统计数据，支持历年体质统计数据对比分析。</w:t>
                  </w:r>
                </w:p>
                <w:p>
                  <w:pPr>
                    <w:pStyle w:val="null3"/>
                  </w:pPr>
                  <w:r>
                    <w:rPr>
                      <w:rFonts w:ascii="仿宋_GB2312" w:hAnsi="仿宋_GB2312" w:cs="仿宋_GB2312" w:eastAsia="仿宋_GB2312"/>
                      <w:sz w:val="21"/>
                      <w:shd w:fill="FFFFFF" w:val="clear"/>
                    </w:rPr>
                    <w:t>8、系统可以下载体测成绩分析数据表格。以全校整体为单位，可以导出总成绩分析数据，统计分析全校整体和各年级总成绩的等级人数和等级占比；以年级为单位，可以导出整体单项成绩分析数据，统计分析每个年级各项目的等级人数和等级占比；以班级为单位，可以导出整体单项成绩分析数据，统计分析每个班级各项目的等级人数和等级占比。</w:t>
                  </w:r>
                </w:p>
                <w:p>
                  <w:pPr>
                    <w:pStyle w:val="null3"/>
                  </w:pPr>
                  <w:r>
                    <w:rPr>
                      <w:rFonts w:ascii="仿宋_GB2312" w:hAnsi="仿宋_GB2312" w:cs="仿宋_GB2312" w:eastAsia="仿宋_GB2312"/>
                      <w:sz w:val="21"/>
                      <w:shd w:fill="FFFFFF" w:val="clear"/>
                    </w:rPr>
                    <w:t>9、系统通过下达定时任务生成体质健康报告，报告可以查看和导出。</w:t>
                  </w:r>
                </w:p>
                <w:p>
                  <w:pPr>
                    <w:pStyle w:val="null3"/>
                  </w:pPr>
                  <w:r>
                    <w:rPr>
                      <w:rFonts w:ascii="仿宋_GB2312" w:hAnsi="仿宋_GB2312" w:cs="仿宋_GB2312" w:eastAsia="仿宋_GB2312"/>
                      <w:sz w:val="21"/>
                      <w:shd w:fill="FFFFFF" w:val="clear"/>
                    </w:rPr>
                    <w:t>10、体质健康报告以图文形式展现，内容包含前言、测试内容与评价标准、测试对象与测试方法、测试结果与分析、年级数据、身体形态发育状况、身体技能发展状况和身体素质发展状况等分析结果，分年级、分项目、分男女进行体质健康数据分析，并统计平均成绩、标准差、优秀率、良好率、及格率和不及格率等，还与往年成绩进行对比分析。</w:t>
                  </w:r>
                </w:p>
                <w:p>
                  <w:pPr>
                    <w:pStyle w:val="null3"/>
                  </w:pPr>
                  <w:r>
                    <w:rPr>
                      <w:rFonts w:ascii="仿宋_GB2312" w:hAnsi="仿宋_GB2312" w:cs="仿宋_GB2312" w:eastAsia="仿宋_GB2312"/>
                      <w:sz w:val="21"/>
                      <w:shd w:fill="FFFFFF" w:val="clear"/>
                    </w:rPr>
                    <w:t>11、支持打印下载历年体质健康报告。</w:t>
                  </w:r>
                </w:p>
                <w:p>
                  <w:pPr>
                    <w:pStyle w:val="null3"/>
                  </w:pPr>
                  <w:r>
                    <w:rPr>
                      <w:rFonts w:ascii="仿宋_GB2312" w:hAnsi="仿宋_GB2312" w:cs="仿宋_GB2312" w:eastAsia="仿宋_GB2312"/>
                      <w:sz w:val="21"/>
                      <w:shd w:fill="FFFFFF" w:val="clear"/>
                    </w:rPr>
                    <w:t>12、体质健康原始成绩支持移动端数据提交与审核，可以下载导出提交审核数据表格，同时按照模板导入评测临时数据进行审核，审核通过后系统自动统计分析体质数据，未通过返回修改数据再次审核。</w:t>
                  </w:r>
                </w:p>
                <w:p>
                  <w:pPr>
                    <w:pStyle w:val="null3"/>
                  </w:pPr>
                  <w:r>
                    <w:rPr>
                      <w:rFonts w:ascii="仿宋_GB2312" w:hAnsi="仿宋_GB2312" w:cs="仿宋_GB2312" w:eastAsia="仿宋_GB2312"/>
                      <w:sz w:val="21"/>
                      <w:shd w:fill="FFFFFF" w:val="clear"/>
                    </w:rPr>
                    <w:t>13、支持根据国家学生体质健康网学生体质模板填充体质数据，系统按国网体质数据模板学生名单顺序一一匹配体质成绩，并修正表格格式，生成可以直接上传至国网的学校体质健康数据表格。</w:t>
                  </w:r>
                </w:p>
                <w:p>
                  <w:pPr>
                    <w:pStyle w:val="null3"/>
                  </w:pPr>
                  <w:r>
                    <w:rPr>
                      <w:rFonts w:ascii="仿宋_GB2312" w:hAnsi="仿宋_GB2312" w:cs="仿宋_GB2312" w:eastAsia="仿宋_GB2312"/>
                      <w:sz w:val="21"/>
                      <w:shd w:fill="FFFFFF" w:val="clear"/>
                    </w:rPr>
                    <w:t>14、系统提供体质健康原始成绩数据排查功能，排查重复数据、体质不合理数据（BMI:小于等于10，大于等于35；肺活量小于500，大于8000；50米跑：小于等于6秒，大于20秒；50*8往返跑：小于等于1'00，大于5'00；800米跑：小于等于3'00，大于10'00；1000米跑：小于等于3'00，大于10'00），选择学校、组合两个项目查询学生重复数据，选择学校查询体质不合理数据，增加与往年体质成绩对比存在不合理的数据分析，支持直接下载存在重复或数据不合理的分析表格。</w:t>
                  </w:r>
                </w:p>
                <w:p>
                  <w:pPr>
                    <w:pStyle w:val="null3"/>
                  </w:pPr>
                  <w:r>
                    <w:rPr>
                      <w:rFonts w:ascii="仿宋_GB2312" w:hAnsi="仿宋_GB2312" w:cs="仿宋_GB2312" w:eastAsia="仿宋_GB2312"/>
                      <w:sz w:val="21"/>
                      <w:shd w:fill="FFFFFF" w:val="clear"/>
                    </w:rPr>
                    <w:t>15、提供区域数据上报功能，可直接上报体质数据和视力数据给区级监管平台，支持撤销上报、删除记录等操作。</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shd w:fill="FFFFFF" w:val="clear"/>
                    </w:rPr>
                    <w:t>套</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臂带</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防水等级：</w:t>
                  </w:r>
                  <w:r>
                    <w:rPr>
                      <w:rFonts w:ascii="仿宋_GB2312" w:hAnsi="仿宋_GB2312" w:cs="仿宋_GB2312" w:eastAsia="仿宋_GB2312"/>
                      <w:sz w:val="21"/>
                    </w:rPr>
                    <w:t>≥IP67；供电电池：≥90mAh；充电输入电压:5V；</w:t>
                  </w:r>
                </w:p>
                <w:p>
                  <w:pPr>
                    <w:pStyle w:val="null3"/>
                    <w:spacing w:before="30"/>
                    <w:ind w:left="135" w:right="105"/>
                  </w:pPr>
                  <w:r>
                    <w:rPr>
                      <w:rFonts w:ascii="仿宋_GB2312" w:hAnsi="仿宋_GB2312" w:cs="仿宋_GB2312" w:eastAsia="仿宋_GB2312"/>
                      <w:sz w:val="21"/>
                    </w:rPr>
                    <w:t>通讯方式：</w:t>
                  </w:r>
                  <w:r>
                    <w:rPr>
                      <w:rFonts w:ascii="仿宋_GB2312" w:hAnsi="仿宋_GB2312" w:cs="仿宋_GB2312" w:eastAsia="仿宋_GB2312"/>
                      <w:sz w:val="21"/>
                    </w:rPr>
                    <w:t>BLE5.0；心率区间范围：30至240；</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240</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只</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采集器</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系统内存</w:t>
                  </w:r>
                  <w:r>
                    <w:rPr>
                      <w:rFonts w:ascii="仿宋_GB2312" w:hAnsi="仿宋_GB2312" w:cs="仿宋_GB2312" w:eastAsia="仿宋_GB2312"/>
                      <w:sz w:val="21"/>
                    </w:rPr>
                    <w:t>≥4GB；存储容量≥128GB；屏幕尺寸≥12英寸；屏幕分辨率≥2000*1200；屏幕类型：IPS、支持多点触控触摸屏；摄像头≥500万像素；电池类型：锂离子聚合物电池；电池容量：≥7000mAh；包括且不限于Type-C等数据接口；支持WIFI功能、蓝牙功能、OTG功能、无线投屏功能；支持加速度传感器、环境光传感器。</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4</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台</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8</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臂带充电箱</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输入电压</w:t>
                  </w:r>
                  <w:r>
                    <w:rPr>
                      <w:rFonts w:ascii="仿宋_GB2312" w:hAnsi="仿宋_GB2312" w:cs="仿宋_GB2312" w:eastAsia="仿宋_GB2312"/>
                      <w:sz w:val="21"/>
                    </w:rPr>
                    <w:t>:DC12V/3A；充电数量:≥64台</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4</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台</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9</w:t>
                  </w:r>
                </w:p>
              </w:tc>
              <w:tc>
                <w:tcPr>
                  <w:tcW w:type="dxa" w:w="42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jc w:val="center"/>
                  </w:pPr>
                  <w:r>
                    <w:rPr>
                      <w:rFonts w:ascii="仿宋_GB2312" w:hAnsi="仿宋_GB2312" w:cs="仿宋_GB2312" w:eastAsia="仿宋_GB2312"/>
                      <w:sz w:val="21"/>
                    </w:rPr>
                    <w:t>UPS电源套装</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微机教室</w:t>
                  </w:r>
                  <w:r>
                    <w:rPr>
                      <w:rFonts w:ascii="仿宋_GB2312" w:hAnsi="仿宋_GB2312" w:cs="仿宋_GB2312" w:eastAsia="仿宋_GB2312"/>
                      <w:sz w:val="21"/>
                    </w:rPr>
                    <w:t>UPS电源</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1.容量：30KVA/24KW；</w:t>
                  </w:r>
                </w:p>
                <w:p>
                  <w:pPr>
                    <w:pStyle w:val="null3"/>
                    <w:spacing w:before="30"/>
                    <w:ind w:left="135" w:right="105"/>
                  </w:pPr>
                  <w:r>
                    <w:rPr>
                      <w:rFonts w:ascii="仿宋_GB2312" w:hAnsi="仿宋_GB2312" w:cs="仿宋_GB2312" w:eastAsia="仿宋_GB2312"/>
                      <w:sz w:val="21"/>
                    </w:rPr>
                    <w:t>2.输入：额定电压：三相五线制；电压范围：宽电压适应范围（50%负载）；标准三相输入范围（100%负载）；频率范围：支持多种电网频率标准；功率因数：≥0.99；</w:t>
                  </w:r>
                </w:p>
                <w:p>
                  <w:pPr>
                    <w:pStyle w:val="null3"/>
                    <w:spacing w:before="30"/>
                    <w:ind w:left="135" w:right="105"/>
                  </w:pPr>
                  <w:r>
                    <w:rPr>
                      <w:rFonts w:ascii="仿宋_GB2312" w:hAnsi="仿宋_GB2312" w:cs="仿宋_GB2312" w:eastAsia="仿宋_GB2312"/>
                      <w:sz w:val="21"/>
                    </w:rPr>
                    <w:t>3.输出：输出电压：三相四线制，支持多种常规电压等级可调；频率范围（同步校正范围）：高精度稳压稳频；频率范围（电池模式）：高精度独立输出；转换时间：0中断；</w:t>
                  </w:r>
                </w:p>
                <w:p>
                  <w:pPr>
                    <w:pStyle w:val="null3"/>
                    <w:spacing w:before="30"/>
                    <w:ind w:left="135" w:right="105"/>
                  </w:pPr>
                  <w:r>
                    <w:rPr>
                      <w:rFonts w:ascii="仿宋_GB2312" w:hAnsi="仿宋_GB2312" w:cs="仿宋_GB2312" w:eastAsia="仿宋_GB2312"/>
                      <w:sz w:val="21"/>
                    </w:rPr>
                    <w:t>4.效率：市电模式：≥95%；ECO模式：≥98%；电池模式：≥92%；</w:t>
                  </w:r>
                </w:p>
                <w:p>
                  <w:pPr>
                    <w:pStyle w:val="null3"/>
                    <w:spacing w:before="30"/>
                    <w:ind w:left="135" w:right="105"/>
                  </w:pPr>
                  <w:r>
                    <w:rPr>
                      <w:rFonts w:ascii="仿宋_GB2312" w:hAnsi="仿宋_GB2312" w:cs="仿宋_GB2312" w:eastAsia="仿宋_GB2312"/>
                      <w:sz w:val="21"/>
                    </w:rPr>
                    <w:t>5.人机交互与报警：显示功能：需支持LCD显示，实时显示系统状态、负载大小，电池容量、运行模式（市电/电池/旁路）、输入/出电压及故障指示等关键信息；报警功能：具备声光报警机制，涵盖电池供电、低电量、过载及系统错误等异常状态；</w:t>
                  </w:r>
                </w:p>
                <w:p>
                  <w:pPr>
                    <w:pStyle w:val="null3"/>
                    <w:spacing w:before="30"/>
                    <w:ind w:left="135" w:right="105"/>
                  </w:pPr>
                  <w:r>
                    <w:rPr>
                      <w:rFonts w:ascii="仿宋_GB2312" w:hAnsi="仿宋_GB2312" w:cs="仿宋_GB2312" w:eastAsia="仿宋_GB2312"/>
                      <w:sz w:val="21"/>
                    </w:rPr>
                    <w:t>6.控制管理：通信接口：标配智能RS-232/USB通信接口；系统兼容:兼容主流桌面及服务器操作系统。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套</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10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机房</w:t>
                  </w:r>
                  <w:r>
                    <w:rPr>
                      <w:rFonts w:ascii="仿宋_GB2312" w:hAnsi="仿宋_GB2312" w:cs="仿宋_GB2312" w:eastAsia="仿宋_GB2312"/>
                      <w:sz w:val="21"/>
                    </w:rPr>
                    <w:t>UPS电源</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1.容量：6KVA/4.8KW；</w:t>
                  </w:r>
                </w:p>
                <w:p>
                  <w:pPr>
                    <w:pStyle w:val="null3"/>
                    <w:spacing w:before="30"/>
                    <w:ind w:left="135" w:right="105"/>
                  </w:pPr>
                  <w:r>
                    <w:rPr>
                      <w:rFonts w:ascii="仿宋_GB2312" w:hAnsi="仿宋_GB2312" w:cs="仿宋_GB2312" w:eastAsia="仿宋_GB2312"/>
                      <w:sz w:val="21"/>
                    </w:rPr>
                    <w:t>2.输入：输入电压：208/220/230/240VAC；电压范围：110～300VAC（50%负载）；176～300VAC（100%负载）；频率范围：支持多种电网频率标准；功率因数：≥0.99；</w:t>
                  </w:r>
                </w:p>
                <w:p>
                  <w:pPr>
                    <w:pStyle w:val="null3"/>
                    <w:spacing w:before="30"/>
                    <w:ind w:left="135" w:right="105"/>
                  </w:pPr>
                  <w:r>
                    <w:rPr>
                      <w:rFonts w:ascii="仿宋_GB2312" w:hAnsi="仿宋_GB2312" w:cs="仿宋_GB2312" w:eastAsia="仿宋_GB2312"/>
                      <w:sz w:val="21"/>
                    </w:rPr>
                    <w:t>3.输出：输出电压：208/220/230/240VAC；频率范围（同步校正范围）：高精度稳压稳频；频率范围（电池模式）：高精度独立输出；转换时间：0中断；</w:t>
                  </w:r>
                </w:p>
                <w:p>
                  <w:pPr>
                    <w:pStyle w:val="null3"/>
                    <w:spacing w:before="30"/>
                    <w:ind w:left="135" w:right="105"/>
                  </w:pPr>
                  <w:r>
                    <w:rPr>
                      <w:rFonts w:ascii="仿宋_GB2312" w:hAnsi="仿宋_GB2312" w:cs="仿宋_GB2312" w:eastAsia="仿宋_GB2312"/>
                      <w:sz w:val="21"/>
                    </w:rPr>
                    <w:t>4.效率：市电模式：≥93%；电池模式：≥91%；</w:t>
                  </w:r>
                </w:p>
                <w:p>
                  <w:pPr>
                    <w:pStyle w:val="null3"/>
                    <w:spacing w:before="30"/>
                    <w:ind w:left="135" w:right="105"/>
                  </w:pPr>
                  <w:r>
                    <w:rPr>
                      <w:rFonts w:ascii="仿宋_GB2312" w:hAnsi="仿宋_GB2312" w:cs="仿宋_GB2312" w:eastAsia="仿宋_GB2312"/>
                      <w:sz w:val="21"/>
                    </w:rPr>
                    <w:t>5.人机交互与报警：显示功能：需支持LCD显示，实时显示系统状态、负载大小，电池容量、运行模式（市电/电池/旁路）、输入/出电压及故障指示等关键信息；报警功能：具备声光报警机制，涵盖电池供电、低电量、过载及系统错误等异常状态；</w:t>
                  </w:r>
                </w:p>
                <w:p>
                  <w:pPr>
                    <w:pStyle w:val="null3"/>
                    <w:spacing w:before="30"/>
                    <w:ind w:left="135" w:right="105"/>
                  </w:pPr>
                  <w:r>
                    <w:rPr>
                      <w:rFonts w:ascii="仿宋_GB2312" w:hAnsi="仿宋_GB2312" w:cs="仿宋_GB2312" w:eastAsia="仿宋_GB2312"/>
                      <w:sz w:val="21"/>
                    </w:rPr>
                    <w:t>6.控制管理：通信接口：标配智能RS-232/USB通信接口；系统兼容:兼容主流桌面及服务器操作系统。</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1</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套</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11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电池柜</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优质材料，主流工艺，每套可安装</w:t>
                  </w:r>
                  <w:r>
                    <w:rPr>
                      <w:rFonts w:ascii="仿宋_GB2312" w:hAnsi="仿宋_GB2312" w:cs="仿宋_GB2312" w:eastAsia="仿宋_GB2312"/>
                      <w:sz w:val="21"/>
                    </w:rPr>
                    <w:t>≥40只12V65AH电池。</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3</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台</w:t>
                  </w:r>
                </w:p>
              </w:tc>
            </w:tr>
            <w:tr>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1"/>
                    </w:rPr>
                    <w:t>12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1"/>
                    </w:rPr>
                    <w:t>蓄电池</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pPr>
                  <w:r>
                    <w:rPr>
                      <w:rFonts w:ascii="仿宋_GB2312" w:hAnsi="仿宋_GB2312" w:cs="仿宋_GB2312" w:eastAsia="仿宋_GB2312"/>
                      <w:sz w:val="21"/>
                    </w:rPr>
                    <w:t>电压：</w:t>
                  </w:r>
                  <w:r>
                    <w:rPr>
                      <w:rFonts w:ascii="仿宋_GB2312" w:hAnsi="仿宋_GB2312" w:cs="仿宋_GB2312" w:eastAsia="仿宋_GB2312"/>
                      <w:sz w:val="21"/>
                    </w:rPr>
                    <w:t>12V；额定容量：≥65AH；</w:t>
                  </w:r>
                </w:p>
                <w:p>
                  <w:pPr>
                    <w:pStyle w:val="null3"/>
                    <w:spacing w:before="30"/>
                    <w:ind w:left="135" w:right="105"/>
                  </w:pPr>
                  <w:r>
                    <w:rPr>
                      <w:rFonts w:ascii="仿宋_GB2312" w:hAnsi="仿宋_GB2312" w:cs="仿宋_GB2312" w:eastAsia="仿宋_GB2312"/>
                      <w:sz w:val="21"/>
                    </w:rPr>
                    <w:t>电池槽、盖采用高强度材料，结构紧凑，具备优良的耐冲击和抗震动性能；极板合金板栅内阻小、耐腐蚀性好且充电接受能力强；活性物质利用率高；自放电率低；电池无泄漏，保障运行安全可靠。</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120</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1"/>
                    </w:rPr>
                    <w:t>只</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1、以上技术参数与性能指标不允许负偏离，任意一项负偏离按无效投标处理。</w:t>
            </w:r>
          </w:p>
          <w:p>
            <w:pPr>
              <w:pStyle w:val="null3"/>
              <w:numPr>
                <w:ilvl w:val="0"/>
                <w:numId w:val="1"/>
              </w:numPr>
              <w:jc w:val="both"/>
            </w:pPr>
            <w:r>
              <w:rPr>
                <w:rFonts w:ascii="仿宋_GB2312" w:hAnsi="仿宋_GB2312" w:cs="仿宋_GB2312" w:eastAsia="仿宋_GB2312"/>
                <w:sz w:val="21"/>
                <w:b/>
              </w:rPr>
              <w:t>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(技术参数与性能指标中对证明材料有要求的以要求的为准)，未提供或提供的证明材料低于文件规定的相应技术参数时视为负偏离。</w:t>
            </w:r>
          </w:p>
          <w:p>
            <w:pPr>
              <w:pStyle w:val="null3"/>
              <w:numPr>
                <w:ilvl w:val="0"/>
                <w:numId w:val="1"/>
              </w:numPr>
              <w:jc w:val="both"/>
            </w:pPr>
            <w:r>
              <w:rPr>
                <w:rFonts w:ascii="仿宋_GB2312" w:hAnsi="仿宋_GB2312" w:cs="仿宋_GB2312" w:eastAsia="仿宋_GB2312"/>
                <w:sz w:val="21"/>
                <w:b/>
              </w:rPr>
              <w:t>为保证演示效果且直观具象呈现整体功能，须真实系统现场演示，</w:t>
            </w:r>
            <w:r>
              <w:rPr>
                <w:rFonts w:ascii="仿宋_GB2312" w:hAnsi="仿宋_GB2312" w:cs="仿宋_GB2312" w:eastAsia="仿宋_GB2312"/>
                <w:sz w:val="21"/>
                <w:b/>
              </w:rPr>
              <w:t>未</w:t>
            </w:r>
            <w:r>
              <w:rPr>
                <w:rFonts w:ascii="仿宋_GB2312" w:hAnsi="仿宋_GB2312" w:cs="仿宋_GB2312" w:eastAsia="仿宋_GB2312"/>
                <w:sz w:val="21"/>
                <w:b/>
              </w:rPr>
              <w:t>演示</w:t>
            </w:r>
            <w:r>
              <w:rPr>
                <w:rFonts w:ascii="仿宋_GB2312" w:hAnsi="仿宋_GB2312" w:cs="仿宋_GB2312" w:eastAsia="仿宋_GB2312"/>
                <w:sz w:val="21"/>
                <w:b/>
              </w:rPr>
              <w:t>或</w:t>
            </w:r>
            <w:r>
              <w:rPr>
                <w:rFonts w:ascii="仿宋_GB2312" w:hAnsi="仿宋_GB2312" w:cs="仿宋_GB2312" w:eastAsia="仿宋_GB2312"/>
                <w:sz w:val="21"/>
                <w:b/>
              </w:rPr>
              <w:t>演示环节未实质性响应</w:t>
            </w:r>
            <w:r>
              <w:rPr>
                <w:rFonts w:ascii="仿宋_GB2312" w:hAnsi="仿宋_GB2312" w:cs="仿宋_GB2312" w:eastAsia="仿宋_GB2312"/>
                <w:sz w:val="21"/>
                <w:b/>
              </w:rPr>
              <w:t>视为负偏离。</w:t>
            </w:r>
          </w:p>
          <w:p>
            <w:pPr>
              <w:pStyle w:val="null3"/>
            </w:pPr>
            <w:r>
              <w:rPr>
                <w:rFonts w:ascii="仿宋_GB2312" w:hAnsi="仿宋_GB2312" w:cs="仿宋_GB2312" w:eastAsia="仿宋_GB2312"/>
                <w:sz w:val="21"/>
                <w:b/>
              </w:rPr>
              <w:t>4、谈判现场演示出现以下任一情形，视为演示环节未实质性响应，谈判小组有权排除其参加最后报价的资格)：</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1）演示设备、软件、界面与响应文件所述品牌/型号/版本不一致，且不能作出合理解释的；</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2）经核实确属故意采用临时改装、外挂程序、替代设备等方式造假演示的；</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3）无正当理由拒绝演示，或演示中断且不能恢复且不能作出合理解释的。</w:t>
            </w:r>
          </w:p>
          <w:p>
            <w:pPr>
              <w:pStyle w:val="null3"/>
            </w:pPr>
            <w:r>
              <w:rPr>
                <w:rFonts w:ascii="仿宋_GB2312" w:hAnsi="仿宋_GB2312" w:cs="仿宋_GB2312" w:eastAsia="仿宋_GB2312"/>
                <w:sz w:val="21"/>
                <w:b/>
              </w:rPr>
              <w:t>演示功能缺失、卡顿、报错、无法正常运行，经核实确属设备本身问题而非客观故障的，谈判小组有权要求其澄清或排除其参加最后报价的资格。</w:t>
            </w:r>
          </w:p>
          <w:p>
            <w:pPr>
              <w:pStyle w:val="null3"/>
            </w:pPr>
            <w:r>
              <w:rPr>
                <w:rFonts w:ascii="仿宋_GB2312" w:hAnsi="仿宋_GB2312" w:cs="仿宋_GB2312" w:eastAsia="仿宋_GB2312"/>
                <w:sz w:val="21"/>
                <w:b/>
              </w:rPr>
              <w:t>因网络故障、系统问题等客观原因导致演示中断的，供应商可申请重新安排演示。</w:t>
            </w:r>
          </w:p>
          <w:p>
            <w:pPr>
              <w:pStyle w:val="null3"/>
            </w:pPr>
            <w:r>
              <w:rPr>
                <w:rFonts w:ascii="仿宋_GB2312" w:hAnsi="仿宋_GB2312" w:cs="仿宋_GB2312" w:eastAsia="仿宋_GB2312"/>
                <w:sz w:val="21"/>
                <w:b/>
              </w:rPr>
              <w:t>备注：演示时长</w:t>
            </w:r>
            <w:r>
              <w:rPr>
                <w:rFonts w:ascii="仿宋_GB2312" w:hAnsi="仿宋_GB2312" w:cs="仿宋_GB2312" w:eastAsia="仿宋_GB2312"/>
                <w:sz w:val="21"/>
                <w:b/>
              </w:rPr>
              <w:t>20分钟，供应商演示自行准备所需设备及网络。现场演示地点：（代理公司，地址：西安市高新区科技二路72号兰基中心20楼2005室）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自合同签订后30个日历日内交货并完成安装调试。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预付款：合同生效且成交供应商向采购人提交合同总价40%的合法有效预付款银行保函、同时提交合同总价5%的履约保函，并经采购人审核无误后15个工作日内，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其他，验收款：货物全部到货、安装调试完毕、系统对接正常、经采购人组织最终验收合格并出具验收报告后30个工作日内，达到付款条件起15个工作日内，支付合同总金额的60.0%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（一）样品初验：乙方需携带一套样品至甲方指定地点，由甲方对各产品进行初验与测试，其结果应与采购需求和乙方响应内容保持一致。初验通过后，乙方可正常供货。 （二）货物到达甲方指定地点后，甲方根据合同要求，进行外观验收，确认品牌、规格、型号和数量。甲方、乙方双方须在约定的时间和地点共同开箱检验。 （三）产品安装、调试、自检正常，且可正常使用后，由乙方书面通知甲方。 （四）甲方核查乙方提供的产品自检正常报告后，开始进行验收。验收合格后，填写验收单作为对货物的最终认可。 （五）乙方须向甲方提交货物实施过程中的所有资料，以便甲方日后管理和维护。 （六）验收依据： 1、本合同及附件文本； 2、国家相应的标准、规范； 3、竞争性谈判文件、响应文件、澄清表（函）；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自终验合格之日起硬件质保2年，软件免费升级5年。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（一）按《中华人民共和国政府采购法》、《中华人民共和国民法典》中的相关条款执行。 （二）乙方所交的产品经甲方验收不符合合同约定或规定标准的，甲方有权拒收，乙方应当在甲方指定期限内更换，否则，甲方会将乙方的违约行为以书面形式报政府采购监管部门，根据政府采购监管部门的处理意见，甲方有权依据《中华人民共和国民法典》有关条款及合同约定解除合同，乙方应向甲方支付合同总价款30％的违约金。同时，政府采购监管部门有权依据《中华人民共和国政府采购法》及相关法律法规对乙方的违法行为进行相应的处罚。 （三）乙方未按合同要求交货时间送达甲方指定地点的（包括返修、更换、补交等），按每逾期1日，扣除合同总金额的1%。逾期超过10个工作日，甲方有权解除合同，合同自甲方书面解除通知到达乙方时解除，且乙方应按照合同总价的30%向甲方支付违约金。如给甲方造成损失的，还应根据损失情况赔偿损失，包括但不限于律师费、诉讼费、差旅费等一切维权发生的费用； 解决争议的方法： 本合同在履行过程中发生的争议，由甲、乙双方当事人协商解决，协商不成的按下列第2种方式解决：1、提交当地仲裁委员会仲裁；2、依法向甲方所在地人民法院起诉。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1.负责本项目验收，由招标代理公司负责选定专家参与验收，专家人数与评审专家人数一致，专家费用参照评审专家付费标准，由乙方承担。 2.支付约定 （1）付款方式与比例 预付款：合同生效且成交供应商向采购人提交合同总价40%的合法有效预付款银行保函、同时提交合同总价5%的履约保函，并经采购人审核无误后15个工作日内，采购人向成交供应商支付合同总价的40%作为预付款。 验收款：货物全部到货、安装调试完毕、系统对接正常、经采购人组织最终验收合格并出具验收报告后30个工作日内，采购人向成交供应商一次性支付合同总价的剩余60%。 （2）保函与退还 预付款保函有效期自开具之日起至货物全部到货并验收合格之日止；货物验收合格后，采购人凭到货与验收证明配合办理预付款保函注销/退还，保函自动失效。 履约保函有效期自开具之日起至质保期届满且无遗留质量问题之日止；质保期满且无争议后，采购人在15个工作日内配合办理履约保函注销/退还，保函自动失效。 成交供应商提交的保函须为国有商业银行或全国性股份制商业银行出具的无条件、不可撤销、见索即付保函，抬头、金额、有效期、条款须满足采购人要求。 （3）付款前提 所有款项支付前，成交供应商须按采购人财务要求提供合法、有效、足额的增值税发票，否则采购人有权顺延付款，且不承担违约责任。 3.本项目落实的政府采购政策:①《政府采购促进中小企业发展管理办法》的通知--财库(2020)46号；②《财政部·司法部关于政府采购支持监狱企业发展有关问题的通知》(财库(2014)68号)；③《三部门联合发布关于促进残疾人就业政府采购政策的通知》(财库(2017)141号)；④《财政部·发展改革委·生态环境部·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4.关于本国产品价格评审优惠的说明:根据《国务院办公厅关于在政府采购中实施本国产品标准及相关政策:的通知》(国办发[2025)34号)规定，本项目对符合标准的本国产品执行支持政策: 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需对其提供的产品出具《关于符合本国产品标准的声明:函》。出具符合要求的《声明函》的，该产品视为本国产品； 5.成交供应商在领取成交通知书时，须线下递交纸质版投标文件正本壹份、副本叁份、电子版壹份(投标文件内容与电子化交易平台上的内容一致)，纸质版投标文件在书脊处标注项目名称和项目编号。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2025年度完整版的财务审计报告（审计报告须具有注册会计师行业统一监管平台赋予的验证码）（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谈判响应文件未按照谈判文件规定要求签署、盖章的；</w:t>
            </w:r>
          </w:p>
        </w:tc>
        <w:tc>
          <w:tcPr>
            <w:tcW w:type="dxa" w:w="1661"/>
          </w:tcPr>
          <w:p>
            <w:pPr>
              <w:pStyle w:val="null3"/>
            </w:pPr>
            <w:r>
              <w:rPr>
                <w:rFonts w:ascii="仿宋_GB2312" w:hAnsi="仿宋_GB2312" w:cs="仿宋_GB2312" w:eastAsia="仿宋_GB2312"/>
              </w:rPr>
              <w:t>最后谈判响应报价明细表.docx 本国产品说明 中小企业声明函 报价表 商务应答表.docx 中国境内生产的组件成本核算基本规则 响应文件封面 谈判响应方案.docx 供应商应提交的相关资格证明材料.docx 残疾人福利性单位声明函 标的清单 关于符合本国产品标准的声明函 首次谈判响应报价明细表.docx 产品技术参数表.docx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投标报价是否同时满足以下条款：（1）货币单位符合谈判文件要求；（2）报价符合唯一性要求；（3）符合谈判文件的填报要求；</w:t>
            </w:r>
          </w:p>
        </w:tc>
        <w:tc>
          <w:tcPr>
            <w:tcW w:type="dxa" w:w="1661"/>
          </w:tcPr>
          <w:p>
            <w:pPr>
              <w:pStyle w:val="null3"/>
            </w:pPr>
            <w:r>
              <w:rPr>
                <w:rFonts w:ascii="仿宋_GB2312" w:hAnsi="仿宋_GB2312" w:cs="仿宋_GB2312" w:eastAsia="仿宋_GB2312"/>
              </w:rPr>
              <w:t>标的清单 报价表 首次谈判响应报价明细表.docx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商务要求是否满足实质性要求的（交货期、质保期、付款方式等满足采购要求）；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首次谈判响应报价明细表.docx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除以上情形外，出现其他与相关法律法规、谈判文件实质性不相符的情形。</w:t>
            </w:r>
          </w:p>
        </w:tc>
        <w:tc>
          <w:tcPr>
            <w:tcW w:type="dxa" w:w="1661"/>
          </w:tcPr>
          <w:p>
            <w:pPr>
              <w:pStyle w:val="null3"/>
            </w:pPr>
            <w:r>
              <w:rPr>
                <w:rFonts w:ascii="仿宋_GB2312" w:hAnsi="仿宋_GB2312" w:cs="仿宋_GB2312" w:eastAsia="仿宋_GB2312"/>
              </w:rPr>
              <w:t>本国产品说明 中小企业声明函 报价表 商务应答表.docx 中国境内生产的组件成本核算基本规则 响应文件封面 谈判响应方案.docx 供应商应提交的相关资格证明材料.docx 标的清单 关于符合本国产品标准的声明函 首次谈判响应报价明细表.docx 产品技术参数表.docx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详见附件：首次谈判响应报价明细表.docx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详见附件：谈判响应方案.docx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详见附件：最后谈判响应报价明细表.docx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