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280FF">
      <w:pPr>
        <w:pStyle w:val="9"/>
        <w:jc w:val="center"/>
        <w:outlineLvl w:val="1"/>
        <w:rPr>
          <w:rFonts w:hint="eastAsia" w:ascii="仿宋" w:hAnsi="仿宋" w:eastAsia="仿宋" w:cs="仿宋"/>
        </w:rPr>
      </w:pPr>
      <w:r>
        <w:rPr>
          <w:rFonts w:hint="eastAsia" w:ascii="仿宋" w:hAnsi="仿宋" w:eastAsia="仿宋" w:cs="仿宋"/>
          <w:b/>
          <w:sz w:val="36"/>
        </w:rPr>
        <w:t>拟签订采购</w:t>
      </w:r>
      <w:bookmarkStart w:id="1" w:name="_GoBack"/>
      <w:r>
        <w:rPr>
          <w:rFonts w:hint="eastAsia" w:ascii="仿宋" w:hAnsi="仿宋" w:eastAsia="仿宋" w:cs="仿宋"/>
          <w:b/>
          <w:sz w:val="36"/>
        </w:rPr>
        <w:t>合同文本</w:t>
      </w:r>
      <w:bookmarkEnd w:id="1"/>
    </w:p>
    <w:p w14:paraId="4F5CCD44">
      <w:pPr>
        <w:pStyle w:val="9"/>
        <w:rPr>
          <w:rFonts w:hint="eastAsia" w:ascii="仿宋" w:hAnsi="仿宋" w:eastAsia="仿宋" w:cs="仿宋"/>
        </w:rPr>
      </w:pPr>
    </w:p>
    <w:p w14:paraId="6FD7F002">
      <w:pPr>
        <w:keepNext w:val="0"/>
        <w:keepLines w:val="0"/>
        <w:pageBreakBefore w:val="0"/>
        <w:kinsoku/>
        <w:overflowPunct/>
        <w:topLinePunct w:val="0"/>
        <w:autoSpaceDE/>
        <w:autoSpaceDN/>
        <w:bidi w:val="0"/>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本合同仅为参考格式,签订合同时甲方有权对具体合同条款做出修改。</w:t>
      </w:r>
    </w:p>
    <w:p w14:paraId="47D0E01B">
      <w:pPr>
        <w:keepNext w:val="0"/>
        <w:keepLines w:val="0"/>
        <w:pageBreakBefore w:val="0"/>
        <w:kinsoku/>
        <w:overflowPunct/>
        <w:topLinePunct w:val="0"/>
        <w:autoSpaceDE/>
        <w:autoSpaceDN/>
        <w:bidi w:val="0"/>
        <w:spacing w:line="360" w:lineRule="auto"/>
        <w:ind w:firstLine="420" w:firstLineChars="200"/>
        <w:textAlignment w:val="auto"/>
        <w:rPr>
          <w:rFonts w:hint="eastAsia" w:ascii="仿宋" w:hAnsi="仿宋" w:eastAsia="仿宋" w:cs="仿宋"/>
          <w:sz w:val="21"/>
          <w:szCs w:val="21"/>
          <w:u w:val="single"/>
        </w:rPr>
      </w:pPr>
      <w:bookmarkStart w:id="0" w:name="_Hlk85071433"/>
      <w:r>
        <w:rPr>
          <w:rFonts w:hint="eastAsia" w:ascii="仿宋" w:hAnsi="仿宋" w:eastAsia="仿宋" w:cs="仿宋"/>
          <w:sz w:val="21"/>
          <w:szCs w:val="21"/>
        </w:rPr>
        <w:t>甲方（采购人）：</w:t>
      </w:r>
      <w:r>
        <w:rPr>
          <w:rFonts w:hint="eastAsia" w:ascii="仿宋" w:hAnsi="仿宋" w:eastAsia="仿宋" w:cs="仿宋"/>
          <w:sz w:val="21"/>
          <w:szCs w:val="21"/>
          <w:u w:val="single"/>
        </w:rPr>
        <w:t xml:space="preserve">                  </w:t>
      </w:r>
    </w:p>
    <w:p w14:paraId="0CC30865">
      <w:pPr>
        <w:keepNext w:val="0"/>
        <w:keepLines w:val="0"/>
        <w:pageBreakBefore w:val="0"/>
        <w:kinsoku/>
        <w:overflowPunct/>
        <w:topLinePunct w:val="0"/>
        <w:autoSpaceDE/>
        <w:autoSpaceDN/>
        <w:bidi w:val="0"/>
        <w:spacing w:line="360" w:lineRule="auto"/>
        <w:ind w:firstLine="420" w:firstLineChars="200"/>
        <w:textAlignment w:val="auto"/>
        <w:rPr>
          <w:rFonts w:hint="eastAsia" w:ascii="仿宋" w:hAnsi="仿宋" w:eastAsia="仿宋" w:cs="仿宋"/>
          <w:sz w:val="21"/>
          <w:szCs w:val="21"/>
          <w:u w:val="single"/>
        </w:rPr>
      </w:pPr>
      <w:r>
        <w:rPr>
          <w:rFonts w:hint="eastAsia" w:ascii="仿宋" w:hAnsi="仿宋" w:eastAsia="仿宋" w:cs="仿宋"/>
          <w:sz w:val="21"/>
          <w:szCs w:val="21"/>
        </w:rPr>
        <w:t>乙方（成交人）：</w:t>
      </w:r>
      <w:r>
        <w:rPr>
          <w:rFonts w:hint="eastAsia" w:ascii="仿宋" w:hAnsi="仿宋" w:eastAsia="仿宋" w:cs="仿宋"/>
          <w:sz w:val="21"/>
          <w:szCs w:val="21"/>
          <w:u w:val="single"/>
        </w:rPr>
        <w:t xml:space="preserve">                  </w:t>
      </w:r>
    </w:p>
    <w:p w14:paraId="55B37B57">
      <w:pPr>
        <w:keepNext w:val="0"/>
        <w:keepLines w:val="0"/>
        <w:pageBreakBefore w:val="0"/>
        <w:kinsoku/>
        <w:overflowPunct/>
        <w:topLinePunct w:val="0"/>
        <w:autoSpaceDE/>
        <w:autoSpaceDN/>
        <w:bidi w:val="0"/>
        <w:spacing w:line="360" w:lineRule="auto"/>
        <w:ind w:firstLine="420" w:firstLineChars="200"/>
        <w:textAlignment w:val="auto"/>
        <w:rPr>
          <w:rFonts w:hint="eastAsia" w:ascii="仿宋" w:hAnsi="仿宋" w:eastAsia="仿宋" w:cs="仿宋"/>
          <w:sz w:val="21"/>
          <w:szCs w:val="21"/>
        </w:rPr>
      </w:pPr>
    </w:p>
    <w:p w14:paraId="68C54553">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u w:val="single"/>
        </w:rPr>
        <w:t>项目名称     (项目编号：           )</w:t>
      </w:r>
      <w:r>
        <w:rPr>
          <w:rFonts w:hint="eastAsia" w:ascii="仿宋" w:hAnsi="仿宋" w:eastAsia="仿宋" w:cs="仿宋"/>
          <w:sz w:val="21"/>
          <w:szCs w:val="21"/>
        </w:rPr>
        <w:t>依据《中华人民共和国民法典》，经双方协商按下述条款和条件签署本合同。</w:t>
      </w:r>
    </w:p>
    <w:p w14:paraId="7DB52427">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rPr>
        <w:t>一、合同价款</w:t>
      </w:r>
    </w:p>
    <w:p w14:paraId="4BF4CEB5">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1、合同总价</w:t>
      </w:r>
    </w:p>
    <w:p w14:paraId="5960EC20">
      <w:pPr>
        <w:pStyle w:val="4"/>
        <w:keepNext w:val="0"/>
        <w:keepLines w:val="0"/>
        <w:pageBreakBefore w:val="0"/>
        <w:kinsoku/>
        <w:overflowPunct/>
        <w:topLinePunct w:val="0"/>
        <w:autoSpaceDE/>
        <w:autoSpaceDN/>
        <w:bidi w:val="0"/>
        <w:spacing w:line="360" w:lineRule="auto"/>
        <w:ind w:firstLine="420"/>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本合同总价为人民币大写</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元整（¥</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），为固定总价，包含货物、运输、装卸、安装、调试、培训、税费、售后服务及合同明示或暗示的所有责任、义务和风险，不作调整。</w:t>
      </w:r>
    </w:p>
    <w:p w14:paraId="117CBCE0">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2、付款方式与比例</w:t>
      </w:r>
    </w:p>
    <w:p w14:paraId="189D851A">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预付款：合同生效且成交供应商向采购人提交合同总价40%的合法有效预付款银行保函、同时提交合同总价5% 的履约保函，并经采购人审核无误后15个工作日内，采购人向成交供应商支付合同总价的40% 作为预付款。</w:t>
      </w:r>
    </w:p>
    <w:p w14:paraId="3E4EDB4D">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验收款：货物全部到货、安装调试完毕、系统对接正常、经采购人组织最终验收合格并出具验收报告后30个工作日内，采购人向成交供应商一次性支付合同总价的剩余60%。</w:t>
      </w:r>
    </w:p>
    <w:p w14:paraId="4E49BF68">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3、保函与退还</w:t>
      </w:r>
    </w:p>
    <w:p w14:paraId="2D4C00E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预付款保函有效期自开具之日起至货物全部到货并验收合格之日止；货物验收合格后，采购人凭到货与验收证明配合办理预付款保函注销/退还，保函自动失效。</w:t>
      </w:r>
    </w:p>
    <w:p w14:paraId="272F564C">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履约保函有效期自开具之日起至质保期届满且无遗留质量问题之日止；质保期满且无争议后，采购人在15 个工作日内配合办理履约保函注销/退还，保函自动失效。</w:t>
      </w:r>
    </w:p>
    <w:p w14:paraId="7CE80C6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成交供应商提交的保函须为国有商业银行或全国性股份制商业银行出具的无条件、不可撤销、见索即付保函，抬头、金额、有效期、条款须满足采购人要求。</w:t>
      </w:r>
    </w:p>
    <w:p w14:paraId="09C32ED1">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4、付款前提</w:t>
      </w:r>
    </w:p>
    <w:p w14:paraId="51CC095A">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所有款项支付前，成交供应商须按采购人财务要求提供合法、有效、足额的增值税发票，否则采购人有权顺延付款，且不承担违约责任。</w:t>
      </w:r>
    </w:p>
    <w:p w14:paraId="5C93F01F">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5、付款账户</w:t>
      </w:r>
    </w:p>
    <w:p w14:paraId="75009BF3">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采购人按下列账户支付（成交供应商信息变更须提前 7 个工作日书面通知采购人）：</w:t>
      </w:r>
    </w:p>
    <w:p w14:paraId="2E91072C">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开户名：________________________</w:t>
      </w:r>
    </w:p>
    <w:p w14:paraId="10E96758">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开户行：________________________</w:t>
      </w:r>
    </w:p>
    <w:p w14:paraId="58EFABD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账 号：________________________</w:t>
      </w:r>
    </w:p>
    <w:p w14:paraId="6100A262">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rPr>
        <w:t>二、项目清单（如有）</w:t>
      </w:r>
    </w:p>
    <w:tbl>
      <w:tblPr>
        <w:tblStyle w:val="5"/>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068"/>
        <w:gridCol w:w="3195"/>
        <w:gridCol w:w="660"/>
        <w:gridCol w:w="735"/>
        <w:gridCol w:w="810"/>
        <w:gridCol w:w="905"/>
      </w:tblGrid>
      <w:tr w14:paraId="45795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0" w:type="dxa"/>
            <w:shd w:val="clear" w:color="auto" w:fill="auto"/>
            <w:vAlign w:val="center"/>
          </w:tcPr>
          <w:p w14:paraId="7CF2B3FE">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1068" w:type="dxa"/>
            <w:shd w:val="clear" w:color="auto" w:fill="auto"/>
            <w:vAlign w:val="center"/>
          </w:tcPr>
          <w:p w14:paraId="7BDB31AB">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设备名称</w:t>
            </w:r>
          </w:p>
        </w:tc>
        <w:tc>
          <w:tcPr>
            <w:tcW w:w="3195" w:type="dxa"/>
            <w:shd w:val="clear" w:color="auto" w:fill="auto"/>
            <w:vAlign w:val="center"/>
          </w:tcPr>
          <w:p w14:paraId="4E5D03A3">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性能参数</w:t>
            </w:r>
          </w:p>
        </w:tc>
        <w:tc>
          <w:tcPr>
            <w:tcW w:w="660" w:type="dxa"/>
            <w:shd w:val="clear" w:color="auto" w:fill="auto"/>
            <w:vAlign w:val="center"/>
          </w:tcPr>
          <w:p w14:paraId="0D6A4379">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单位</w:t>
            </w:r>
          </w:p>
        </w:tc>
        <w:tc>
          <w:tcPr>
            <w:tcW w:w="735" w:type="dxa"/>
            <w:shd w:val="clear" w:color="auto" w:fill="auto"/>
            <w:vAlign w:val="center"/>
          </w:tcPr>
          <w:p w14:paraId="5D9FF3F4">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数量</w:t>
            </w:r>
          </w:p>
        </w:tc>
        <w:tc>
          <w:tcPr>
            <w:tcW w:w="810" w:type="dxa"/>
            <w:shd w:val="clear" w:color="auto" w:fill="auto"/>
            <w:vAlign w:val="center"/>
          </w:tcPr>
          <w:p w14:paraId="2A3466FD">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单价（元）</w:t>
            </w:r>
          </w:p>
        </w:tc>
        <w:tc>
          <w:tcPr>
            <w:tcW w:w="905" w:type="dxa"/>
            <w:shd w:val="clear" w:color="auto" w:fill="auto"/>
            <w:vAlign w:val="center"/>
          </w:tcPr>
          <w:p w14:paraId="136645F9">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总价（元）</w:t>
            </w:r>
          </w:p>
        </w:tc>
      </w:tr>
      <w:tr w14:paraId="4E0E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0" w:type="dxa"/>
            <w:shd w:val="clear" w:color="auto" w:fill="auto"/>
            <w:vAlign w:val="center"/>
          </w:tcPr>
          <w:p w14:paraId="3DEEC058">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1068" w:type="dxa"/>
            <w:shd w:val="clear" w:color="auto" w:fill="auto"/>
            <w:vAlign w:val="center"/>
          </w:tcPr>
          <w:p w14:paraId="6AC30545">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3195" w:type="dxa"/>
            <w:shd w:val="clear" w:color="auto" w:fill="auto"/>
            <w:vAlign w:val="center"/>
          </w:tcPr>
          <w:p w14:paraId="39EA1026">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660" w:type="dxa"/>
            <w:shd w:val="clear" w:color="auto" w:fill="auto"/>
            <w:vAlign w:val="center"/>
          </w:tcPr>
          <w:p w14:paraId="352503BC">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735" w:type="dxa"/>
            <w:shd w:val="clear" w:color="auto" w:fill="auto"/>
            <w:vAlign w:val="center"/>
          </w:tcPr>
          <w:p w14:paraId="7C750FCF">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810" w:type="dxa"/>
            <w:shd w:val="clear" w:color="auto" w:fill="auto"/>
            <w:vAlign w:val="center"/>
          </w:tcPr>
          <w:p w14:paraId="25348614">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905" w:type="dxa"/>
            <w:shd w:val="clear" w:color="auto" w:fill="auto"/>
            <w:vAlign w:val="center"/>
          </w:tcPr>
          <w:p w14:paraId="2D965C02">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r>
      <w:tr w14:paraId="224B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0" w:type="dxa"/>
            <w:shd w:val="clear" w:color="auto" w:fill="auto"/>
            <w:vAlign w:val="center"/>
          </w:tcPr>
          <w:p w14:paraId="1D70EB84">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1068" w:type="dxa"/>
            <w:shd w:val="clear" w:color="auto" w:fill="auto"/>
            <w:vAlign w:val="center"/>
          </w:tcPr>
          <w:p w14:paraId="05C88640">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3195" w:type="dxa"/>
            <w:shd w:val="clear" w:color="auto" w:fill="auto"/>
            <w:vAlign w:val="center"/>
          </w:tcPr>
          <w:p w14:paraId="14C77E50">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660" w:type="dxa"/>
            <w:shd w:val="clear" w:color="auto" w:fill="auto"/>
            <w:vAlign w:val="center"/>
          </w:tcPr>
          <w:p w14:paraId="7159E17F">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735" w:type="dxa"/>
            <w:shd w:val="clear" w:color="auto" w:fill="auto"/>
            <w:vAlign w:val="center"/>
          </w:tcPr>
          <w:p w14:paraId="40FC7B3E">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810" w:type="dxa"/>
            <w:shd w:val="clear" w:color="auto" w:fill="auto"/>
            <w:vAlign w:val="center"/>
          </w:tcPr>
          <w:p w14:paraId="6D1375ED">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905" w:type="dxa"/>
            <w:shd w:val="clear" w:color="auto" w:fill="auto"/>
            <w:vAlign w:val="center"/>
          </w:tcPr>
          <w:p w14:paraId="7290F62F">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r>
      <w:tr w14:paraId="42EAE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0" w:type="dxa"/>
            <w:shd w:val="clear" w:color="auto" w:fill="auto"/>
            <w:vAlign w:val="center"/>
          </w:tcPr>
          <w:p w14:paraId="5EB084B9">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1068" w:type="dxa"/>
            <w:shd w:val="clear" w:color="auto" w:fill="auto"/>
            <w:vAlign w:val="center"/>
          </w:tcPr>
          <w:p w14:paraId="553999CB">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3195" w:type="dxa"/>
            <w:shd w:val="clear" w:color="auto" w:fill="auto"/>
            <w:vAlign w:val="center"/>
          </w:tcPr>
          <w:p w14:paraId="7BF6E25D">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660" w:type="dxa"/>
            <w:shd w:val="clear" w:color="auto" w:fill="auto"/>
            <w:vAlign w:val="center"/>
          </w:tcPr>
          <w:p w14:paraId="7628F10E">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735" w:type="dxa"/>
            <w:shd w:val="clear" w:color="auto" w:fill="auto"/>
            <w:vAlign w:val="center"/>
          </w:tcPr>
          <w:p w14:paraId="7A1D2B75">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810" w:type="dxa"/>
            <w:shd w:val="clear" w:color="auto" w:fill="auto"/>
            <w:vAlign w:val="center"/>
          </w:tcPr>
          <w:p w14:paraId="4620DB19">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905" w:type="dxa"/>
            <w:shd w:val="clear" w:color="auto" w:fill="auto"/>
            <w:vAlign w:val="center"/>
          </w:tcPr>
          <w:p w14:paraId="78C465F8">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r>
      <w:tr w14:paraId="426F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0" w:type="dxa"/>
            <w:shd w:val="clear" w:color="auto" w:fill="auto"/>
            <w:vAlign w:val="center"/>
          </w:tcPr>
          <w:p w14:paraId="6EF8DCD8">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1068" w:type="dxa"/>
            <w:shd w:val="clear" w:color="auto" w:fill="auto"/>
            <w:vAlign w:val="center"/>
          </w:tcPr>
          <w:p w14:paraId="1AA755C7">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3195" w:type="dxa"/>
            <w:shd w:val="clear" w:color="auto" w:fill="auto"/>
            <w:vAlign w:val="center"/>
          </w:tcPr>
          <w:p w14:paraId="1A983073">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660" w:type="dxa"/>
            <w:shd w:val="clear" w:color="auto" w:fill="auto"/>
            <w:vAlign w:val="center"/>
          </w:tcPr>
          <w:p w14:paraId="1C45C45A">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735" w:type="dxa"/>
            <w:shd w:val="clear" w:color="auto" w:fill="auto"/>
            <w:vAlign w:val="center"/>
          </w:tcPr>
          <w:p w14:paraId="31C4DF37">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810" w:type="dxa"/>
            <w:shd w:val="clear" w:color="auto" w:fill="auto"/>
            <w:vAlign w:val="center"/>
          </w:tcPr>
          <w:p w14:paraId="3B9D0A88">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905" w:type="dxa"/>
            <w:shd w:val="clear" w:color="auto" w:fill="auto"/>
            <w:vAlign w:val="center"/>
          </w:tcPr>
          <w:p w14:paraId="7E66AD0D">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r>
      <w:tr w14:paraId="1CFF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50" w:type="dxa"/>
            <w:shd w:val="clear" w:color="auto" w:fill="auto"/>
            <w:vAlign w:val="center"/>
          </w:tcPr>
          <w:p w14:paraId="7734C3C6">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w:t>
            </w:r>
          </w:p>
        </w:tc>
        <w:tc>
          <w:tcPr>
            <w:tcW w:w="1068" w:type="dxa"/>
            <w:shd w:val="clear" w:color="auto" w:fill="auto"/>
            <w:vAlign w:val="center"/>
          </w:tcPr>
          <w:p w14:paraId="0A8DDAE3">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3195" w:type="dxa"/>
            <w:shd w:val="clear" w:color="auto" w:fill="auto"/>
            <w:vAlign w:val="center"/>
          </w:tcPr>
          <w:p w14:paraId="63D893AC">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660" w:type="dxa"/>
            <w:shd w:val="clear" w:color="auto" w:fill="auto"/>
            <w:vAlign w:val="center"/>
          </w:tcPr>
          <w:p w14:paraId="2A94AE33">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735" w:type="dxa"/>
            <w:shd w:val="clear" w:color="auto" w:fill="auto"/>
            <w:vAlign w:val="center"/>
          </w:tcPr>
          <w:p w14:paraId="0B0B49AC">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810" w:type="dxa"/>
            <w:shd w:val="clear" w:color="auto" w:fill="auto"/>
            <w:vAlign w:val="center"/>
          </w:tcPr>
          <w:p w14:paraId="094FD6BB">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c>
          <w:tcPr>
            <w:tcW w:w="905" w:type="dxa"/>
            <w:shd w:val="clear" w:color="auto" w:fill="auto"/>
            <w:vAlign w:val="center"/>
          </w:tcPr>
          <w:p w14:paraId="0E6E872A">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r>
      <w:tr w14:paraId="17F9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18" w:type="dxa"/>
            <w:gridSpan w:val="2"/>
            <w:shd w:val="clear" w:color="auto" w:fill="auto"/>
            <w:vAlign w:val="center"/>
          </w:tcPr>
          <w:p w14:paraId="1907D056">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lang w:val="en-US"/>
              </w:rPr>
            </w:pPr>
            <w:r>
              <w:rPr>
                <w:rFonts w:hint="eastAsia" w:ascii="仿宋" w:hAnsi="仿宋" w:eastAsia="仿宋" w:cs="仿宋"/>
                <w:sz w:val="21"/>
                <w:szCs w:val="21"/>
                <w:lang w:val="en-US" w:eastAsia="zh-CN"/>
              </w:rPr>
              <w:t>合计</w:t>
            </w:r>
          </w:p>
        </w:tc>
        <w:tc>
          <w:tcPr>
            <w:tcW w:w="6305" w:type="dxa"/>
            <w:gridSpan w:val="5"/>
            <w:shd w:val="clear" w:color="auto" w:fill="auto"/>
            <w:vAlign w:val="center"/>
          </w:tcPr>
          <w:p w14:paraId="5ECD376F">
            <w:pPr>
              <w:pStyle w:val="8"/>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tc>
      </w:tr>
    </w:tbl>
    <w:p w14:paraId="677A8D52">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三</w:t>
      </w:r>
      <w:r>
        <w:rPr>
          <w:rFonts w:hint="eastAsia" w:ascii="仿宋" w:hAnsi="仿宋" w:eastAsia="仿宋" w:cs="仿宋"/>
          <w:b/>
          <w:bCs/>
          <w:sz w:val="21"/>
          <w:szCs w:val="21"/>
        </w:rPr>
        <w:t>、双方的权利和义务</w:t>
      </w:r>
    </w:p>
    <w:p w14:paraId="1BBCEC3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1、甲方的权利与义务</w:t>
      </w:r>
    </w:p>
    <w:p w14:paraId="67649525">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1.1甲方提供安装条件其中包括水，电到位。</w:t>
      </w:r>
    </w:p>
    <w:p w14:paraId="2F4D4978">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1.2甲方在收到货物通知后，应按谈判文件的需求进行核实，如发现不符合合同规定或短缺，及时提出，甲方在收到货后，组织人员按提供的技术参数指标进行验收，逾期未提出异议，则视为验收合格。甲方必须按交货时间交付乙方安装现场，并现场配合。</w:t>
      </w:r>
    </w:p>
    <w:p w14:paraId="3AB35198">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2、乙方的权利与义务</w:t>
      </w:r>
    </w:p>
    <w:p w14:paraId="5C4ADD90">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2.1乙方负责产品安装与调试在合同约定的时间完成。</w:t>
      </w:r>
    </w:p>
    <w:p w14:paraId="28A1765A">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2.2乙方所提供的产品必须是采购需求产品，运输及安装调试全过程中的安全由乙方负责。</w:t>
      </w:r>
    </w:p>
    <w:p w14:paraId="49432E0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2.3在作业现场安装及调试过程中，乙方应积极配合甲方与水、电安装人员进行配合，最终完成产品的安装调试（联调）工作。</w:t>
      </w:r>
    </w:p>
    <w:p w14:paraId="52C07F16">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四</w:t>
      </w:r>
      <w:r>
        <w:rPr>
          <w:rFonts w:hint="eastAsia" w:ascii="仿宋" w:hAnsi="仿宋" w:eastAsia="仿宋" w:cs="仿宋"/>
          <w:b/>
          <w:bCs/>
          <w:sz w:val="21"/>
          <w:szCs w:val="21"/>
        </w:rPr>
        <w:t>、实施要求</w:t>
      </w:r>
    </w:p>
    <w:p w14:paraId="550255B4">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1、交货期：自合同签订后</w:t>
      </w:r>
      <w:r>
        <w:rPr>
          <w:rFonts w:hint="eastAsia" w:ascii="仿宋" w:hAnsi="仿宋" w:eastAsia="仿宋" w:cs="仿宋"/>
          <w:sz w:val="21"/>
          <w:szCs w:val="21"/>
          <w:lang w:val="en-US" w:eastAsia="zh-CN"/>
        </w:rPr>
        <w:t>30</w:t>
      </w:r>
      <w:r>
        <w:rPr>
          <w:rFonts w:hint="eastAsia" w:ascii="仿宋" w:hAnsi="仿宋" w:eastAsia="仿宋" w:cs="仿宋"/>
          <w:sz w:val="21"/>
          <w:szCs w:val="21"/>
        </w:rPr>
        <w:t>个日历日内完成交货并安装调试。</w:t>
      </w:r>
    </w:p>
    <w:p w14:paraId="2A073A8D">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2、质保期：自终验合格之日起硬件质保</w:t>
      </w:r>
      <w:r>
        <w:rPr>
          <w:rFonts w:hint="eastAsia" w:ascii="仿宋" w:hAnsi="仿宋" w:eastAsia="仿宋" w:cs="仿宋"/>
          <w:sz w:val="21"/>
          <w:szCs w:val="21"/>
          <w:lang w:val="en-US" w:eastAsia="zh-CN"/>
        </w:rPr>
        <w:t>2</w:t>
      </w:r>
      <w:r>
        <w:rPr>
          <w:rFonts w:hint="eastAsia" w:ascii="仿宋" w:hAnsi="仿宋" w:eastAsia="仿宋" w:cs="仿宋"/>
          <w:sz w:val="21"/>
          <w:szCs w:val="21"/>
        </w:rPr>
        <w:t>年，软件免费升级5年。</w:t>
      </w:r>
    </w:p>
    <w:p w14:paraId="1FC30CCE">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3、实施地点：采购人指定地点。</w:t>
      </w:r>
    </w:p>
    <w:p w14:paraId="2F32AD8C">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五</w:t>
      </w:r>
      <w:r>
        <w:rPr>
          <w:rFonts w:hint="eastAsia" w:ascii="仿宋" w:hAnsi="仿宋" w:eastAsia="仿宋" w:cs="仿宋"/>
          <w:b/>
          <w:bCs/>
          <w:sz w:val="21"/>
          <w:szCs w:val="21"/>
        </w:rPr>
        <w:t>、运输</w:t>
      </w:r>
    </w:p>
    <w:p w14:paraId="7ADA8714">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1、乙方负责所有产品的运输，确保采购产品安全、完整到达甲方指定地点。运杂费用已包含在合同总价内，包括从产品供应地点所含的运输费、装卸费、保险费等全部费用。</w:t>
      </w:r>
    </w:p>
    <w:p w14:paraId="5950197C">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2、运输方式由乙方自行选择，但必须保证按期交货所有采购货物在运输、搬运的过程中，造成甲方损失的，由乙方为甲方修复或更新。</w:t>
      </w:r>
    </w:p>
    <w:p w14:paraId="648C3E69">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六</w:t>
      </w:r>
      <w:r>
        <w:rPr>
          <w:rFonts w:hint="eastAsia" w:ascii="仿宋" w:hAnsi="仿宋" w:eastAsia="仿宋" w:cs="仿宋"/>
          <w:b/>
          <w:bCs/>
          <w:sz w:val="21"/>
          <w:szCs w:val="21"/>
        </w:rPr>
        <w:t>、质量保证</w:t>
      </w:r>
    </w:p>
    <w:p w14:paraId="563D2C2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1、乙方选用的产品保证技术指标先进、质量性能可靠、进货渠道正常，配置合理，满足谈判文件要求。</w:t>
      </w:r>
    </w:p>
    <w:p w14:paraId="7065A7A1">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2、产品符合国家有关规范要求，确保整个产品达到最佳运行状态。</w:t>
      </w:r>
    </w:p>
    <w:p w14:paraId="6AD33AA4">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3、各种产品具有良好的外观，适合各种安装场所的使用。</w:t>
      </w:r>
    </w:p>
    <w:p w14:paraId="4A754B7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4、产品自安装、调试正常运行并验收合格之日起。</w:t>
      </w:r>
    </w:p>
    <w:p w14:paraId="33727576">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七</w:t>
      </w:r>
      <w:r>
        <w:rPr>
          <w:rFonts w:hint="eastAsia" w:ascii="仿宋" w:hAnsi="仿宋" w:eastAsia="仿宋" w:cs="仿宋"/>
          <w:b/>
          <w:bCs/>
          <w:sz w:val="21"/>
          <w:szCs w:val="21"/>
        </w:rPr>
        <w:t>、售后服务</w:t>
      </w:r>
    </w:p>
    <w:p w14:paraId="557D87F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1、质保期内：</w:t>
      </w:r>
    </w:p>
    <w:p w14:paraId="25CEE59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1.1乙方所供货物发生问题，接到甲方通知后，应于24小时派出专业人员到现场进行检测维修，发生的全部费用由乙方承担，若需将产品送回生产厂，乙方承担往返费用；</w:t>
      </w:r>
    </w:p>
    <w:p w14:paraId="415937C6">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1.2乙方每季度派技术人员到产品现场走访，对乙方进行技术指导。</w:t>
      </w:r>
    </w:p>
    <w:p w14:paraId="174B79CA">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1.3乙方排除产品故障的期限不得超过48小时。否则甲方有权指定第三方维修，维修费用由乙方承担。</w:t>
      </w:r>
    </w:p>
    <w:p w14:paraId="2661BF9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2、质保期结束前，乙方应对所供产品进行系统测试，全面保养维护，维保内容包括：检查所有产品的各类连接件等，确保产品的正常运行。</w:t>
      </w:r>
    </w:p>
    <w:p w14:paraId="2AAF1F91">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八</w:t>
      </w:r>
      <w:r>
        <w:rPr>
          <w:rFonts w:hint="eastAsia" w:ascii="仿宋" w:hAnsi="仿宋" w:eastAsia="仿宋" w:cs="仿宋"/>
          <w:b/>
          <w:bCs/>
          <w:sz w:val="21"/>
          <w:szCs w:val="21"/>
        </w:rPr>
        <w:t>、违约责任</w:t>
      </w:r>
    </w:p>
    <w:p w14:paraId="09741CCA">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1、按《中华人民共和国政府采购法》、《中华人民共和国民法典》中的相关条款执行。</w:t>
      </w:r>
    </w:p>
    <w:p w14:paraId="52898233">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乙方所交的产品经甲方验收不符合合同约定或规定标准的，甲方有权拒收，乙方应当在甲方指定期限内更换，否则，甲方会将乙方的违约行为以书面形式报政府采购监管部门，根据政府采购监管部门的处理意见，甲方有权依据《中华人民共和国民法典》有关条款及合同约定解除合同，乙方应向甲方支付合同总价款30％的违约金。同时，政府采购监管部门有权依据《中华人民共和国政府采购法》及相关法律法规对乙方的违法行为进行相应的处罚。</w:t>
      </w:r>
    </w:p>
    <w:p w14:paraId="6A1D8A8D">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乙方未按合同要求交货时间送达甲方指定地点的（包括返修、更换、补交等），按每逾期1日，扣除合同总金额的1%。逾期超过10个工作日，甲方有权解除合同，合同自甲方书面解除通知到达乙方时解除，且乙方应按照合同总价的30%向甲方支付违约金。如给甲方造成损失的，还应根据损失情况赔偿损失，包括但不限于律师费、诉讼费、差旅费等一切维权发生的费用。</w:t>
      </w:r>
    </w:p>
    <w:p w14:paraId="36FA77DA">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九</w:t>
      </w:r>
      <w:r>
        <w:rPr>
          <w:rFonts w:hint="eastAsia" w:ascii="仿宋" w:hAnsi="仿宋" w:eastAsia="仿宋" w:cs="仿宋"/>
          <w:b/>
          <w:bCs/>
          <w:sz w:val="21"/>
          <w:szCs w:val="21"/>
        </w:rPr>
        <w:t>、验收</w:t>
      </w:r>
    </w:p>
    <w:p w14:paraId="711D1BB6">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1、样品初验：乙方需携带一套样品至甲方指定地点，由甲方对各产品进行初验与测试，其结果应与采购需求和乙方响应内容保持一致。初验通过后，乙方可正常供货。</w:t>
      </w:r>
    </w:p>
    <w:p w14:paraId="238FAF14">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2、货物到达甲方指定地点后，甲方根据合同要求，进行外观验收，确认品牌、规格、型号和数量。甲方、乙方双方须在约定的时间和地点共同开箱检验。</w:t>
      </w:r>
    </w:p>
    <w:p w14:paraId="225AB25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3、产品安装、调试、自检正常，且可正常使用后，由乙方书面通知甲方。</w:t>
      </w:r>
    </w:p>
    <w:p w14:paraId="4CA622C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4、甲方核查乙方提供的产品自检正常报告后，开始进行验收。验收合格后，填写验收单作为对货物的最终认可。</w:t>
      </w:r>
    </w:p>
    <w:p w14:paraId="6620054C">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5、乙方须向甲方提交货物实施过程中的所有资料，以便甲方日后管理和维护。</w:t>
      </w:r>
    </w:p>
    <w:p w14:paraId="5B3EDD89">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6、验收依据：</w:t>
      </w:r>
    </w:p>
    <w:p w14:paraId="29D1A95E">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（1）本合同及附件文本；</w:t>
      </w:r>
    </w:p>
    <w:p w14:paraId="195AC702">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（2）国家相应的标准、规范；</w:t>
      </w:r>
    </w:p>
    <w:p w14:paraId="75873210">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（3）竞争性谈判文件、响应文件、澄清表（函）；</w:t>
      </w:r>
    </w:p>
    <w:p w14:paraId="00989685">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rPr>
        <w:t>十、合同争议解决的方式</w:t>
      </w:r>
    </w:p>
    <w:p w14:paraId="669A1C04">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本合同在履行过程中发生的争议，由甲、乙双方当事人协商解决，协商不成的按下列第2种方式解决：</w:t>
      </w:r>
    </w:p>
    <w:p w14:paraId="629F618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1、提交当地仲裁委员会仲裁；</w:t>
      </w:r>
    </w:p>
    <w:p w14:paraId="7F845F02">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2、依法向甲方所在地人民法院起诉。</w:t>
      </w:r>
    </w:p>
    <w:p w14:paraId="6446396D">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rPr>
        <w:t>十</w:t>
      </w:r>
      <w:r>
        <w:rPr>
          <w:rFonts w:hint="eastAsia" w:ascii="仿宋" w:hAnsi="仿宋" w:eastAsia="仿宋" w:cs="仿宋"/>
          <w:b/>
          <w:bCs/>
          <w:sz w:val="21"/>
          <w:szCs w:val="21"/>
          <w:lang w:val="en-US" w:eastAsia="zh-CN"/>
        </w:rPr>
        <w:t>一</w:t>
      </w:r>
      <w:r>
        <w:rPr>
          <w:rFonts w:hint="eastAsia" w:ascii="仿宋" w:hAnsi="仿宋" w:eastAsia="仿宋" w:cs="仿宋"/>
          <w:b/>
          <w:bCs/>
          <w:sz w:val="21"/>
          <w:szCs w:val="21"/>
        </w:rPr>
        <w:t>、合同生效</w:t>
      </w:r>
    </w:p>
    <w:p w14:paraId="3D418BD5">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1、本合同经双方签字或盖章后生效。</w:t>
      </w:r>
    </w:p>
    <w:p w14:paraId="6C392157">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2、本合同须经甲、乙双方的法定代表人（授权代理人）在合同书上签字或盖章，并加盖本单位公章后正式生效。</w:t>
      </w:r>
    </w:p>
    <w:p w14:paraId="6798DE46">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3、合同生效后，甲、乙双方须严格执行本合同条款的规定，全面履行合同，违者按《中华人民共和国民法典》的有关规定承担相应责任。</w:t>
      </w:r>
    </w:p>
    <w:p w14:paraId="2567C078">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4、本合同一式伍份，甲乙双方各执贰份，招标代理机构备案留存壹份。</w:t>
      </w:r>
    </w:p>
    <w:p w14:paraId="5CF671DB">
      <w:pPr>
        <w:pStyle w:val="4"/>
        <w:keepNext w:val="0"/>
        <w:keepLines w:val="0"/>
        <w:pageBreakBefore w:val="0"/>
        <w:kinsoku/>
        <w:overflowPunct/>
        <w:topLinePunct w:val="0"/>
        <w:autoSpaceDE/>
        <w:autoSpaceDN/>
        <w:bidi w:val="0"/>
        <w:spacing w:line="360" w:lineRule="auto"/>
        <w:ind w:firstLine="420"/>
        <w:textAlignment w:val="auto"/>
        <w:rPr>
          <w:rFonts w:hint="eastAsia" w:ascii="仿宋" w:hAnsi="仿宋" w:eastAsia="仿宋" w:cs="仿宋"/>
          <w:sz w:val="21"/>
          <w:szCs w:val="21"/>
        </w:rPr>
      </w:pPr>
      <w:r>
        <w:rPr>
          <w:rFonts w:hint="eastAsia" w:ascii="仿宋" w:hAnsi="仿宋" w:eastAsia="仿宋" w:cs="仿宋"/>
          <w:sz w:val="21"/>
          <w:szCs w:val="21"/>
        </w:rPr>
        <w:t>5、本合同如有未尽事宜，甲、乙双方协商解决。</w:t>
      </w:r>
    </w:p>
    <w:p w14:paraId="1D1CE802">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p>
    <w:p w14:paraId="6ACD6944">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甲    方                           乙    方（加盖单位公章）</w:t>
      </w:r>
    </w:p>
    <w:p w14:paraId="265B0B58">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单位名称：                         单位名称：</w:t>
      </w:r>
    </w:p>
    <w:p w14:paraId="3F9CB180">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地   址：                          地    址：</w:t>
      </w:r>
    </w:p>
    <w:p w14:paraId="4C63C943">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法人代表：                         法人代表：（签字或盖章）</w:t>
      </w:r>
    </w:p>
    <w:p w14:paraId="5EF08D26">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联系电话：                         联系电话：（手机号）</w:t>
      </w:r>
    </w:p>
    <w:p w14:paraId="05EC5091">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开 户 行：                         开 户 行：</w:t>
      </w:r>
    </w:p>
    <w:p w14:paraId="4947C7CD">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账    号：                         账    号：</w:t>
      </w:r>
    </w:p>
    <w:p w14:paraId="481FE7BD">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rPr>
      </w:pPr>
      <w:r>
        <w:rPr>
          <w:rFonts w:hint="eastAsia" w:ascii="仿宋" w:hAnsi="仿宋" w:eastAsia="仿宋" w:cs="仿宋"/>
          <w:sz w:val="21"/>
          <w:szCs w:val="21"/>
        </w:rPr>
        <w:t>纳税人识别号：                     纳税人识别号：</w:t>
      </w:r>
    </w:p>
    <w:p w14:paraId="6907B53F">
      <w:pPr>
        <w:keepNext w:val="0"/>
        <w:keepLines w:val="0"/>
        <w:pageBreakBefore w:val="0"/>
        <w:kinsoku/>
        <w:overflowPunct/>
        <w:topLinePunct w:val="0"/>
        <w:autoSpaceDE/>
        <w:autoSpaceDN/>
        <w:bidi w:val="0"/>
        <w:spacing w:line="360" w:lineRule="auto"/>
        <w:textAlignment w:val="auto"/>
        <w:rPr>
          <w:rFonts w:hint="eastAsia" w:ascii="仿宋" w:hAnsi="仿宋" w:eastAsia="仿宋" w:cs="仿宋"/>
          <w:sz w:val="21"/>
          <w:szCs w:val="21"/>
          <w:lang w:eastAsia="zh-Hans"/>
        </w:rPr>
      </w:pPr>
      <w:r>
        <w:rPr>
          <w:rFonts w:hint="eastAsia" w:ascii="仿宋" w:hAnsi="仿宋" w:eastAsia="仿宋" w:cs="仿宋"/>
          <w:sz w:val="21"/>
          <w:szCs w:val="21"/>
        </w:rPr>
        <w:t>签订时间：      年     月     日   签订时间：      年     月     日</w:t>
      </w:r>
      <w:bookmarkEnd w:id="0"/>
    </w:p>
    <w:p w14:paraId="5CF577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61E14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4">
    <w:name w:val="Body Text First Indent"/>
    <w:basedOn w:val="2"/>
    <w:qFormat/>
    <w:uiPriority w:val="0"/>
    <w:pPr>
      <w:wordWrap w:val="0"/>
      <w:ind w:firstLine="560" w:firstLineChars="200"/>
    </w:pPr>
    <w:rPr>
      <w:rFonts w:asciiTheme="minorEastAsia" w:hAnsiTheme="minorEastAsia"/>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2026-06-12T09:35:10Z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