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版本号：SCZE2026-CS-2242-00120260824001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教学设备及护眼灯采购项目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SCZE2026-CS-2242-001</w:t>
      </w:r>
      <w:r>
        <w:br/>
      </w:r>
      <w:r>
        <w:br/>
      </w:r>
      <w:r>
        <w:br/>
      </w:r>
    </w:p>
    <w:p>
      <w:pPr>
        <w:pStyle w:val="null3"/>
        <w:jc w:val="center"/>
        <w:outlineLvl w:val="2"/>
      </w:pPr>
      <w:r>
        <w:rPr>
          <w:rFonts w:ascii="仿宋_GB2312" w:hAnsi="仿宋_GB2312" w:cs="仿宋_GB2312" w:eastAsia="仿宋_GB2312"/>
          <w:sz w:val="28"/>
          <w:b/>
        </w:rPr>
        <w:t>西安市曲江第三中学</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西安市曲江第三中学</w:t>
      </w:r>
      <w:r>
        <w:rPr>
          <w:rFonts w:ascii="仿宋_GB2312" w:hAnsi="仿宋_GB2312" w:cs="仿宋_GB2312" w:eastAsia="仿宋_GB2312"/>
        </w:rPr>
        <w:t>委托，拟对</w:t>
      </w:r>
      <w:r>
        <w:rPr>
          <w:rFonts w:ascii="仿宋_GB2312" w:hAnsi="仿宋_GB2312" w:cs="仿宋_GB2312" w:eastAsia="仿宋_GB2312"/>
        </w:rPr>
        <w:t>教学设备及护眼灯采购项目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SCZE2026-CS-2242-001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教学设备及护眼灯采购项目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本项目拟为西安市曲江第三中学更换学生桌椅和智慧黑板，并对学校普通教室和专用教室进行护眼灯更换，具体详见采购文件。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1、信用查询：投标人在递交投标文件截止时间前被“信用中国”网站（www.creditchina.gov.cn）和中国政府采购网 （www.ccgp.gov.cn）上被列入失信被执行人、重大税收违法失信主体、政府采购严重违法失信行为信息记录名单的，不得参加投标。</w:t>
      </w:r>
    </w:p>
    <w:p>
      <w:pPr>
        <w:pStyle w:val="null3"/>
      </w:pPr>
      <w:r>
        <w:rPr>
          <w:rFonts w:ascii="仿宋_GB2312" w:hAnsi="仿宋_GB2312" w:cs="仿宋_GB2312" w:eastAsia="仿宋_GB2312"/>
        </w:rPr>
        <w:t>2、法人（单位负责人）身份证明或授权委托书：法定代表人直接参加投标时须出具法定代表人证明书（附法定代表人身份证复印件）以及法定代表人在开标日期前六个月内任意一个月的社保缴纳证明(须赋可查询的验证编号或验证二维码且开标日期在验证有效期内)；被授权人参加投标时须提供法定代表人授权委托书（附法定代表人、被授权人身份证复印件）及被授权人在开标日期前六个月内任意一个月的社保缴纳证明(须赋可查询的验证编号或验证二维码且开标日期在验证有效期内)。</w:t>
      </w:r>
    </w:p>
    <w:p>
      <w:pPr>
        <w:pStyle w:val="null3"/>
      </w:pPr>
      <w:r>
        <w:rPr>
          <w:rFonts w:ascii="仿宋_GB2312" w:hAnsi="仿宋_GB2312" w:cs="仿宋_GB2312" w:eastAsia="仿宋_GB2312"/>
        </w:rPr>
        <w:t>3、投标人不得存在以下情形：单位负责人为同一人或者存在直接控股、管理关系的不同供应商，不得参加同一合同项下的政府采购活动；为本项目提供整体设计、规范编制或者项目管理、监理、检测等服务的投标人，不得再参加该采购项目的其他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西安市曲江第三中学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西安市雁塔区公田五路633号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侯老师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13892877507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陕西省西安市高新区唐延南路都市之门C座9层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吴昊、马超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029-88490543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西安曲江新区政府采购管理股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寇雪莲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68660321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采购包1：508,800.00元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LED教室灯、LED黑板灯、学生课桌椅产品</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代理服务费收费标准：参照《国家计委关于印发&lt;招标代理服务收费管理暂行办法&gt;的通知》（计价格[2002]1980号）标准按标段收取。按上述标准计算招标代理服务费不足8000元的，按8000元收取。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西安市曲江第三中学</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西安市曲江第三中学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西安市曲江第三中学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地址：西安市高新区唐延南路都市之门C座9层综合办公室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本项目拟为西安市曲江第三中学更换学生桌椅和智慧黑板，并对学校普通教室和专用教室进行护眼灯更换，具体详见采购文件。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508,800.00</w:t>
      </w:r>
    </w:p>
    <w:p>
      <w:pPr>
        <w:pStyle w:val="null3"/>
      </w:pPr>
      <w:r>
        <w:rPr>
          <w:rFonts w:ascii="仿宋_GB2312" w:hAnsi="仿宋_GB2312" w:cs="仿宋_GB2312" w:eastAsia="仿宋_GB2312"/>
        </w:rPr>
        <w:t>采购包最高限价（元）: 508,800.00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西安市曲江第三中学教学设备及护眼灯采购项目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508,800.00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标的名称：西安市曲江第三中学教学设备及护眼灯采购项目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104"/>
              <w:gridCol w:w="208"/>
              <w:gridCol w:w="2082"/>
              <w:gridCol w:w="156"/>
            </w:tblGrid>
            <w:tr>
              <w:tc>
                <w:tcPr>
                  <w:tcW w:type="dxa" w:w="10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b/>
                      <w:color w:val="000000"/>
                    </w:rPr>
                    <w:t>序号</w:t>
                  </w:r>
                </w:p>
              </w:tc>
              <w:tc>
                <w:tcPr>
                  <w:tcW w:type="dxa" w:w="208"/>
                  <w:tcBorders>
                    <w:top w:val="singl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b/>
                      <w:color w:val="000000"/>
                    </w:rPr>
                    <w:t>产品名称</w:t>
                  </w:r>
                </w:p>
              </w:tc>
              <w:tc>
                <w:tcPr>
                  <w:tcW w:type="dxa" w:w="2082"/>
                  <w:tcBorders>
                    <w:top w:val="singl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b/>
                      <w:color w:val="000000"/>
                    </w:rPr>
                    <w:t>技术参数</w:t>
                  </w:r>
                </w:p>
              </w:tc>
              <w:tc>
                <w:tcPr>
                  <w:tcW w:type="dxa" w:w="156"/>
                  <w:tcBorders>
                    <w:top w:val="singl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b/>
                      <w:color w:val="000000"/>
                    </w:rPr>
                    <w:t>数量</w:t>
                  </w:r>
                </w:p>
              </w:tc>
            </w:tr>
            <w:tr>
              <w:tc>
                <w:tcPr>
                  <w:tcW w:type="dxa" w:w="1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智慧黑板（核心产品）</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75"/>
                    <w:jc w:val="both"/>
                  </w:pPr>
                  <w:r>
                    <w:rPr>
                      <w:rFonts w:ascii="仿宋_GB2312" w:hAnsi="仿宋_GB2312" w:cs="仿宋_GB2312" w:eastAsia="仿宋_GB2312"/>
                      <w:sz w:val="20"/>
                      <w:color w:val="000000"/>
                    </w:rPr>
                    <w:t>一、硬件：</w:t>
                  </w:r>
                </w:p>
                <w:p>
                  <w:pPr>
                    <w:pStyle w:val="null3"/>
                    <w:spacing w:after="75"/>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外壳与结构整机采用全金属外壳，三拼接平面一体化设计，屏幕边缘采用圆角包边防护，整机背板采用金属材质。</w:t>
                  </w:r>
                </w:p>
                <w:p>
                  <w:pPr>
                    <w:pStyle w:val="null3"/>
                    <w:spacing w:after="75"/>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整体外观尺寸：宽≥4200mm，高≥1200mm，厚≤120mm。</w:t>
                  </w:r>
                </w:p>
                <w:p>
                  <w:pPr>
                    <w:pStyle w:val="null3"/>
                    <w:spacing w:after="75"/>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主屏具备普通粉笔直接书写。整机两侧副屏可具备以下媒介（普通粉笔、液体粉笔、成膜笔）进行板书书写。</w:t>
                  </w:r>
                </w:p>
                <w:p>
                  <w:pPr>
                    <w:pStyle w:val="null3"/>
                    <w:spacing w:after="75"/>
                    <w:jc w:val="both"/>
                  </w:pPr>
                  <w:r>
                    <w:rPr>
                      <w:rFonts w:ascii="仿宋_GB2312" w:hAnsi="仿宋_GB2312" w:cs="仿宋_GB2312" w:eastAsia="仿宋_GB2312"/>
                      <w:sz w:val="20"/>
                      <w:color w:val="000000"/>
                    </w:rPr>
                    <w:t>4.</w:t>
                  </w:r>
                  <w:r>
                    <w:rPr>
                      <w:rFonts w:ascii="仿宋_GB2312" w:hAnsi="仿宋_GB2312" w:cs="仿宋_GB2312" w:eastAsia="仿宋_GB2312"/>
                      <w:sz w:val="20"/>
                      <w:color w:val="000000"/>
                    </w:rPr>
                    <w:t>屏幕采用超高清LED液晶显示屏，显示尺寸≥86寸。</w:t>
                  </w:r>
                </w:p>
                <w:p>
                  <w:pPr>
                    <w:pStyle w:val="null3"/>
                    <w:spacing w:after="75"/>
                    <w:jc w:val="both"/>
                  </w:pPr>
                  <w:r>
                    <w:rPr>
                      <w:rFonts w:ascii="仿宋_GB2312" w:hAnsi="仿宋_GB2312" w:cs="仿宋_GB2312" w:eastAsia="仿宋_GB2312"/>
                      <w:sz w:val="20"/>
                      <w:color w:val="000000"/>
                    </w:rPr>
                    <w:t>5.</w:t>
                  </w:r>
                  <w:r>
                    <w:rPr>
                      <w:rFonts w:ascii="仿宋_GB2312" w:hAnsi="仿宋_GB2312" w:cs="仿宋_GB2312" w:eastAsia="仿宋_GB2312"/>
                      <w:sz w:val="20"/>
                      <w:color w:val="000000"/>
                    </w:rPr>
                    <w:t>嵌入式系统版本≥Android 14，主频≥1.8GHz。</w:t>
                  </w:r>
                </w:p>
                <w:p>
                  <w:pPr>
                    <w:pStyle w:val="null3"/>
                    <w:spacing w:after="75"/>
                    <w:jc w:val="both"/>
                  </w:pPr>
                  <w:r>
                    <w:rPr>
                      <w:rFonts w:ascii="仿宋_GB2312" w:hAnsi="仿宋_GB2312" w:cs="仿宋_GB2312" w:eastAsia="仿宋_GB2312"/>
                      <w:sz w:val="20"/>
                      <w:color w:val="000000"/>
                    </w:rPr>
                    <w:t>6.</w:t>
                  </w:r>
                  <w:r>
                    <w:rPr>
                      <w:rFonts w:ascii="仿宋_GB2312" w:hAnsi="仿宋_GB2312" w:cs="仿宋_GB2312" w:eastAsia="仿宋_GB2312"/>
                      <w:sz w:val="20"/>
                      <w:color w:val="000000"/>
                    </w:rPr>
                    <w:t>钢化玻璃表面硬度≥9H。整机钢化玻璃厚度≤3.2mm。</w:t>
                  </w:r>
                </w:p>
                <w:p>
                  <w:pPr>
                    <w:pStyle w:val="null3"/>
                    <w:spacing w:after="75"/>
                    <w:jc w:val="both"/>
                  </w:pPr>
                  <w:r>
                    <w:rPr>
                      <w:rFonts w:ascii="仿宋_GB2312" w:hAnsi="仿宋_GB2312" w:cs="仿宋_GB2312" w:eastAsia="仿宋_GB2312"/>
                      <w:sz w:val="20"/>
                      <w:color w:val="000000"/>
                    </w:rPr>
                    <w:t>7.</w:t>
                  </w:r>
                  <w:r>
                    <w:rPr>
                      <w:rFonts w:ascii="仿宋_GB2312" w:hAnsi="仿宋_GB2312" w:cs="仿宋_GB2312" w:eastAsia="仿宋_GB2312"/>
                      <w:sz w:val="20"/>
                      <w:color w:val="000000"/>
                    </w:rPr>
                    <w:t>采用红外触控方式，具备Windows系统中进行40点或以上触控，具备在Android系统中进行40点或以上触控。</w:t>
                  </w:r>
                </w:p>
                <w:p>
                  <w:pPr>
                    <w:pStyle w:val="null3"/>
                    <w:spacing w:after="75"/>
                    <w:jc w:val="both"/>
                  </w:pPr>
                  <w:r>
                    <w:rPr>
                      <w:rFonts w:ascii="仿宋_GB2312" w:hAnsi="仿宋_GB2312" w:cs="仿宋_GB2312" w:eastAsia="仿宋_GB2312"/>
                      <w:sz w:val="20"/>
                      <w:color w:val="000000"/>
                    </w:rPr>
                    <w:t>8.</w:t>
                  </w:r>
                  <w:r>
                    <w:rPr>
                      <w:rFonts w:ascii="仿宋_GB2312" w:hAnsi="仿宋_GB2312" w:cs="仿宋_GB2312" w:eastAsia="仿宋_GB2312"/>
                      <w:sz w:val="20"/>
                      <w:color w:val="000000"/>
                    </w:rPr>
                    <w:t>能感应并自动调节屏幕亮度来达到在不同光照环境下的不同亮度显示效果，此功能可自行开启或关闭。</w:t>
                  </w:r>
                </w:p>
                <w:p>
                  <w:pPr>
                    <w:pStyle w:val="null3"/>
                    <w:spacing w:after="75"/>
                    <w:jc w:val="both"/>
                  </w:pPr>
                  <w:r>
                    <w:rPr>
                      <w:rFonts w:ascii="仿宋_GB2312" w:hAnsi="仿宋_GB2312" w:cs="仿宋_GB2312" w:eastAsia="仿宋_GB2312"/>
                      <w:sz w:val="20"/>
                      <w:color w:val="000000"/>
                    </w:rPr>
                    <w:t>9.</w:t>
                  </w:r>
                  <w:r>
                    <w:rPr>
                      <w:rFonts w:ascii="仿宋_GB2312" w:hAnsi="仿宋_GB2312" w:cs="仿宋_GB2312" w:eastAsia="仿宋_GB2312"/>
                      <w:sz w:val="20"/>
                      <w:color w:val="000000"/>
                    </w:rPr>
                    <w:t>内置2.2声道扬声器，位于设备上边框，顶置朝前发声，前朝向10W高音扬声器2个，上朝向20W中低音扬声器2个，额定总功率≥60W。</w:t>
                  </w:r>
                </w:p>
                <w:p>
                  <w:pPr>
                    <w:pStyle w:val="null3"/>
                    <w:spacing w:after="75"/>
                    <w:jc w:val="both"/>
                  </w:pPr>
                  <w:r>
                    <w:rPr>
                      <w:rFonts w:ascii="仿宋_GB2312" w:hAnsi="仿宋_GB2312" w:cs="仿宋_GB2312" w:eastAsia="仿宋_GB2312"/>
                      <w:sz w:val="20"/>
                      <w:color w:val="000000"/>
                    </w:rPr>
                    <w:t>10.</w:t>
                  </w:r>
                  <w:r>
                    <w:rPr>
                      <w:rFonts w:ascii="仿宋_GB2312" w:hAnsi="仿宋_GB2312" w:cs="仿宋_GB2312" w:eastAsia="仿宋_GB2312"/>
                      <w:sz w:val="20"/>
                      <w:color w:val="000000"/>
                    </w:rPr>
                    <w:t>可选择高级音效设置，具备在左右声道平衡显示范围中进行更改；中低频段显示调节范围125Hz～1KHz，高频段显示调节范围 2KHz～16KHz，分贝显示-12dB～12dB 调节范围。</w:t>
                  </w:r>
                </w:p>
                <w:p>
                  <w:pPr>
                    <w:pStyle w:val="null3"/>
                    <w:spacing w:after="75"/>
                    <w:jc w:val="both"/>
                  </w:pPr>
                  <w:r>
                    <w:rPr>
                      <w:rFonts w:ascii="仿宋_GB2312" w:hAnsi="仿宋_GB2312" w:cs="仿宋_GB2312" w:eastAsia="仿宋_GB2312"/>
                      <w:sz w:val="20"/>
                      <w:color w:val="000000"/>
                    </w:rPr>
                    <w:t>11.</w:t>
                  </w:r>
                  <w:r>
                    <w:rPr>
                      <w:rFonts w:ascii="仿宋_GB2312" w:hAnsi="仿宋_GB2312" w:cs="仿宋_GB2312" w:eastAsia="仿宋_GB2312"/>
                      <w:sz w:val="20"/>
                      <w:color w:val="000000"/>
                    </w:rPr>
                    <w:t>内置非独立外扩展的8阵列麦克风，拾音角度≥180°，可用于对教室环境音频进行采集，拾音距离≥12m。</w:t>
                  </w:r>
                </w:p>
                <w:p>
                  <w:pPr>
                    <w:pStyle w:val="null3"/>
                    <w:spacing w:after="75"/>
                    <w:jc w:val="both"/>
                  </w:pPr>
                  <w:r>
                    <w:rPr>
                      <w:rFonts w:ascii="仿宋_GB2312" w:hAnsi="仿宋_GB2312" w:cs="仿宋_GB2312" w:eastAsia="仿宋_GB2312"/>
                      <w:sz w:val="20"/>
                      <w:color w:val="000000"/>
                    </w:rPr>
                    <w:t>12.</w:t>
                  </w:r>
                  <w:r>
                    <w:rPr>
                      <w:rFonts w:ascii="仿宋_GB2312" w:hAnsi="仿宋_GB2312" w:cs="仿宋_GB2312" w:eastAsia="仿宋_GB2312"/>
                      <w:sz w:val="20"/>
                      <w:color w:val="000000"/>
                    </w:rPr>
                    <w:t>▲内置扬声器采用缝隙发声技术，喇叭采用槽式开口设计，不大于5.8mm。</w:t>
                  </w:r>
                </w:p>
                <w:p>
                  <w:pPr>
                    <w:pStyle w:val="null3"/>
                    <w:spacing w:after="75"/>
                    <w:jc w:val="both"/>
                  </w:pPr>
                  <w:r>
                    <w:rPr>
                      <w:rFonts w:ascii="仿宋_GB2312" w:hAnsi="仿宋_GB2312" w:cs="仿宋_GB2312" w:eastAsia="仿宋_GB2312"/>
                      <w:sz w:val="20"/>
                      <w:color w:val="000000"/>
                    </w:rPr>
                    <w:t>13.</w:t>
                  </w:r>
                  <w:r>
                    <w:rPr>
                      <w:rFonts w:ascii="仿宋_GB2312" w:hAnsi="仿宋_GB2312" w:cs="仿宋_GB2312" w:eastAsia="仿宋_GB2312"/>
                      <w:sz w:val="20"/>
                      <w:color w:val="000000"/>
                    </w:rPr>
                    <w:t>扬声器在100%音量下，可做到1米处声压级≥90db，10米处声压级≥80dB</w:t>
                  </w:r>
                </w:p>
                <w:p>
                  <w:pPr>
                    <w:pStyle w:val="null3"/>
                    <w:spacing w:after="75"/>
                    <w:jc w:val="both"/>
                  </w:pPr>
                  <w:r>
                    <w:rPr>
                      <w:rFonts w:ascii="仿宋_GB2312" w:hAnsi="仿宋_GB2312" w:cs="仿宋_GB2312" w:eastAsia="仿宋_GB2312"/>
                      <w:sz w:val="20"/>
                      <w:color w:val="000000"/>
                    </w:rPr>
                    <w:t>14.</w:t>
                  </w:r>
                  <w:r>
                    <w:rPr>
                      <w:rFonts w:ascii="仿宋_GB2312" w:hAnsi="仿宋_GB2312" w:cs="仿宋_GB2312" w:eastAsia="仿宋_GB2312"/>
                      <w:sz w:val="20"/>
                      <w:color w:val="000000"/>
                    </w:rPr>
                    <w:t>具备标准、听力、观影和AI空间感知音效模式，AI空间感知音效模式可通过内置麦克风采集教室物理环境声音，自动生成符合当前教室物理环境的频段、音量、音效。</w:t>
                  </w:r>
                </w:p>
                <w:p>
                  <w:pPr>
                    <w:pStyle w:val="null3"/>
                    <w:spacing w:after="75"/>
                    <w:jc w:val="both"/>
                  </w:pPr>
                  <w:r>
                    <w:rPr>
                      <w:rFonts w:ascii="仿宋_GB2312" w:hAnsi="仿宋_GB2312" w:cs="仿宋_GB2312" w:eastAsia="仿宋_GB2312"/>
                      <w:sz w:val="20"/>
                      <w:color w:val="000000"/>
                    </w:rPr>
                    <w:t>15.</w:t>
                  </w:r>
                  <w:r>
                    <w:rPr>
                      <w:rFonts w:ascii="仿宋_GB2312" w:hAnsi="仿宋_GB2312" w:cs="仿宋_GB2312" w:eastAsia="仿宋_GB2312"/>
                      <w:sz w:val="20"/>
                      <w:color w:val="000000"/>
                    </w:rPr>
                    <w:t>背光系统具备DC调光方式，多级亮度调节，具备白颜色背景下最暗亮度≤100nit，用于提升显示对比度。</w:t>
                  </w:r>
                </w:p>
                <w:p>
                  <w:pPr>
                    <w:pStyle w:val="null3"/>
                    <w:spacing w:after="75"/>
                    <w:jc w:val="both"/>
                  </w:pPr>
                  <w:r>
                    <w:rPr>
                      <w:rFonts w:ascii="仿宋_GB2312" w:hAnsi="仿宋_GB2312" w:cs="仿宋_GB2312" w:eastAsia="仿宋_GB2312"/>
                      <w:sz w:val="20"/>
                      <w:color w:val="000000"/>
                    </w:rPr>
                    <w:t>16.</w:t>
                  </w:r>
                  <w:r>
                    <w:rPr>
                      <w:rFonts w:ascii="仿宋_GB2312" w:hAnsi="仿宋_GB2312" w:cs="仿宋_GB2312" w:eastAsia="仿宋_GB2312"/>
                      <w:sz w:val="20"/>
                      <w:color w:val="000000"/>
                    </w:rPr>
                    <w:t>具备色彩空间可选，包含标准模式和sRGB模式，在sRGB模式下可做到高色准△E≤1</w:t>
                  </w:r>
                </w:p>
                <w:p>
                  <w:pPr>
                    <w:pStyle w:val="null3"/>
                    <w:spacing w:after="75"/>
                    <w:jc w:val="both"/>
                  </w:pPr>
                  <w:r>
                    <w:rPr>
                      <w:rFonts w:ascii="仿宋_GB2312" w:hAnsi="仿宋_GB2312" w:cs="仿宋_GB2312" w:eastAsia="仿宋_GB2312"/>
                      <w:sz w:val="20"/>
                      <w:color w:val="000000"/>
                    </w:rPr>
                    <w:t>17.</w:t>
                  </w:r>
                  <w:r>
                    <w:rPr>
                      <w:rFonts w:ascii="仿宋_GB2312" w:hAnsi="仿宋_GB2312" w:cs="仿宋_GB2312" w:eastAsia="仿宋_GB2312"/>
                      <w:sz w:val="20"/>
                      <w:color w:val="000000"/>
                    </w:rPr>
                    <w:t>采用硬件低蓝光背光技术，在源头减少有害蓝光波段能量，蓝光占比（有害蓝光415～455nm能量综合）/（整体蓝光400～500能量综合）＜50%，低蓝光保护显示不偏色、不泛黄。</w:t>
                  </w:r>
                </w:p>
                <w:p>
                  <w:pPr>
                    <w:pStyle w:val="null3"/>
                    <w:spacing w:after="75"/>
                    <w:jc w:val="both"/>
                  </w:pPr>
                  <w:r>
                    <w:rPr>
                      <w:rFonts w:ascii="仿宋_GB2312" w:hAnsi="仿宋_GB2312" w:cs="仿宋_GB2312" w:eastAsia="仿宋_GB2312"/>
                      <w:sz w:val="20"/>
                      <w:color w:val="000000"/>
                    </w:rPr>
                    <w:t>18.</w:t>
                  </w:r>
                  <w:r>
                    <w:rPr>
                      <w:rFonts w:ascii="仿宋_GB2312" w:hAnsi="仿宋_GB2312" w:cs="仿宋_GB2312" w:eastAsia="仿宋_GB2312"/>
                      <w:sz w:val="20"/>
                      <w:color w:val="000000"/>
                    </w:rPr>
                    <w:t>具备自定义图像设置，可对对比度、屏幕色温、图像亮度、亮度范围、色彩空间调节设置。</w:t>
                  </w:r>
                </w:p>
                <w:p>
                  <w:pPr>
                    <w:pStyle w:val="null3"/>
                    <w:spacing w:after="75"/>
                    <w:jc w:val="both"/>
                  </w:pPr>
                  <w:r>
                    <w:rPr>
                      <w:rFonts w:ascii="仿宋_GB2312" w:hAnsi="仿宋_GB2312" w:cs="仿宋_GB2312" w:eastAsia="仿宋_GB2312"/>
                      <w:sz w:val="20"/>
                      <w:color w:val="000000"/>
                    </w:rPr>
                    <w:t>19.</w:t>
                  </w:r>
                  <w:r>
                    <w:rPr>
                      <w:rFonts w:ascii="仿宋_GB2312" w:hAnsi="仿宋_GB2312" w:cs="仿宋_GB2312" w:eastAsia="仿宋_GB2312"/>
                      <w:sz w:val="20"/>
                      <w:color w:val="000000"/>
                    </w:rPr>
                    <w:t>▲配套教学应用APP可通过wifi直连技术，近场发现附近教学大屏设备，无需扫码、账号密码输入步骤，即可直接连接并登录教学大屏设备，基于统一身份认证机制可实现其他教学软件免登录操作。</w:t>
                  </w:r>
                </w:p>
                <w:p>
                  <w:pPr>
                    <w:pStyle w:val="null3"/>
                    <w:spacing w:after="75"/>
                    <w:jc w:val="both"/>
                  </w:pPr>
                  <w:r>
                    <w:rPr>
                      <w:rFonts w:ascii="仿宋_GB2312" w:hAnsi="仿宋_GB2312" w:cs="仿宋_GB2312" w:eastAsia="仿宋_GB2312"/>
                      <w:sz w:val="20"/>
                      <w:color w:val="000000"/>
                    </w:rPr>
                    <w:t>20.</w:t>
                  </w:r>
                  <w:r>
                    <w:rPr>
                      <w:rFonts w:ascii="仿宋_GB2312" w:hAnsi="仿宋_GB2312" w:cs="仿宋_GB2312" w:eastAsia="仿宋_GB2312"/>
                      <w:sz w:val="20"/>
                      <w:color w:val="000000"/>
                    </w:rPr>
                    <w:t>全通道具备纸质护眼模式，可实现画面纹理的实时调整；具备纸质纹理：牛皮纸、素描纸、宣纸、水彩纸、水纹纸；具备透明度调节；具备色温调节。</w:t>
                  </w:r>
                </w:p>
                <w:p>
                  <w:pPr>
                    <w:pStyle w:val="null3"/>
                    <w:spacing w:after="75"/>
                    <w:jc w:val="both"/>
                  </w:pPr>
                  <w:r>
                    <w:rPr>
                      <w:rFonts w:ascii="仿宋_GB2312" w:hAnsi="仿宋_GB2312" w:cs="仿宋_GB2312" w:eastAsia="仿宋_GB2312"/>
                      <w:sz w:val="20"/>
                      <w:color w:val="000000"/>
                    </w:rPr>
                    <w:t>21.</w:t>
                  </w:r>
                  <w:r>
                    <w:rPr>
                      <w:rFonts w:ascii="仿宋_GB2312" w:hAnsi="仿宋_GB2312" w:cs="仿宋_GB2312" w:eastAsia="仿宋_GB2312"/>
                      <w:sz w:val="20"/>
                      <w:color w:val="000000"/>
                    </w:rPr>
                    <w:t>设备具备通过前置面板物理按键一键启动录屏功能，可将屏幕中显示的课件、音频内容与人声同时录制。</w:t>
                  </w:r>
                </w:p>
                <w:p>
                  <w:pPr>
                    <w:pStyle w:val="null3"/>
                    <w:spacing w:after="75"/>
                    <w:jc w:val="both"/>
                  </w:pPr>
                  <w:r>
                    <w:rPr>
                      <w:rFonts w:ascii="仿宋_GB2312" w:hAnsi="仿宋_GB2312" w:cs="仿宋_GB2312" w:eastAsia="仿宋_GB2312"/>
                      <w:sz w:val="20"/>
                      <w:color w:val="000000"/>
                    </w:rPr>
                    <w:t>22.</w:t>
                  </w:r>
                  <w:r>
                    <w:rPr>
                      <w:rFonts w:ascii="仿宋_GB2312" w:hAnsi="仿宋_GB2312" w:cs="仿宋_GB2312" w:eastAsia="仿宋_GB2312"/>
                      <w:sz w:val="20"/>
                      <w:color w:val="000000"/>
                    </w:rPr>
                    <w:t>无需外接无线网卡，在Android和Windows系统下可实现Wi-Fi无线上网连接、AP无线热点发射和BT蓝牙连接功能。Wi-Fi和AP热点工作距离≥12m。</w:t>
                  </w:r>
                </w:p>
                <w:p>
                  <w:pPr>
                    <w:pStyle w:val="null3"/>
                    <w:spacing w:after="75"/>
                    <w:jc w:val="both"/>
                  </w:pPr>
                  <w:r>
                    <w:rPr>
                      <w:rFonts w:ascii="仿宋_GB2312" w:hAnsi="仿宋_GB2312" w:cs="仿宋_GB2312" w:eastAsia="仿宋_GB2312"/>
                      <w:sz w:val="20"/>
                      <w:color w:val="000000"/>
                    </w:rPr>
                    <w:t>23.</w:t>
                  </w:r>
                  <w:r>
                    <w:rPr>
                      <w:rFonts w:ascii="仿宋_GB2312" w:hAnsi="仿宋_GB2312" w:cs="仿宋_GB2312" w:eastAsia="仿宋_GB2312"/>
                      <w:sz w:val="20"/>
                      <w:color w:val="000000"/>
                    </w:rPr>
                    <w:t>内置传屏接收模块，可实现外部电脑、手机设备的音视频信号实时传输到整机上；当使用外部电脑传屏时，具备触摸回传，在屏幕上部显示传屏工具栏，可以进行触摸回传控制、勿扰模式、暂停投屏功能；开启勿扰模式时，不允许其他人再进行传屏；投屏时可以选择过滤特定应用窗口，如邮件应用等窗口。</w:t>
                  </w:r>
                </w:p>
                <w:p>
                  <w:pPr>
                    <w:pStyle w:val="null3"/>
                    <w:spacing w:after="75"/>
                    <w:jc w:val="both"/>
                  </w:pPr>
                  <w:r>
                    <w:rPr>
                      <w:rFonts w:ascii="仿宋_GB2312" w:hAnsi="仿宋_GB2312" w:cs="仿宋_GB2312" w:eastAsia="仿宋_GB2312"/>
                      <w:sz w:val="20"/>
                      <w:color w:val="000000"/>
                    </w:rPr>
                    <w:t>24.</w:t>
                  </w:r>
                  <w:r>
                    <w:rPr>
                      <w:rFonts w:ascii="仿宋_GB2312" w:hAnsi="仿宋_GB2312" w:cs="仿宋_GB2312" w:eastAsia="仿宋_GB2312"/>
                      <w:sz w:val="20"/>
                      <w:color w:val="000000"/>
                    </w:rPr>
                    <w:t>内置双WiFi6无线网卡（不接受外接），在Android和Windows系统下，可实现Wi-Fi无线上网连接、AP无线热点发射。</w:t>
                  </w:r>
                </w:p>
                <w:p>
                  <w:pPr>
                    <w:pStyle w:val="null3"/>
                    <w:spacing w:after="75"/>
                    <w:jc w:val="both"/>
                  </w:pPr>
                  <w:r>
                    <w:rPr>
                      <w:rFonts w:ascii="仿宋_GB2312" w:hAnsi="仿宋_GB2312" w:cs="仿宋_GB2312" w:eastAsia="仿宋_GB2312"/>
                      <w:sz w:val="20"/>
                      <w:color w:val="000000"/>
                    </w:rPr>
                    <w:t>25.</w:t>
                  </w:r>
                  <w:r>
                    <w:rPr>
                      <w:rFonts w:ascii="仿宋_GB2312" w:hAnsi="仿宋_GB2312" w:cs="仿宋_GB2312" w:eastAsia="仿宋_GB2312"/>
                      <w:sz w:val="20"/>
                      <w:color w:val="000000"/>
                    </w:rPr>
                    <w:t>▲侧边栏内置自习工具，通过整机麦克风监测教室中学生音量大小，当学生音量大于阈值时，屏幕自动弹窗提醒进行自习纪律干预。</w:t>
                  </w:r>
                </w:p>
                <w:p>
                  <w:pPr>
                    <w:pStyle w:val="null3"/>
                    <w:spacing w:after="75"/>
                    <w:jc w:val="both"/>
                  </w:pPr>
                  <w:r>
                    <w:rPr>
                      <w:rFonts w:ascii="仿宋_GB2312" w:hAnsi="仿宋_GB2312" w:cs="仿宋_GB2312" w:eastAsia="仿宋_GB2312"/>
                      <w:sz w:val="20"/>
                      <w:color w:val="000000"/>
                    </w:rPr>
                    <w:t>26.</w:t>
                  </w:r>
                  <w:r>
                    <w:rPr>
                      <w:rFonts w:ascii="仿宋_GB2312" w:hAnsi="仿宋_GB2312" w:cs="仿宋_GB2312" w:eastAsia="仿宋_GB2312"/>
                      <w:sz w:val="20"/>
                      <w:color w:val="000000"/>
                    </w:rPr>
                    <w:t>内置非独立摄像头≥1，采用一体化集成设计，可拍摄≥1600万像素数的照片。视场角≥150度且水平视场角≥120度，具备输出4:3、16:9比例的图片和视频；在清晰度为3840*2160（4K）分辨率下，具备30帧的视频输出，具备画面畸变矫正功能。</w:t>
                  </w:r>
                </w:p>
                <w:p>
                  <w:pPr>
                    <w:pStyle w:val="null3"/>
                    <w:spacing w:after="75"/>
                    <w:jc w:val="both"/>
                  </w:pPr>
                  <w:r>
                    <w:rPr>
                      <w:rFonts w:ascii="仿宋_GB2312" w:hAnsi="仿宋_GB2312" w:cs="仿宋_GB2312" w:eastAsia="仿宋_GB2312"/>
                      <w:sz w:val="20"/>
                      <w:color w:val="000000"/>
                    </w:rPr>
                    <w:t>27.</w:t>
                  </w:r>
                  <w:r>
                    <w:rPr>
                      <w:rFonts w:ascii="仿宋_GB2312" w:hAnsi="仿宋_GB2312" w:cs="仿宋_GB2312" w:eastAsia="仿宋_GB2312"/>
                      <w:sz w:val="20"/>
                      <w:color w:val="000000"/>
                    </w:rPr>
                    <w:t>具备前置Type-C接口，通过Type-C接口实现音视频输入，外接电脑设备经双头Type-C线连接至整机，即可把外接电脑设备画面投到整机上，同时在整机上操作画面，可实现触摸电脑的操作，无需再连接触控USB线。</w:t>
                  </w:r>
                </w:p>
                <w:p>
                  <w:pPr>
                    <w:pStyle w:val="null3"/>
                    <w:spacing w:after="75"/>
                    <w:jc w:val="both"/>
                  </w:pPr>
                  <w:r>
                    <w:rPr>
                      <w:rFonts w:ascii="仿宋_GB2312" w:hAnsi="仿宋_GB2312" w:cs="仿宋_GB2312" w:eastAsia="仿宋_GB2312"/>
                      <w:sz w:val="20"/>
                      <w:color w:val="000000"/>
                    </w:rPr>
                    <w:t>28.</w:t>
                  </w:r>
                  <w:r>
                    <w:rPr>
                      <w:rFonts w:ascii="仿宋_GB2312" w:hAnsi="仿宋_GB2312" w:cs="仿宋_GB2312" w:eastAsia="仿宋_GB2312"/>
                      <w:sz w:val="20"/>
                      <w:color w:val="000000"/>
                    </w:rPr>
                    <w:t>▲具备班级视力检测功能，学</w:t>
                  </w:r>
                  <w:r>
                    <w:rPr>
                      <w:rFonts w:ascii="仿宋_GB2312" w:hAnsi="仿宋_GB2312" w:cs="仿宋_GB2312" w:eastAsia="仿宋_GB2312"/>
                      <w:sz w:val="20"/>
                      <w:color w:val="000000"/>
                    </w:rPr>
                    <w:t>⽣</w:t>
                  </w:r>
                  <w:r>
                    <w:rPr>
                      <w:rFonts w:ascii="仿宋_GB2312" w:hAnsi="仿宋_GB2312" w:cs="仿宋_GB2312" w:eastAsia="仿宋_GB2312"/>
                      <w:sz w:val="20"/>
                      <w:color w:val="000000"/>
                    </w:rPr>
                    <w:t>站在距离屏幕前5m处，可通过</w:t>
                  </w:r>
                  <w:r>
                    <w:rPr>
                      <w:rFonts w:ascii="仿宋_GB2312" w:hAnsi="仿宋_GB2312" w:cs="仿宋_GB2312" w:eastAsia="仿宋_GB2312"/>
                      <w:sz w:val="20"/>
                      <w:color w:val="000000"/>
                    </w:rPr>
                    <w:t>⼿</w:t>
                  </w:r>
                  <w:r>
                    <w:rPr>
                      <w:rFonts w:ascii="仿宋_GB2312" w:hAnsi="仿宋_GB2312" w:cs="仿宋_GB2312" w:eastAsia="仿宋_GB2312"/>
                      <w:sz w:val="20"/>
                      <w:color w:val="000000"/>
                    </w:rPr>
                    <w:t>势识别方式来标识方向进行视力测试，测试完成后可直接生成视力检测结果，并建立学生视力档案，对学生视力情况进</w:t>
                  </w:r>
                  <w:r>
                    <w:rPr>
                      <w:rFonts w:ascii="仿宋_GB2312" w:hAnsi="仿宋_GB2312" w:cs="仿宋_GB2312" w:eastAsia="仿宋_GB2312"/>
                      <w:sz w:val="20"/>
                      <w:color w:val="000000"/>
                    </w:rPr>
                    <w:t>⾏</w:t>
                  </w:r>
                  <w:r>
                    <w:rPr>
                      <w:rFonts w:ascii="仿宋_GB2312" w:hAnsi="仿宋_GB2312" w:cs="仿宋_GB2312" w:eastAsia="仿宋_GB2312"/>
                      <w:sz w:val="20"/>
                      <w:color w:val="000000"/>
                    </w:rPr>
                    <w:t>管理。</w:t>
                  </w:r>
                </w:p>
                <w:p>
                  <w:pPr>
                    <w:pStyle w:val="null3"/>
                    <w:spacing w:after="75"/>
                    <w:jc w:val="both"/>
                  </w:pPr>
                  <w:r>
                    <w:rPr>
                      <w:rFonts w:ascii="仿宋_GB2312" w:hAnsi="仿宋_GB2312" w:cs="仿宋_GB2312" w:eastAsia="仿宋_GB2312"/>
                      <w:sz w:val="20"/>
                      <w:color w:val="000000"/>
                    </w:rPr>
                    <w:t>29.</w:t>
                  </w:r>
                  <w:r>
                    <w:rPr>
                      <w:rFonts w:ascii="仿宋_GB2312" w:hAnsi="仿宋_GB2312" w:cs="仿宋_GB2312" w:eastAsia="仿宋_GB2312"/>
                      <w:sz w:val="20"/>
                      <w:color w:val="000000"/>
                    </w:rPr>
                    <w:t>内置专业硬件自检维护工具（非第三方工具），具备对整机内部的板卡及部件模块进行故障检测、系统还原功能。</w:t>
                  </w:r>
                </w:p>
                <w:p>
                  <w:pPr>
                    <w:pStyle w:val="null3"/>
                    <w:spacing w:after="75"/>
                    <w:jc w:val="both"/>
                  </w:pPr>
                  <w:r>
                    <w:rPr>
                      <w:rFonts w:ascii="仿宋_GB2312" w:hAnsi="仿宋_GB2312" w:cs="仿宋_GB2312" w:eastAsia="仿宋_GB2312"/>
                      <w:sz w:val="20"/>
                      <w:color w:val="000000"/>
                    </w:rPr>
                    <w:t>30.</w:t>
                  </w:r>
                  <w:r>
                    <w:rPr>
                      <w:rFonts w:ascii="仿宋_GB2312" w:hAnsi="仿宋_GB2312" w:cs="仿宋_GB2312" w:eastAsia="仿宋_GB2312"/>
                      <w:sz w:val="20"/>
                      <w:color w:val="000000"/>
                    </w:rPr>
                    <w:t>▲Windows通道具备文件传输应用，具备通过扫码、超声、wifi直连三种方式与手机进行握手连接，实现文件传输功能。</w:t>
                  </w:r>
                </w:p>
                <w:p>
                  <w:pPr>
                    <w:pStyle w:val="null3"/>
                    <w:spacing w:after="75"/>
                    <w:jc w:val="both"/>
                  </w:pPr>
                  <w:r>
                    <w:rPr>
                      <w:rFonts w:ascii="仿宋_GB2312" w:hAnsi="仿宋_GB2312" w:cs="仿宋_GB2312" w:eastAsia="仿宋_GB2312"/>
                      <w:sz w:val="20"/>
                      <w:color w:val="000000"/>
                    </w:rPr>
                    <w:t>二、OPS模块</w:t>
                  </w:r>
                </w:p>
                <w:p>
                  <w:pPr>
                    <w:pStyle w:val="null3"/>
                    <w:spacing w:after="75"/>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▲采用抽拉内置式模块化电脑，抽拉内置式，PC模块可插入整机，可实现无单独接线的插拔。按压式卡扣方式，无需工具即可快速拆卸电脑模块。</w:t>
                  </w:r>
                </w:p>
                <w:p>
                  <w:pPr>
                    <w:pStyle w:val="null3"/>
                    <w:spacing w:after="75"/>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搭载≥Intel 12代酷睿 i5CPU。内存：≥16GB DDR4笔记本内存或以上配置。硬盘：≥512GB SSD固态硬盘或以上配置。</w:t>
                  </w:r>
                </w:p>
                <w:p>
                  <w:pPr>
                    <w:pStyle w:val="null3"/>
                    <w:spacing w:after="75"/>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具有≥3个独立USB3.0 接口。</w:t>
                  </w:r>
                </w:p>
                <w:p>
                  <w:pPr>
                    <w:pStyle w:val="null3"/>
                    <w:spacing w:after="75"/>
                    <w:jc w:val="both"/>
                  </w:pPr>
                  <w:r>
                    <w:rPr>
                      <w:rFonts w:ascii="仿宋_GB2312" w:hAnsi="仿宋_GB2312" w:cs="仿宋_GB2312" w:eastAsia="仿宋_GB2312"/>
                      <w:sz w:val="20"/>
                      <w:color w:val="000000"/>
                    </w:rPr>
                    <w:t>三、视频展台</w:t>
                  </w:r>
                </w:p>
                <w:p>
                  <w:pPr>
                    <w:pStyle w:val="null3"/>
                    <w:spacing w:after="75"/>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、箱体采用全金属箱体，可壁挂式安装；</w:t>
                  </w:r>
                </w:p>
                <w:p>
                  <w:pPr>
                    <w:pStyle w:val="null3"/>
                    <w:spacing w:after="75"/>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、使用高清自动聚焦镜头，提供多种分辨率可选择，高清像素≥4K，拍摄≥A4画幅；</w:t>
                  </w:r>
                </w:p>
                <w:p>
                  <w:pPr>
                    <w:pStyle w:val="null3"/>
                    <w:spacing w:after="75"/>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、可通过USB线实现供电、高清数据传输需求；带节能补光灯，光线不足时可进行亮度补充；</w:t>
                  </w:r>
                </w:p>
                <w:p>
                  <w:pPr>
                    <w:pStyle w:val="null3"/>
                    <w:spacing w:after="75"/>
                    <w:jc w:val="both"/>
                  </w:pPr>
                  <w:r>
                    <w:rPr>
                      <w:rFonts w:ascii="仿宋_GB2312" w:hAnsi="仿宋_GB2312" w:cs="仿宋_GB2312" w:eastAsia="仿宋_GB2312"/>
                      <w:sz w:val="20"/>
                      <w:color w:val="000000"/>
                    </w:rPr>
                    <w:t>4</w:t>
                  </w:r>
                  <w:r>
                    <w:rPr>
                      <w:rFonts w:ascii="仿宋_GB2312" w:hAnsi="仿宋_GB2312" w:cs="仿宋_GB2312" w:eastAsia="仿宋_GB2312"/>
                      <w:sz w:val="20"/>
                      <w:color w:val="000000"/>
                    </w:rPr>
                    <w:t>、具备亮度、对比度、清晰度、饱和度、锐度、逆光对比、色彩调整等；多图片格式JPG，TIF，PNG，BMP，PDF等；</w:t>
                  </w:r>
                </w:p>
                <w:p>
                  <w:pPr>
                    <w:pStyle w:val="null3"/>
                    <w:spacing w:after="75"/>
                    <w:jc w:val="both"/>
                  </w:pPr>
                  <w:r>
                    <w:rPr>
                      <w:rFonts w:ascii="仿宋_GB2312" w:hAnsi="仿宋_GB2312" w:cs="仿宋_GB2312" w:eastAsia="仿宋_GB2312"/>
                      <w:sz w:val="20"/>
                      <w:color w:val="000000"/>
                    </w:rPr>
                    <w:t>四、集中控制管理软件</w:t>
                  </w:r>
                </w:p>
                <w:p>
                  <w:pPr>
                    <w:pStyle w:val="null3"/>
                    <w:spacing w:after="75"/>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平台采用B/S架构设计，具备账号/密码、手机扫码登录。</w:t>
                  </w:r>
                </w:p>
                <w:p>
                  <w:pPr>
                    <w:pStyle w:val="null3"/>
                    <w:spacing w:after="75"/>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音视频直播：具备多位老师同时向不同设备发起直播，直播方式包含纯桌面直播、视频直播、音频直播、桌面+视频直播方式；直播过程中具备增、删接收直播观看的班班通设备；具备实时查看收看端教室画面；具备切换直播画质清晰度；具备实时了解直播质量，包含直播源码率、FPS数据，实时掌握直播稳定情况。</w:t>
                  </w:r>
                </w:p>
                <w:p>
                  <w:pPr>
                    <w:pStyle w:val="null3"/>
                    <w:spacing w:after="75"/>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弹窗管理：具备查看学校当前已上报的所有疑似风险窗口和上报次数，并具备拦截某个应用所有窗口、某个进程所有窗口、某个具体窗口，以减少教学过程中不良窗口弹出对教学氛围的影响；具备将某个应用、某个进程、某个具体窗口加入白名单，以确保正常授课软件中的窗口可正常访问。</w:t>
                  </w:r>
                </w:p>
                <w:p>
                  <w:pPr>
                    <w:pStyle w:val="null3"/>
                    <w:spacing w:after="75"/>
                    <w:jc w:val="both"/>
                  </w:pPr>
                  <w:r>
                    <w:rPr>
                      <w:rFonts w:ascii="仿宋_GB2312" w:hAnsi="仿宋_GB2312" w:cs="仿宋_GB2312" w:eastAsia="仿宋_GB2312"/>
                      <w:sz w:val="20"/>
                      <w:color w:val="000000"/>
                    </w:rPr>
                    <w:t>4.</w:t>
                  </w:r>
                  <w:r>
                    <w:rPr>
                      <w:rFonts w:ascii="仿宋_GB2312" w:hAnsi="仿宋_GB2312" w:cs="仿宋_GB2312" w:eastAsia="仿宋_GB2312"/>
                      <w:sz w:val="20"/>
                      <w:color w:val="000000"/>
                    </w:rPr>
                    <w:t>分组管理：具备根据设备类型、设备所属年级/场地/自定义分组、设备开关机状态进行分组管理；具备文字检索设备名称，快速定位对应设备进行定向精准管理。</w:t>
                  </w:r>
                </w:p>
                <w:p>
                  <w:pPr>
                    <w:pStyle w:val="null3"/>
                    <w:spacing w:after="75"/>
                    <w:jc w:val="both"/>
                  </w:pPr>
                  <w:r>
                    <w:rPr>
                      <w:rFonts w:ascii="仿宋_GB2312" w:hAnsi="仿宋_GB2312" w:cs="仿宋_GB2312" w:eastAsia="仿宋_GB2312"/>
                      <w:sz w:val="20"/>
                      <w:color w:val="000000"/>
                    </w:rPr>
                    <w:t>5.</w:t>
                  </w:r>
                  <w:r>
                    <w:rPr>
                      <w:rFonts w:ascii="仿宋_GB2312" w:hAnsi="仿宋_GB2312" w:cs="仿宋_GB2312" w:eastAsia="仿宋_GB2312"/>
                      <w:sz w:val="20"/>
                      <w:color w:val="000000"/>
                    </w:rPr>
                    <w:t>多场景锁屏：具备一键下课锁屏、开机自动锁屏、无网络时验证身份解锁。其中“下课锁屏”功能开启后，老师授课结束后可在班班通设备上点击“下课锁屏”按钮即可锁屏，保证班班通设备的使用秩序；其中“开机自动锁屏”可根据用户实际管理习惯，灵活设置不同分组的设备，开机后自动锁屏，以便于学校不同年级间分段管理；设备锁屏后，具备无网络情况下，使用者通过手机微信扫一扫验证身份后获取唯一临时解锁密码进行解锁使用，以防止设备被学生违规使用，影响设备性能。具备设置屏幕锁壁纸，可用于学校的校园文化宣传。</w:t>
                  </w:r>
                </w:p>
                <w:p>
                  <w:pPr>
                    <w:pStyle w:val="null3"/>
                    <w:spacing w:after="75"/>
                    <w:jc w:val="both"/>
                  </w:pPr>
                  <w:r>
                    <w:rPr>
                      <w:rFonts w:ascii="仿宋_GB2312" w:hAnsi="仿宋_GB2312" w:cs="仿宋_GB2312" w:eastAsia="仿宋_GB2312"/>
                      <w:sz w:val="20"/>
                      <w:color w:val="000000"/>
                    </w:rPr>
                    <w:t>6.</w:t>
                  </w:r>
                  <w:r>
                    <w:rPr>
                      <w:rFonts w:ascii="仿宋_GB2312" w:hAnsi="仿宋_GB2312" w:cs="仿宋_GB2312" w:eastAsia="仿宋_GB2312"/>
                      <w:sz w:val="20"/>
                      <w:color w:val="000000"/>
                    </w:rPr>
                    <w:t>远程控制：具备远程实时控制设备，可监测设备当前运行界面，并远程操作设备界面，适用于远程维护和修复设备软件问题。</w:t>
                  </w:r>
                </w:p>
                <w:p>
                  <w:pPr>
                    <w:pStyle w:val="null3"/>
                    <w:spacing w:after="75"/>
                    <w:jc w:val="both"/>
                  </w:pPr>
                  <w:r>
                    <w:rPr>
                      <w:rFonts w:ascii="仿宋_GB2312" w:hAnsi="仿宋_GB2312" w:cs="仿宋_GB2312" w:eastAsia="仿宋_GB2312"/>
                      <w:sz w:val="20"/>
                      <w:color w:val="000000"/>
                    </w:rPr>
                    <w:t>7.</w:t>
                  </w:r>
                  <w:r>
                    <w:rPr>
                      <w:rFonts w:ascii="仿宋_GB2312" w:hAnsi="仿宋_GB2312" w:cs="仿宋_GB2312" w:eastAsia="仿宋_GB2312"/>
                      <w:sz w:val="20"/>
                      <w:color w:val="000000"/>
                    </w:rPr>
                    <w:t>不良信息监测：具备在发送消息通知时，自动监测所发送文字是否存在敏感/违规文字，保护触达学生的信息安全可控。</w:t>
                  </w:r>
                </w:p>
                <w:p>
                  <w:pPr>
                    <w:pStyle w:val="null3"/>
                    <w:spacing w:after="75"/>
                    <w:jc w:val="both"/>
                  </w:pPr>
                  <w:r>
                    <w:rPr>
                      <w:rFonts w:ascii="仿宋_GB2312" w:hAnsi="仿宋_GB2312" w:cs="仿宋_GB2312" w:eastAsia="仿宋_GB2312"/>
                      <w:sz w:val="20"/>
                      <w:color w:val="000000"/>
                    </w:rPr>
                    <w:t>8.</w:t>
                  </w:r>
                  <w:r>
                    <w:rPr>
                      <w:rFonts w:ascii="仿宋_GB2312" w:hAnsi="仿宋_GB2312" w:cs="仿宋_GB2312" w:eastAsia="仿宋_GB2312"/>
                      <w:sz w:val="20"/>
                      <w:color w:val="000000"/>
                    </w:rPr>
                    <w:t>流量监管：具备查看校内当日班班通设备流量使用的具体情况、带宽利用率；具备对设备进行限速设置。</w:t>
                  </w:r>
                </w:p>
                <w:p>
                  <w:pPr>
                    <w:pStyle w:val="null3"/>
                    <w:spacing w:after="75"/>
                    <w:jc w:val="both"/>
                  </w:pPr>
                  <w:r>
                    <w:rPr>
                      <w:rFonts w:ascii="仿宋_GB2312" w:hAnsi="仿宋_GB2312" w:cs="仿宋_GB2312" w:eastAsia="仿宋_GB2312"/>
                      <w:sz w:val="20"/>
                      <w:color w:val="000000"/>
                    </w:rPr>
                    <w:t>9.</w:t>
                  </w:r>
                  <w:r>
                    <w:rPr>
                      <w:rFonts w:ascii="仿宋_GB2312" w:hAnsi="仿宋_GB2312" w:cs="仿宋_GB2312" w:eastAsia="仿宋_GB2312"/>
                      <w:sz w:val="20"/>
                      <w:color w:val="000000"/>
                    </w:rPr>
                    <w:t>网址过滤：具备设置网址访问黑名单、白名单，限制所有设备的网址访问，从而保证校内班班通设备访问的内容健康可控。</w:t>
                  </w:r>
                </w:p>
                <w:p>
                  <w:pPr>
                    <w:pStyle w:val="null3"/>
                    <w:spacing w:after="75"/>
                    <w:jc w:val="both"/>
                  </w:pPr>
                  <w:r>
                    <w:rPr>
                      <w:rFonts w:ascii="仿宋_GB2312" w:hAnsi="仿宋_GB2312" w:cs="仿宋_GB2312" w:eastAsia="仿宋_GB2312"/>
                      <w:sz w:val="20"/>
                      <w:color w:val="000000"/>
                    </w:rPr>
                    <w:t>10.</w:t>
                  </w:r>
                  <w:r>
                    <w:rPr>
                      <w:rFonts w:ascii="仿宋_GB2312" w:hAnsi="仿宋_GB2312" w:cs="仿宋_GB2312" w:eastAsia="仿宋_GB2312"/>
                      <w:sz w:val="20"/>
                      <w:color w:val="000000"/>
                    </w:rPr>
                    <w:t>数据分析：具备实时查看和导出学校设备整体使用数据，并具备精确查看具体设备数据。数据包含设备的使用时长、活跃次数、常用软件使用时长和次数、教学应用使用情况、设备健康度分析、弹窗拦截次数、老师使用班班通设备教学情况。</w:t>
                  </w:r>
                </w:p>
                <w:p>
                  <w:pPr>
                    <w:pStyle w:val="null3"/>
                    <w:spacing w:after="75"/>
                    <w:jc w:val="both"/>
                  </w:pPr>
                  <w:r>
                    <w:rPr>
                      <w:rFonts w:ascii="仿宋_GB2312" w:hAnsi="仿宋_GB2312" w:cs="仿宋_GB2312" w:eastAsia="仿宋_GB2312"/>
                      <w:sz w:val="20"/>
                      <w:color w:val="000000"/>
                    </w:rPr>
                    <w:t>11.</w:t>
                  </w:r>
                  <w:r>
                    <w:rPr>
                      <w:rFonts w:ascii="仿宋_GB2312" w:hAnsi="仿宋_GB2312" w:cs="仿宋_GB2312" w:eastAsia="仿宋_GB2312"/>
                      <w:sz w:val="20"/>
                      <w:color w:val="000000"/>
                    </w:rPr>
                    <w:t>磁盘清理：具备远程批量清理设备磁盘，保障设备磁盘可用空间最大化，从而提升设备运行流畅性、桌面整洁性；具备清理指定磁盘的指定文件夹；具备清理系统盘备份、缓存、日志等垃圾文件；具备迁移系统盘视频、图片、音乐、文档等空间占用较大的文件；具备格式化非系统盘磁盘。</w:t>
                  </w:r>
                </w:p>
                <w:p>
                  <w:pPr>
                    <w:pStyle w:val="null3"/>
                    <w:spacing w:after="75"/>
                    <w:jc w:val="both"/>
                  </w:pPr>
                  <w:r>
                    <w:rPr>
                      <w:rFonts w:ascii="仿宋_GB2312" w:hAnsi="仿宋_GB2312" w:cs="仿宋_GB2312" w:eastAsia="仿宋_GB2312"/>
                      <w:sz w:val="20"/>
                      <w:color w:val="000000"/>
                    </w:rPr>
                    <w:t>12.</w:t>
                  </w:r>
                  <w:r>
                    <w:rPr>
                      <w:rFonts w:ascii="仿宋_GB2312" w:hAnsi="仿宋_GB2312" w:cs="仿宋_GB2312" w:eastAsia="仿宋_GB2312"/>
                      <w:sz w:val="20"/>
                      <w:color w:val="000000"/>
                    </w:rPr>
                    <w:t>领导视窗：具备同时查看9个教室的实时摄像头画面、设备屏幕画面；并具备在一个显示界面同时查看单个教室内所有屏幕、所有摄像头的实时画面，以及所有麦克风的声音，完整还原课堂全貌。其中摄像头画面可直接使用班班通自带摄像头，无需额外购置，方便且实惠。单台设备巡视时，发现有违规违纪行为时，可远程发消息、发语音直接干预，也可记录备注，事后教育；发现有精彩瞬间时，可对教室画面进行截屏、录制，将素材留存为校内文化资源；具备记录所有管理员的巡视记录，方便回溯。</w:t>
                  </w:r>
                </w:p>
                <w:p>
                  <w:pPr>
                    <w:pStyle w:val="null3"/>
                    <w:spacing w:after="75"/>
                    <w:jc w:val="both"/>
                  </w:pPr>
                  <w:r>
                    <w:rPr>
                      <w:rFonts w:ascii="仿宋_GB2312" w:hAnsi="仿宋_GB2312" w:cs="仿宋_GB2312" w:eastAsia="仿宋_GB2312"/>
                      <w:sz w:val="20"/>
                      <w:color w:val="000000"/>
                    </w:rPr>
                    <w:t>13.</w:t>
                  </w:r>
                  <w:r>
                    <w:rPr>
                      <w:rFonts w:ascii="仿宋_GB2312" w:hAnsi="仿宋_GB2312" w:cs="仿宋_GB2312" w:eastAsia="仿宋_GB2312"/>
                      <w:sz w:val="20"/>
                      <w:color w:val="000000"/>
                    </w:rPr>
                    <w:t>自动巡视：具备针对不同设备创建不同时间的自动巡视计划，创建成功后，设备会自动录制教室所有摄像头画面和所有麦克风声音，可应用于学校巡纪律、巡课、巡考等场景；自动巡视录制的视频，具备下载，具备拖拽进度查看某时间点，教室不同摄像头所抓取的画面和声音信息。</w:t>
                  </w:r>
                </w:p>
                <w:p>
                  <w:pPr>
                    <w:pStyle w:val="null3"/>
                    <w:spacing w:after="75"/>
                    <w:jc w:val="both"/>
                  </w:pPr>
                  <w:r>
                    <w:rPr>
                      <w:rFonts w:ascii="仿宋_GB2312" w:hAnsi="仿宋_GB2312" w:cs="仿宋_GB2312" w:eastAsia="仿宋_GB2312"/>
                      <w:sz w:val="20"/>
                      <w:color w:val="000000"/>
                    </w:rPr>
                    <w:t>14.</w:t>
                  </w:r>
                  <w:r>
                    <w:rPr>
                      <w:rFonts w:ascii="仿宋_GB2312" w:hAnsi="仿宋_GB2312" w:cs="仿宋_GB2312" w:eastAsia="仿宋_GB2312"/>
                      <w:sz w:val="20"/>
                      <w:color w:val="000000"/>
                    </w:rPr>
                    <w:t>智慧管控：具备设备长时间无人使用时，自动进入屏保、锁屏、息屏、关机状态，保护显示器，延长班班通使用寿命。</w:t>
                  </w:r>
                </w:p>
                <w:p>
                  <w:pPr>
                    <w:pStyle w:val="null3"/>
                    <w:spacing w:after="75"/>
                    <w:jc w:val="both"/>
                  </w:pPr>
                  <w:r>
                    <w:rPr>
                      <w:rFonts w:ascii="仿宋_GB2312" w:hAnsi="仿宋_GB2312" w:cs="仿宋_GB2312" w:eastAsia="仿宋_GB2312"/>
                      <w:sz w:val="20"/>
                      <w:color w:val="000000"/>
                    </w:rPr>
                    <w:t>15.</w:t>
                  </w:r>
                  <w:r>
                    <w:rPr>
                      <w:rFonts w:ascii="仿宋_GB2312" w:hAnsi="仿宋_GB2312" w:cs="仿宋_GB2312" w:eastAsia="仿宋_GB2312"/>
                      <w:sz w:val="20"/>
                      <w:color w:val="000000"/>
                    </w:rPr>
                    <w:t>软件静默安装：具备用户自主上传官方正版软件，经过人工封装软件后，批量将软件发送至班班通设备安装，整个安装过程完全无感，不影响正常教学。</w:t>
                  </w:r>
                </w:p>
                <w:p>
                  <w:pPr>
                    <w:pStyle w:val="null3"/>
                    <w:spacing w:after="75"/>
                    <w:jc w:val="both"/>
                  </w:pPr>
                  <w:r>
                    <w:rPr>
                      <w:rFonts w:ascii="仿宋_GB2312" w:hAnsi="仿宋_GB2312" w:cs="仿宋_GB2312" w:eastAsia="仿宋_GB2312"/>
                      <w:sz w:val="20"/>
                      <w:color w:val="000000"/>
                    </w:rPr>
                    <w:t>16.</w:t>
                  </w:r>
                  <w:r>
                    <w:rPr>
                      <w:rFonts w:ascii="仿宋_GB2312" w:hAnsi="仿宋_GB2312" w:cs="仿宋_GB2312" w:eastAsia="仿宋_GB2312"/>
                      <w:sz w:val="20"/>
                      <w:color w:val="000000"/>
                    </w:rPr>
                    <w:t>弹窗AI拦截：具备一键开启全校班班通设备的不良弹窗AI拦截过滤能力，设备辅助管理软件实时监测弹出窗口，当有窗口弹出时，会自动使用“不良弹窗AI模型”判断，判断为不良弹窗时，自动拦截该窗口，以保证课堂教学稳定进行。</w:t>
                  </w:r>
                </w:p>
                <w:p>
                  <w:pPr>
                    <w:pStyle w:val="null3"/>
                    <w:spacing w:after="75"/>
                    <w:jc w:val="both"/>
                  </w:pPr>
                  <w:r>
                    <w:rPr>
                      <w:rFonts w:ascii="仿宋_GB2312" w:hAnsi="仿宋_GB2312" w:cs="仿宋_GB2312" w:eastAsia="仿宋_GB2312"/>
                      <w:sz w:val="20"/>
                      <w:color w:val="000000"/>
                    </w:rPr>
                    <w:t>17.</w:t>
                  </w:r>
                  <w:r>
                    <w:rPr>
                      <w:rFonts w:ascii="仿宋_GB2312" w:hAnsi="仿宋_GB2312" w:cs="仿宋_GB2312" w:eastAsia="仿宋_GB2312"/>
                      <w:sz w:val="20"/>
                      <w:color w:val="000000"/>
                    </w:rPr>
                    <w:t>冰点穿透：具备远程向已冰冻的设备发送指令、安装软件、传输大文件，设备接收到后会立即执行，并在设备正常关机时触发穿透动作，穿透完成后，设备即可永久性使用已安装软件、已传输文件、执行已接收指令，且穿透过程中无需人为解冻。</w:t>
                  </w:r>
                </w:p>
                <w:p>
                  <w:pPr>
                    <w:pStyle w:val="null3"/>
                    <w:spacing w:after="75"/>
                    <w:jc w:val="both"/>
                  </w:pPr>
                  <w:r>
                    <w:rPr>
                      <w:rFonts w:ascii="仿宋_GB2312" w:hAnsi="仿宋_GB2312" w:cs="仿宋_GB2312" w:eastAsia="仿宋_GB2312"/>
                      <w:sz w:val="20"/>
                      <w:color w:val="000000"/>
                    </w:rPr>
                    <w:t>五、备授课软件</w:t>
                  </w:r>
                </w:p>
                <w:p>
                  <w:pPr>
                    <w:pStyle w:val="null3"/>
                    <w:spacing w:after="75"/>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为使用方全体教师配备个人账号，形成一体的信息化教学账号体系；根据教师账号信息将教师云空间匹配至对应学校、学科校本资源库。具备通过数字账号、微信二维码、硬件密钥方式登录教师个人账号。</w:t>
                  </w:r>
                </w:p>
                <w:p>
                  <w:pPr>
                    <w:pStyle w:val="null3"/>
                    <w:spacing w:after="75"/>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互动教学课件具备定向精准分享：分享者可将互动课件、课件组精准推送至指定接收方账号云空间，接收方可在云空间接收并打开分享课件；</w:t>
                  </w:r>
                </w:p>
                <w:p>
                  <w:pPr>
                    <w:pStyle w:val="null3"/>
                    <w:spacing w:after="75"/>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提供互动式教学课件资源，包含学科教育各学段各地区教材版本≥88个；包含学科教育各学段教材版本全部教学章节，及学科教育之外的专题教育、特殊教育等不同类型的丰富课件。</w:t>
                  </w:r>
                </w:p>
                <w:p>
                  <w:pPr>
                    <w:pStyle w:val="null3"/>
                    <w:spacing w:after="75"/>
                    <w:jc w:val="both"/>
                  </w:pPr>
                  <w:r>
                    <w:rPr>
                      <w:rFonts w:ascii="仿宋_GB2312" w:hAnsi="仿宋_GB2312" w:cs="仿宋_GB2312" w:eastAsia="仿宋_GB2312"/>
                      <w:sz w:val="20"/>
                      <w:color w:val="000000"/>
                    </w:rPr>
                    <w:t>4.</w:t>
                  </w:r>
                  <w:r>
                    <w:rPr>
                      <w:rFonts w:ascii="仿宋_GB2312" w:hAnsi="仿宋_GB2312" w:cs="仿宋_GB2312" w:eastAsia="仿宋_GB2312"/>
                      <w:sz w:val="20"/>
                      <w:color w:val="000000"/>
                    </w:rPr>
                    <w:t>采用备授课一体化框架设计，教师可根据教学场景自由切换类PPT界面的备课模式与触控交互教学模式，适用于教室、办公室等不同教学环境，便于教师教学使用。</w:t>
                  </w:r>
                </w:p>
                <w:p>
                  <w:pPr>
                    <w:pStyle w:val="null3"/>
                    <w:spacing w:after="75"/>
                    <w:jc w:val="both"/>
                  </w:pPr>
                  <w:r>
                    <w:rPr>
                      <w:rFonts w:ascii="仿宋_GB2312" w:hAnsi="仿宋_GB2312" w:cs="仿宋_GB2312" w:eastAsia="仿宋_GB2312"/>
                      <w:sz w:val="20"/>
                      <w:color w:val="000000"/>
                    </w:rPr>
                    <w:t>5.</w:t>
                  </w:r>
                  <w:r>
                    <w:rPr>
                      <w:rFonts w:ascii="仿宋_GB2312" w:hAnsi="仿宋_GB2312" w:cs="仿宋_GB2312" w:eastAsia="仿宋_GB2312"/>
                      <w:sz w:val="20"/>
                      <w:color w:val="000000"/>
                    </w:rPr>
                    <w:t>具备PPT的原生解析，教师可将pptx课件转化为互动教学课件，具备单份导入和批量文件夹导入两种导入方式，保留pptx原文件中的文字、图片、表格等对象及动画的可编辑性，并可为课件增加互动教学元素。</w:t>
                  </w:r>
                </w:p>
                <w:p>
                  <w:pPr>
                    <w:pStyle w:val="null3"/>
                    <w:spacing w:after="75"/>
                    <w:jc w:val="both"/>
                  </w:pPr>
                  <w:r>
                    <w:rPr>
                      <w:rFonts w:ascii="仿宋_GB2312" w:hAnsi="仿宋_GB2312" w:cs="仿宋_GB2312" w:eastAsia="仿宋_GB2312"/>
                      <w:sz w:val="20"/>
                      <w:color w:val="000000"/>
                    </w:rPr>
                    <w:t>6.</w:t>
                  </w:r>
                  <w:r>
                    <w:rPr>
                      <w:rFonts w:ascii="仿宋_GB2312" w:hAnsi="仿宋_GB2312" w:cs="仿宋_GB2312" w:eastAsia="仿宋_GB2312"/>
                      <w:sz w:val="20"/>
                      <w:color w:val="000000"/>
                    </w:rPr>
                    <w:t>课件回收站功能：按照删除时间存储已删除课件，具备用户在3天内自主或彻底删除单份/多份/全部已删除课件</w:t>
                  </w:r>
                </w:p>
                <w:p>
                  <w:pPr>
                    <w:pStyle w:val="null3"/>
                    <w:spacing w:after="75"/>
                    <w:jc w:val="both"/>
                  </w:pPr>
                  <w:r>
                    <w:rPr>
                      <w:rFonts w:ascii="仿宋_GB2312" w:hAnsi="仿宋_GB2312" w:cs="仿宋_GB2312" w:eastAsia="仿宋_GB2312"/>
                      <w:sz w:val="20"/>
                      <w:color w:val="000000"/>
                    </w:rPr>
                    <w:t>7.</w:t>
                  </w:r>
                  <w:r>
                    <w:rPr>
                      <w:rFonts w:ascii="仿宋_GB2312" w:hAnsi="仿宋_GB2312" w:cs="仿宋_GB2312" w:eastAsia="仿宋_GB2312"/>
                      <w:sz w:val="20"/>
                      <w:color w:val="000000"/>
                    </w:rPr>
                    <w:t>具备云端静默推送下载功能，无需用户手动下载即可实现应用的在线升级，升级具有信息验证机制，确保教学秩序不受干扰。</w:t>
                  </w:r>
                </w:p>
                <w:p>
                  <w:pPr>
                    <w:pStyle w:val="null3"/>
                    <w:spacing w:after="75"/>
                    <w:jc w:val="both"/>
                  </w:pPr>
                  <w:r>
                    <w:rPr>
                      <w:rFonts w:ascii="仿宋_GB2312" w:hAnsi="仿宋_GB2312" w:cs="仿宋_GB2312" w:eastAsia="仿宋_GB2312"/>
                      <w:sz w:val="20"/>
                      <w:color w:val="000000"/>
                    </w:rPr>
                    <w:t>8.</w:t>
                  </w:r>
                  <w:r>
                    <w:rPr>
                      <w:rFonts w:ascii="仿宋_GB2312" w:hAnsi="仿宋_GB2312" w:cs="仿宋_GB2312" w:eastAsia="仿宋_GB2312"/>
                      <w:sz w:val="20"/>
                      <w:color w:val="000000"/>
                    </w:rPr>
                    <w:t>胶囊式微课功能内置于交互式课件工具中，具备快速录制胶囊式微课，微课可录制保存音频和课件的互动操作</w:t>
                  </w:r>
                </w:p>
                <w:p>
                  <w:pPr>
                    <w:pStyle w:val="null3"/>
                    <w:spacing w:after="75"/>
                    <w:jc w:val="both"/>
                  </w:pPr>
                  <w:r>
                    <w:rPr>
                      <w:rFonts w:ascii="仿宋_GB2312" w:hAnsi="仿宋_GB2312" w:cs="仿宋_GB2312" w:eastAsia="仿宋_GB2312"/>
                      <w:sz w:val="20"/>
                      <w:color w:val="000000"/>
                    </w:rPr>
                    <w:t>9.</w:t>
                  </w:r>
                  <w:r>
                    <w:rPr>
                      <w:rFonts w:ascii="仿宋_GB2312" w:hAnsi="仿宋_GB2312" w:cs="仿宋_GB2312" w:eastAsia="仿宋_GB2312"/>
                      <w:sz w:val="20"/>
                      <w:color w:val="000000"/>
                    </w:rPr>
                    <w:t>提供将Word转换为云教案的能力，具备解析文本、表格等通用元素，方便老师迁移旧教案。</w:t>
                  </w:r>
                </w:p>
                <w:p>
                  <w:pPr>
                    <w:pStyle w:val="null3"/>
                    <w:spacing w:after="75"/>
                    <w:jc w:val="both"/>
                  </w:pPr>
                  <w:r>
                    <w:rPr>
                      <w:rFonts w:ascii="仿宋_GB2312" w:hAnsi="仿宋_GB2312" w:cs="仿宋_GB2312" w:eastAsia="仿宋_GB2312"/>
                      <w:sz w:val="20"/>
                      <w:color w:val="000000"/>
                    </w:rPr>
                    <w:t>10.</w:t>
                  </w:r>
                  <w:r>
                    <w:rPr>
                      <w:rFonts w:ascii="仿宋_GB2312" w:hAnsi="仿宋_GB2312" w:cs="仿宋_GB2312" w:eastAsia="仿宋_GB2312"/>
                      <w:sz w:val="20"/>
                      <w:color w:val="000000"/>
                    </w:rPr>
                    <w:t>▲AI智能纠错：软件内置的AI智能语义分析模块，可对输入的英文文本的拼写、句型、语法进行错误检查，并具备一键纠错。</w:t>
                  </w:r>
                </w:p>
                <w:p>
                  <w:pPr>
                    <w:pStyle w:val="null3"/>
                    <w:spacing w:after="75"/>
                    <w:jc w:val="both"/>
                  </w:pPr>
                  <w:r>
                    <w:rPr>
                      <w:rFonts w:ascii="仿宋_GB2312" w:hAnsi="仿宋_GB2312" w:cs="仿宋_GB2312" w:eastAsia="仿宋_GB2312"/>
                      <w:sz w:val="20"/>
                      <w:color w:val="000000"/>
                    </w:rPr>
                    <w:t>11.</w:t>
                  </w:r>
                  <w:r>
                    <w:rPr>
                      <w:rFonts w:ascii="仿宋_GB2312" w:hAnsi="仿宋_GB2312" w:cs="仿宋_GB2312" w:eastAsia="仿宋_GB2312"/>
                      <w:sz w:val="20"/>
                      <w:color w:val="000000"/>
                    </w:rPr>
                    <w:t>云教案内具备插入课件页，可调用云空间中的课件列表，按单页或整份插入教案。插入后的课件可以窗口形式预览，可直接在窗口内进行翻页、元素移动、课堂活动操作、思维导图展开收起、形状工具、蒙层工具、笔工具的交互。可一键切换至全屏模式，全屏模式下具备批注和手势擦除。</w:t>
                  </w:r>
                </w:p>
                <w:p>
                  <w:pPr>
                    <w:pStyle w:val="null3"/>
                    <w:spacing w:after="75"/>
                    <w:jc w:val="both"/>
                  </w:pPr>
                  <w:r>
                    <w:rPr>
                      <w:rFonts w:ascii="仿宋_GB2312" w:hAnsi="仿宋_GB2312" w:cs="仿宋_GB2312" w:eastAsia="仿宋_GB2312"/>
                      <w:sz w:val="20"/>
                      <w:color w:val="000000"/>
                    </w:rPr>
                    <w:t>12.</w:t>
                  </w:r>
                  <w:r>
                    <w:rPr>
                      <w:rFonts w:ascii="仿宋_GB2312" w:hAnsi="仿宋_GB2312" w:cs="仿宋_GB2312" w:eastAsia="仿宋_GB2312"/>
                      <w:sz w:val="20"/>
                      <w:color w:val="000000"/>
                    </w:rPr>
                    <w:t>▲软件提供≥ 90 节党建微课视频，包括国家要求学习的革命、建设、改革、复兴等内容，具备在线点播及下载，具备视频关键帧打点标记，播放过程中可一键跳转，同时具备对频频随时截图方便老师插入课件。</w:t>
                  </w:r>
                </w:p>
                <w:p>
                  <w:pPr>
                    <w:pStyle w:val="null3"/>
                    <w:spacing w:after="75"/>
                    <w:jc w:val="both"/>
                  </w:pPr>
                  <w:r>
                    <w:rPr>
                      <w:rFonts w:ascii="仿宋_GB2312" w:hAnsi="仿宋_GB2312" w:cs="仿宋_GB2312" w:eastAsia="仿宋_GB2312"/>
                      <w:sz w:val="20"/>
                      <w:color w:val="000000"/>
                    </w:rPr>
                    <w:t>13.</w:t>
                  </w:r>
                  <w:r>
                    <w:rPr>
                      <w:rFonts w:ascii="仿宋_GB2312" w:hAnsi="仿宋_GB2312" w:cs="仿宋_GB2312" w:eastAsia="仿宋_GB2312"/>
                      <w:sz w:val="20"/>
                      <w:color w:val="000000"/>
                    </w:rPr>
                    <w:t>内置课堂教学、简约、插画、科技、古风等≥70个课件主题模板供教师选用，且教师可自定义课件背景。</w:t>
                  </w:r>
                </w:p>
                <w:p>
                  <w:pPr>
                    <w:pStyle w:val="null3"/>
                    <w:spacing w:after="75"/>
                    <w:jc w:val="both"/>
                  </w:pPr>
                  <w:r>
                    <w:rPr>
                      <w:rFonts w:ascii="仿宋_GB2312" w:hAnsi="仿宋_GB2312" w:cs="仿宋_GB2312" w:eastAsia="仿宋_GB2312"/>
                      <w:sz w:val="20"/>
                      <w:color w:val="000000"/>
                    </w:rPr>
                    <w:t>14.</w:t>
                  </w:r>
                  <w:r>
                    <w:rPr>
                      <w:rFonts w:ascii="仿宋_GB2312" w:hAnsi="仿宋_GB2312" w:cs="仿宋_GB2312" w:eastAsia="仿宋_GB2312"/>
                      <w:sz w:val="20"/>
                      <w:color w:val="000000"/>
                    </w:rPr>
                    <w:t>▲软件为老师提供云空间，可扩展至≥ 5T 空间使用，方便老师存储相关教学资源。</w:t>
                  </w:r>
                </w:p>
                <w:p>
                  <w:pPr>
                    <w:pStyle w:val="null3"/>
                    <w:spacing w:after="75"/>
                    <w:jc w:val="both"/>
                  </w:pPr>
                  <w:r>
                    <w:rPr>
                      <w:rFonts w:ascii="仿宋_GB2312" w:hAnsi="仿宋_GB2312" w:cs="仿宋_GB2312" w:eastAsia="仿宋_GB2312"/>
                      <w:sz w:val="20"/>
                      <w:color w:val="000000"/>
                    </w:rPr>
                    <w:t>15.</w:t>
                  </w:r>
                  <w:r>
                    <w:rPr>
                      <w:rFonts w:ascii="仿宋_GB2312" w:hAnsi="仿宋_GB2312" w:cs="仿宋_GB2312" w:eastAsia="仿宋_GB2312"/>
                      <w:sz w:val="20"/>
                      <w:color w:val="000000"/>
                    </w:rPr>
                    <w:t>文本工具可插入文本框输入文本并具备文本样式设置：字体、字号、颜色、加粗、倾斜、下划线、上下角标、项目符号。具备段落样式设置：顶部对齐、垂直居中对齐、底端对齐缩进、行高、文本缩进等进行设置。文本、段落的样式具备格式刷快速复制，提升备课效率。预置≥15种艺术字效果，便于教师调用美化课件。</w:t>
                  </w:r>
                </w:p>
                <w:p>
                  <w:pPr>
                    <w:pStyle w:val="null3"/>
                    <w:spacing w:after="75"/>
                    <w:jc w:val="both"/>
                  </w:pPr>
                  <w:r>
                    <w:rPr>
                      <w:rFonts w:ascii="仿宋_GB2312" w:hAnsi="仿宋_GB2312" w:cs="仿宋_GB2312" w:eastAsia="仿宋_GB2312"/>
                      <w:sz w:val="20"/>
                      <w:color w:val="000000"/>
                    </w:rPr>
                    <w:t>16.</w:t>
                  </w:r>
                  <w:r>
                    <w:rPr>
                      <w:rFonts w:ascii="仿宋_GB2312" w:hAnsi="仿宋_GB2312" w:cs="仿宋_GB2312" w:eastAsia="仿宋_GB2312"/>
                      <w:sz w:val="20"/>
                      <w:color w:val="000000"/>
                    </w:rPr>
                    <w:t>软件具备电子化听评课功能，老师可在授课模式下在线发起听评课，其他老师可通过二维码进行评价以及获取课件，发起老师可在我的学校中查看历史记录并进行文档导出，至少具备 word 及 pdf 或其他常见的文档格式等。</w:t>
                  </w:r>
                </w:p>
                <w:p>
                  <w:pPr>
                    <w:pStyle w:val="null3"/>
                    <w:spacing w:after="75"/>
                    <w:jc w:val="both"/>
                  </w:pPr>
                  <w:r>
                    <w:rPr>
                      <w:rFonts w:ascii="仿宋_GB2312" w:hAnsi="仿宋_GB2312" w:cs="仿宋_GB2312" w:eastAsia="仿宋_GB2312"/>
                      <w:sz w:val="20"/>
                      <w:color w:val="000000"/>
                    </w:rPr>
                    <w:t>17.</w:t>
                  </w:r>
                  <w:r>
                    <w:rPr>
                      <w:rFonts w:ascii="仿宋_GB2312" w:hAnsi="仿宋_GB2312" w:cs="仿宋_GB2312" w:eastAsia="仿宋_GB2312"/>
                      <w:sz w:val="20"/>
                      <w:color w:val="000000"/>
                    </w:rPr>
                    <w:t>备课模式下界面工具菜单具备自定义设置，教师可增减符合自身备课习惯的学科工具，自设工具菜单与教师云空间账号绑定，在任意终端登录教师账号备课自动同步备课工具菜单。</w:t>
                  </w:r>
                </w:p>
                <w:p>
                  <w:pPr>
                    <w:pStyle w:val="null3"/>
                    <w:spacing w:after="75"/>
                    <w:jc w:val="both"/>
                  </w:pPr>
                  <w:r>
                    <w:rPr>
                      <w:rFonts w:ascii="仿宋_GB2312" w:hAnsi="仿宋_GB2312" w:cs="仿宋_GB2312" w:eastAsia="仿宋_GB2312"/>
                      <w:sz w:val="20"/>
                      <w:color w:val="000000"/>
                    </w:rPr>
                    <w:t>18.</w:t>
                  </w:r>
                  <w:r>
                    <w:rPr>
                      <w:rFonts w:ascii="仿宋_GB2312" w:hAnsi="仿宋_GB2312" w:cs="仿宋_GB2312" w:eastAsia="仿宋_GB2312"/>
                      <w:sz w:val="20"/>
                      <w:color w:val="000000"/>
                    </w:rPr>
                    <w:t>软件内置语音课堂功能，无需借助其他工具，可进行语音直播、课件同步、互动工具远程教学；老师创建课堂后可通过二维码便捷分享，学生扫码即可加入课堂，课堂中学生可打字提问，教师可下发习题等进行双向互动，直播中还可下发奖杯等对学生进行激励，活跃课堂气氛，课堂结束后可自动生成直播回放。</w:t>
                  </w:r>
                </w:p>
                <w:p>
                  <w:pPr>
                    <w:pStyle w:val="null3"/>
                    <w:spacing w:after="75"/>
                    <w:jc w:val="both"/>
                  </w:pPr>
                  <w:r>
                    <w:rPr>
                      <w:rFonts w:ascii="仿宋_GB2312" w:hAnsi="仿宋_GB2312" w:cs="仿宋_GB2312" w:eastAsia="仿宋_GB2312"/>
                      <w:sz w:val="20"/>
                      <w:color w:val="000000"/>
                    </w:rPr>
                    <w:t>19.</w:t>
                  </w:r>
                  <w:r>
                    <w:rPr>
                      <w:rFonts w:ascii="仿宋_GB2312" w:hAnsi="仿宋_GB2312" w:cs="仿宋_GB2312" w:eastAsia="仿宋_GB2312"/>
                      <w:sz w:val="20"/>
                      <w:color w:val="000000"/>
                    </w:rPr>
                    <w:t>具备交互表格功能，课件可自由插入表格，预置≥5种表格样式，具备边框、底纹设置，自由合并单元格；表格具备自由输入文本，且根据文本内容可一键自动调整行列宽高；表格通过表格首行首列交接处的按键可一键精准增加行列；具备遮罩功能，表格中任一单元格可添加遮罩掩盖单元格内容，授课模式点击即可取消遮罩，便于教师交互式教学。</w:t>
                  </w:r>
                </w:p>
                <w:p>
                  <w:pPr>
                    <w:pStyle w:val="null3"/>
                    <w:spacing w:after="75"/>
                    <w:jc w:val="both"/>
                  </w:pPr>
                  <w:r>
                    <w:rPr>
                      <w:rFonts w:ascii="仿宋_GB2312" w:hAnsi="仿宋_GB2312" w:cs="仿宋_GB2312" w:eastAsia="仿宋_GB2312"/>
                      <w:sz w:val="20"/>
                      <w:color w:val="000000"/>
                    </w:rPr>
                    <w:t>20.</w:t>
                  </w:r>
                  <w:r>
                    <w:rPr>
                      <w:rFonts w:ascii="仿宋_GB2312" w:hAnsi="仿宋_GB2312" w:cs="仿宋_GB2312" w:eastAsia="仿宋_GB2312"/>
                      <w:sz w:val="20"/>
                      <w:color w:val="000000"/>
                    </w:rPr>
                    <w:t>提供柱状图、扇形图、折线图等互动图表，每类图表预置≥5种样式，具备图表文字、背景、透明度设置；柱状图、折线图可一键转置互换坐标轴类别；图表具备三维模式旋转展示，生动形象。</w:t>
                  </w:r>
                </w:p>
                <w:p>
                  <w:pPr>
                    <w:pStyle w:val="null3"/>
                    <w:spacing w:after="75"/>
                    <w:jc w:val="both"/>
                  </w:pPr>
                  <w:r>
                    <w:rPr>
                      <w:rFonts w:ascii="仿宋_GB2312" w:hAnsi="仿宋_GB2312" w:cs="仿宋_GB2312" w:eastAsia="仿宋_GB2312"/>
                      <w:sz w:val="20"/>
                      <w:color w:val="000000"/>
                    </w:rPr>
                    <w:t>21.</w:t>
                  </w:r>
                  <w:r>
                    <w:rPr>
                      <w:rFonts w:ascii="仿宋_GB2312" w:hAnsi="仿宋_GB2312" w:cs="仿宋_GB2312" w:eastAsia="仿宋_GB2312"/>
                      <w:sz w:val="20"/>
                      <w:color w:val="000000"/>
                    </w:rPr>
                    <w:t>具有课堂活动智能填写功能，具备选词填空、判断对错和趣味选择三大课堂活动。输入文本后可以一键解析，自动将文本内容结构化填充至题干和正确选项，完成课堂活动的制作。</w:t>
                  </w:r>
                </w:p>
                <w:p>
                  <w:pPr>
                    <w:pStyle w:val="null3"/>
                    <w:spacing w:after="75"/>
                    <w:jc w:val="both"/>
                  </w:pPr>
                  <w:r>
                    <w:rPr>
                      <w:rFonts w:ascii="仿宋_GB2312" w:hAnsi="仿宋_GB2312" w:cs="仿宋_GB2312" w:eastAsia="仿宋_GB2312"/>
                      <w:sz w:val="20"/>
                      <w:color w:val="000000"/>
                    </w:rPr>
                    <w:t>22.</w:t>
                  </w:r>
                  <w:r>
                    <w:rPr>
                      <w:rFonts w:ascii="仿宋_GB2312" w:hAnsi="仿宋_GB2312" w:cs="仿宋_GB2312" w:eastAsia="仿宋_GB2312"/>
                      <w:sz w:val="20"/>
                      <w:color w:val="000000"/>
                    </w:rPr>
                    <w:t>白板软件具备老师发起集体备课功能，老师可自行选择对应课件、资源等发起线上备课，邀请其他老师共同参加，参与的老师可在评论区发表个人观点以及对其他老师的观点进行点赞等，参与老师还可以实时对课件内容进行打点批注，以及引用到个人云空间，研讨备课结束后，可自动生成信息化报告，方便老师获取查看。</w:t>
                  </w:r>
                </w:p>
                <w:p>
                  <w:pPr>
                    <w:pStyle w:val="null3"/>
                    <w:spacing w:after="75"/>
                    <w:jc w:val="both"/>
                  </w:pPr>
                  <w:r>
                    <w:rPr>
                      <w:rFonts w:ascii="仿宋_GB2312" w:hAnsi="仿宋_GB2312" w:cs="仿宋_GB2312" w:eastAsia="仿宋_GB2312"/>
                      <w:sz w:val="20"/>
                      <w:color w:val="000000"/>
                    </w:rPr>
                    <w:t>23.</w:t>
                  </w:r>
                  <w:r>
                    <w:rPr>
                      <w:rFonts w:ascii="仿宋_GB2312" w:hAnsi="仿宋_GB2312" w:cs="仿宋_GB2312" w:eastAsia="仿宋_GB2312"/>
                      <w:sz w:val="20"/>
                      <w:color w:val="000000"/>
                    </w:rPr>
                    <w:t>智能配对游戏：具备创建配对游戏，教师可随意将知识点进行配对。当开始配对游戏时，拖动知识点进行配对，系统将自动判断是否正确。系统提供≥10种游戏模版，且模版样式具备自定义修改，同时具备设置干扰项。</w:t>
                  </w:r>
                </w:p>
                <w:p>
                  <w:pPr>
                    <w:pStyle w:val="null3"/>
                    <w:spacing w:after="75"/>
                    <w:jc w:val="both"/>
                  </w:pPr>
                  <w:r>
                    <w:rPr>
                      <w:rFonts w:ascii="仿宋_GB2312" w:hAnsi="仿宋_GB2312" w:cs="仿宋_GB2312" w:eastAsia="仿宋_GB2312"/>
                      <w:sz w:val="20"/>
                      <w:color w:val="000000"/>
                    </w:rPr>
                    <w:t>24.</w:t>
                  </w:r>
                  <w:r>
                    <w:rPr>
                      <w:rFonts w:ascii="仿宋_GB2312" w:hAnsi="仿宋_GB2312" w:cs="仿宋_GB2312" w:eastAsia="仿宋_GB2312"/>
                      <w:sz w:val="20"/>
                      <w:color w:val="000000"/>
                    </w:rPr>
                    <w:t>提供藏文格子工具，可使用藏文输入法输入，支持单个词和连续输入，可将卡片插入到备课课件中云端存储。</w:t>
                  </w:r>
                </w:p>
                <w:p>
                  <w:pPr>
                    <w:pStyle w:val="null3"/>
                    <w:spacing w:after="75"/>
                    <w:jc w:val="both"/>
                  </w:pPr>
                  <w:r>
                    <w:rPr>
                      <w:rFonts w:ascii="仿宋_GB2312" w:hAnsi="仿宋_GB2312" w:cs="仿宋_GB2312" w:eastAsia="仿宋_GB2312"/>
                      <w:sz w:val="20"/>
                      <w:color w:val="000000"/>
                    </w:rPr>
                    <w:t>25.</w:t>
                  </w:r>
                  <w:r>
                    <w:rPr>
                      <w:rFonts w:ascii="仿宋_GB2312" w:hAnsi="仿宋_GB2312" w:cs="仿宋_GB2312" w:eastAsia="仿宋_GB2312"/>
                      <w:sz w:val="20"/>
                      <w:color w:val="000000"/>
                    </w:rPr>
                    <w:t>具备教师自由添加古诗词教学资源，教师可使用模板三步创建古诗词内容和翻译自主创建的古诗词，并自动保存至云端供教学复用。备课时可对原文进行注释、标重点等操作；提供原文朗读音频，全部诗词、古文均配备专业朗读配音，朗读音频具备关键帧打点标记。</w:t>
                  </w:r>
                </w:p>
                <w:p>
                  <w:pPr>
                    <w:pStyle w:val="null3"/>
                    <w:spacing w:after="75"/>
                    <w:jc w:val="both"/>
                  </w:pPr>
                  <w:r>
                    <w:rPr>
                      <w:rFonts w:ascii="仿宋_GB2312" w:hAnsi="仿宋_GB2312" w:cs="仿宋_GB2312" w:eastAsia="仿宋_GB2312"/>
                      <w:sz w:val="20"/>
                      <w:color w:val="000000"/>
                    </w:rPr>
                    <w:t>26.</w:t>
                  </w:r>
                  <w:r>
                    <w:rPr>
                      <w:rFonts w:ascii="仿宋_GB2312" w:hAnsi="仿宋_GB2312" w:cs="仿宋_GB2312" w:eastAsia="仿宋_GB2312"/>
                      <w:sz w:val="20"/>
                      <w:color w:val="000000"/>
                    </w:rPr>
                    <w:t>拼音：具备在四线三格中自由输入拼音，可选择四声并具备一键点读。有单个字母和连续输入两种方式。</w:t>
                  </w:r>
                </w:p>
                <w:p>
                  <w:pPr>
                    <w:pStyle w:val="null3"/>
                    <w:spacing w:after="75"/>
                    <w:jc w:val="both"/>
                  </w:pPr>
                  <w:r>
                    <w:rPr>
                      <w:rFonts w:ascii="仿宋_GB2312" w:hAnsi="仿宋_GB2312" w:cs="仿宋_GB2312" w:eastAsia="仿宋_GB2312"/>
                      <w:sz w:val="20"/>
                      <w:color w:val="000000"/>
                    </w:rPr>
                    <w:t>27.</w:t>
                  </w:r>
                  <w:r>
                    <w:rPr>
                      <w:rFonts w:ascii="仿宋_GB2312" w:hAnsi="仿宋_GB2312" w:cs="仿宋_GB2312" w:eastAsia="仿宋_GB2312"/>
                      <w:sz w:val="20"/>
                      <w:color w:val="000000"/>
                    </w:rPr>
                    <w:t>数学函数图像：可快速生成包含一次函数一次函数、二次函数、幂函数、指数函数、对数函数、三角函数等图像，也可自定义输入函数表达式生成图像；在同一坐标轴上具备同时绘制6个及以上函数表达式，可显示函数与函数图像彼此相交、函数与坐标轴相交的交点坐标。可缩放函数图像与坐标轴，可显示坐标网格，函数图生成后可重新编辑。</w:t>
                  </w:r>
                </w:p>
                <w:p>
                  <w:pPr>
                    <w:pStyle w:val="null3"/>
                    <w:spacing w:after="75"/>
                    <w:jc w:val="both"/>
                  </w:pPr>
                  <w:r>
                    <w:rPr>
                      <w:rFonts w:ascii="仿宋_GB2312" w:hAnsi="仿宋_GB2312" w:cs="仿宋_GB2312" w:eastAsia="仿宋_GB2312"/>
                      <w:sz w:val="20"/>
                      <w:color w:val="000000"/>
                    </w:rPr>
                    <w:t>28.</w:t>
                  </w:r>
                  <w:r>
                    <w:rPr>
                      <w:rFonts w:ascii="仿宋_GB2312" w:hAnsi="仿宋_GB2312" w:cs="仿宋_GB2312" w:eastAsia="仿宋_GB2312"/>
                      <w:sz w:val="20"/>
                      <w:color w:val="000000"/>
                    </w:rPr>
                    <w:t>立体几何工具：可自由绘制长方体、立方体、圆柱体、圆锥等几何图形。任意调节几何体的大小尺寸，具备几何图形按比例放大缩小和通过单独调整长宽高（半径/高）改变几何体大小。</w:t>
                  </w:r>
                </w:p>
                <w:p>
                  <w:pPr>
                    <w:pStyle w:val="null3"/>
                    <w:spacing w:after="75"/>
                    <w:jc w:val="both"/>
                  </w:pPr>
                  <w:r>
                    <w:rPr>
                      <w:rFonts w:ascii="仿宋_GB2312" w:hAnsi="仿宋_GB2312" w:cs="仿宋_GB2312" w:eastAsia="仿宋_GB2312"/>
                      <w:sz w:val="20"/>
                      <w:color w:val="000000"/>
                    </w:rPr>
                    <w:t>29.</w:t>
                  </w:r>
                  <w:r>
                    <w:rPr>
                      <w:rFonts w:ascii="仿宋_GB2312" w:hAnsi="仿宋_GB2312" w:cs="仿宋_GB2312" w:eastAsia="仿宋_GB2312"/>
                      <w:sz w:val="20"/>
                      <w:color w:val="000000"/>
                    </w:rPr>
                    <w:t>具备学校校本资源建设，方便共享，可具备多种类型资源上传，如doc,pdf,ppt,xls,mp4,ogg等，同时具备批量上传，资源具备按年纪、学科等维度批量搜索，具备资源查看预览，创建者可进行删除、更名等操作，同时可以本地查看资源，也可选择插入校本资源库中的资源，实现高效共享。</w:t>
                  </w:r>
                </w:p>
                <w:p>
                  <w:pPr>
                    <w:pStyle w:val="null3"/>
                    <w:spacing w:after="75"/>
                    <w:jc w:val="both"/>
                  </w:pPr>
                  <w:r>
                    <w:rPr>
                      <w:rFonts w:ascii="仿宋_GB2312" w:hAnsi="仿宋_GB2312" w:cs="仿宋_GB2312" w:eastAsia="仿宋_GB2312"/>
                      <w:sz w:val="20"/>
                      <w:color w:val="000000"/>
                    </w:rPr>
                    <w:t>30.</w:t>
                  </w:r>
                  <w:r>
                    <w:rPr>
                      <w:rFonts w:ascii="仿宋_GB2312" w:hAnsi="仿宋_GB2312" w:cs="仿宋_GB2312" w:eastAsia="仿宋_GB2312"/>
                      <w:sz w:val="20"/>
                      <w:color w:val="000000"/>
                    </w:rPr>
                    <w:t>听写：配置英语学科听写工具，覆盖小初高≥8000个英语单词，具备自定义选择单词。自定义听写频率和次数，一键生成听写卡；授课模式具备一键开启听写朗读。</w:t>
                  </w:r>
                </w:p>
                <w:p>
                  <w:pPr>
                    <w:pStyle w:val="null3"/>
                    <w:spacing w:after="75"/>
                    <w:jc w:val="both"/>
                  </w:pPr>
                  <w:r>
                    <w:rPr>
                      <w:rFonts w:ascii="仿宋_GB2312" w:hAnsi="仿宋_GB2312" w:cs="仿宋_GB2312" w:eastAsia="仿宋_GB2312"/>
                      <w:sz w:val="20"/>
                      <w:color w:val="000000"/>
                    </w:rPr>
                    <w:t>31.</w:t>
                  </w:r>
                  <w:r>
                    <w:rPr>
                      <w:rFonts w:ascii="仿宋_GB2312" w:hAnsi="仿宋_GB2312" w:cs="仿宋_GB2312" w:eastAsia="仿宋_GB2312"/>
                      <w:sz w:val="20"/>
                      <w:color w:val="000000"/>
                    </w:rPr>
                    <w:t>化学方程式编辑器：提供化学方程式快速编辑工具，当输入一个化学元素时，软件界面将自动显示出和该元素相关的多个常用化学反应方程式，可直接选择使用。插入后的化学方程式可重新编辑。</w:t>
                  </w:r>
                </w:p>
                <w:p>
                  <w:pPr>
                    <w:pStyle w:val="null3"/>
                    <w:spacing w:after="75"/>
                    <w:jc w:val="both"/>
                  </w:pPr>
                  <w:r>
                    <w:rPr>
                      <w:rFonts w:ascii="仿宋_GB2312" w:hAnsi="仿宋_GB2312" w:cs="仿宋_GB2312" w:eastAsia="仿宋_GB2312"/>
                      <w:sz w:val="20"/>
                      <w:color w:val="000000"/>
                    </w:rPr>
                    <w:t>32.</w:t>
                  </w:r>
                  <w:r>
                    <w:rPr>
                      <w:rFonts w:ascii="仿宋_GB2312" w:hAnsi="仿宋_GB2312" w:cs="仿宋_GB2312" w:eastAsia="仿宋_GB2312"/>
                      <w:sz w:val="20"/>
                      <w:color w:val="000000"/>
                    </w:rPr>
                    <w:t>内置专用美术画板工具，提供铅笔、毛笔、油画笔等笔触，具备符合绘画调色教学需求的模拟调色盘，可选择不同颜色混合调色，便于学生理解调色合成过程</w:t>
                  </w:r>
                </w:p>
                <w:p>
                  <w:pPr>
                    <w:pStyle w:val="null3"/>
                    <w:spacing w:after="75"/>
                    <w:jc w:val="both"/>
                  </w:pPr>
                  <w:r>
                    <w:rPr>
                      <w:rFonts w:ascii="仿宋_GB2312" w:hAnsi="仿宋_GB2312" w:cs="仿宋_GB2312" w:eastAsia="仿宋_GB2312"/>
                      <w:sz w:val="20"/>
                      <w:color w:val="000000"/>
                    </w:rPr>
                    <w:t>33.</w:t>
                  </w:r>
                  <w:r>
                    <w:rPr>
                      <w:rFonts w:ascii="仿宋_GB2312" w:hAnsi="仿宋_GB2312" w:cs="仿宋_GB2312" w:eastAsia="仿宋_GB2312"/>
                      <w:sz w:val="20"/>
                      <w:color w:val="000000"/>
                    </w:rPr>
                    <w:t>在备课场景中具备搜索课件库课件资源，具有≥15万份的课件资源，具备整份课件或按照课件页插入课件中。具备按照教学环节筛选对应课件页一键插入课件中，可导入新课、作者简介。具备按照元素类型思维导图、课堂活动选取需要的部分补充课件缺失的部分。具备在查看部分课件的同时查看对应整份课件，了解作者整体教 学思路。</w:t>
                  </w:r>
                </w:p>
                <w:p>
                  <w:pPr>
                    <w:pStyle w:val="null3"/>
                    <w:spacing w:after="75"/>
                    <w:jc w:val="both"/>
                  </w:pPr>
                  <w:r>
                    <w:rPr>
                      <w:rFonts w:ascii="仿宋_GB2312" w:hAnsi="仿宋_GB2312" w:cs="仿宋_GB2312" w:eastAsia="仿宋_GB2312"/>
                      <w:sz w:val="20"/>
                      <w:color w:val="000000"/>
                    </w:rPr>
                    <w:t>34.</w:t>
                  </w:r>
                  <w:r>
                    <w:rPr>
                      <w:rFonts w:ascii="仿宋_GB2312" w:hAnsi="仿宋_GB2312" w:cs="仿宋_GB2312" w:eastAsia="仿宋_GB2312"/>
                      <w:sz w:val="20"/>
                      <w:color w:val="000000"/>
                    </w:rPr>
                    <w:t>擦除：提供精细点擦除、笔迹全屏清除，手势擦除方式。手势擦除面积可根据教师手掌与屏幕的接触面积自动判定调整擦除面积大小。</w:t>
                  </w:r>
                </w:p>
                <w:p>
                  <w:pPr>
                    <w:pStyle w:val="null3"/>
                    <w:spacing w:after="75"/>
                    <w:jc w:val="both"/>
                  </w:pPr>
                  <w:r>
                    <w:rPr>
                      <w:rFonts w:ascii="仿宋_GB2312" w:hAnsi="仿宋_GB2312" w:cs="仿宋_GB2312" w:eastAsia="仿宋_GB2312"/>
                      <w:sz w:val="20"/>
                      <w:color w:val="000000"/>
                    </w:rPr>
                    <w:t>35.</w:t>
                  </w:r>
                  <w:r>
                    <w:rPr>
                      <w:rFonts w:ascii="仿宋_GB2312" w:hAnsi="仿宋_GB2312" w:cs="仿宋_GB2312" w:eastAsia="仿宋_GB2312"/>
                      <w:sz w:val="20"/>
                      <w:color w:val="000000"/>
                    </w:rPr>
                    <w:t>板中板：具备授课过程中调用板中板辅助教学，可进行批注、加页及背景色切换；板中板具备插入图片、音视频素材进行独立讲解，不影响课件主画面。板中板可以转换为小窗口，小窗口具备拖动和缩放。</w:t>
                  </w:r>
                </w:p>
                <w:p>
                  <w:pPr>
                    <w:pStyle w:val="null3"/>
                    <w:spacing w:after="75"/>
                    <w:jc w:val="both"/>
                  </w:pPr>
                  <w:r>
                    <w:rPr>
                      <w:rFonts w:ascii="仿宋_GB2312" w:hAnsi="仿宋_GB2312" w:cs="仿宋_GB2312" w:eastAsia="仿宋_GB2312"/>
                      <w:sz w:val="20"/>
                      <w:color w:val="000000"/>
                    </w:rPr>
                    <w:t>六、教学教研平台</w:t>
                  </w:r>
                </w:p>
                <w:p>
                  <w:pPr>
                    <w:pStyle w:val="null3"/>
                    <w:spacing w:after="75"/>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数据平台采用云平台设计，方便管理员登录使用。</w:t>
                  </w:r>
                </w:p>
                <w:p>
                  <w:pPr>
                    <w:pStyle w:val="null3"/>
                    <w:spacing w:after="75"/>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平台在后台可为不同使用老师设置使用权限，高效便捷。</w:t>
                  </w:r>
                </w:p>
                <w:p>
                  <w:pPr>
                    <w:pStyle w:val="null3"/>
                    <w:spacing w:after="75"/>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平台可在后台对集体备课、听课评课等数据进行汇总。</w:t>
                  </w:r>
                </w:p>
                <w:p>
                  <w:pPr>
                    <w:pStyle w:val="null3"/>
                    <w:spacing w:after="75"/>
                    <w:jc w:val="both"/>
                  </w:pPr>
                  <w:r>
                    <w:rPr>
                      <w:rFonts w:ascii="仿宋_GB2312" w:hAnsi="仿宋_GB2312" w:cs="仿宋_GB2312" w:eastAsia="仿宋_GB2312"/>
                      <w:sz w:val="20"/>
                      <w:color w:val="000000"/>
                    </w:rPr>
                    <w:t>4.</w:t>
                  </w:r>
                  <w:r>
                    <w:rPr>
                      <w:rFonts w:ascii="仿宋_GB2312" w:hAnsi="仿宋_GB2312" w:cs="仿宋_GB2312" w:eastAsia="仿宋_GB2312"/>
                      <w:sz w:val="20"/>
                      <w:color w:val="000000"/>
                    </w:rPr>
                    <w:t>教学数据资源汇聚在平台后，可统一进行管理操作。</w:t>
                  </w:r>
                </w:p>
                <w:p>
                  <w:pPr>
                    <w:pStyle w:val="null3"/>
                    <w:spacing w:after="75"/>
                    <w:jc w:val="both"/>
                  </w:pPr>
                  <w:r>
                    <w:rPr>
                      <w:rFonts w:ascii="仿宋_GB2312" w:hAnsi="仿宋_GB2312" w:cs="仿宋_GB2312" w:eastAsia="仿宋_GB2312"/>
                      <w:sz w:val="20"/>
                      <w:color w:val="000000"/>
                    </w:rPr>
                    <w:t>5.</w:t>
                  </w:r>
                  <w:r>
                    <w:rPr>
                      <w:rFonts w:ascii="仿宋_GB2312" w:hAnsi="仿宋_GB2312" w:cs="仿宋_GB2312" w:eastAsia="仿宋_GB2312"/>
                      <w:sz w:val="20"/>
                      <w:color w:val="000000"/>
                    </w:rPr>
                    <w:t>教师集备记录：具备查看以老师维度统计的集备记录，查看老师所属学段学科、发起次数、参备次数、评论数、批注数、最近集备时间等数据。具备管理员导出教师集备记录数据表格。</w:t>
                  </w:r>
                </w:p>
                <w:p>
                  <w:pPr>
                    <w:pStyle w:val="null3"/>
                    <w:spacing w:after="75"/>
                    <w:jc w:val="both"/>
                  </w:pPr>
                  <w:r>
                    <w:rPr>
                      <w:rFonts w:ascii="仿宋_GB2312" w:hAnsi="仿宋_GB2312" w:cs="仿宋_GB2312" w:eastAsia="仿宋_GB2312"/>
                      <w:sz w:val="20"/>
                      <w:color w:val="000000"/>
                    </w:rPr>
                    <w:t>6.</w:t>
                  </w:r>
                  <w:r>
                    <w:rPr>
                      <w:rFonts w:ascii="仿宋_GB2312" w:hAnsi="仿宋_GB2312" w:cs="仿宋_GB2312" w:eastAsia="仿宋_GB2312"/>
                      <w:sz w:val="20"/>
                      <w:color w:val="000000"/>
                    </w:rPr>
                    <w:t>具备教师 GPS 定位打卡考勤功能,学校管理员可设置考勤时间、考勤范围，还可以查看和导出考勤数据报表,具备上班、下班、迟到、早退、缺勤等多种打卡状态。</w:t>
                  </w:r>
                </w:p>
                <w:p>
                  <w:pPr>
                    <w:pStyle w:val="null3"/>
                    <w:spacing w:after="75"/>
                    <w:jc w:val="both"/>
                  </w:pPr>
                  <w:r>
                    <w:rPr>
                      <w:rFonts w:ascii="仿宋_GB2312" w:hAnsi="仿宋_GB2312" w:cs="仿宋_GB2312" w:eastAsia="仿宋_GB2312"/>
                      <w:sz w:val="20"/>
                      <w:color w:val="000000"/>
                    </w:rPr>
                    <w:t>7.</w:t>
                  </w:r>
                  <w:r>
                    <w:rPr>
                      <w:rFonts w:ascii="仿宋_GB2312" w:hAnsi="仿宋_GB2312" w:cs="仿宋_GB2312" w:eastAsia="仿宋_GB2312"/>
                      <w:sz w:val="20"/>
                      <w:color w:val="000000"/>
                    </w:rPr>
                    <w:t>搭建目录框架：校本资源库提供学科目录模板/教材目录模 板，便于管理者快速搭建校本资源目录框架， 以文件夹的形 式进行分组，方便各年级学科的资源管理。</w:t>
                  </w:r>
                </w:p>
                <w:p>
                  <w:pPr>
                    <w:pStyle w:val="null3"/>
                    <w:spacing w:after="75"/>
                    <w:jc w:val="both"/>
                  </w:pPr>
                  <w:r>
                    <w:rPr>
                      <w:rFonts w:ascii="仿宋_GB2312" w:hAnsi="仿宋_GB2312" w:cs="仿宋_GB2312" w:eastAsia="仿宋_GB2312"/>
                      <w:sz w:val="20"/>
                      <w:color w:val="000000"/>
                    </w:rPr>
                    <w:t>8.</w:t>
                  </w:r>
                  <w:r>
                    <w:rPr>
                      <w:rFonts w:ascii="仿宋_GB2312" w:hAnsi="仿宋_GB2312" w:cs="仿宋_GB2312" w:eastAsia="仿宋_GB2312"/>
                      <w:sz w:val="20"/>
                      <w:color w:val="000000"/>
                    </w:rPr>
                    <w:t>权限设置：具备以文件夹的维度进行权限设置，设置某个文件夹仅有权限的部门或者老师可见，同时具备按文件夹的维度进行课件的批量移动、删除。</w:t>
                  </w:r>
                </w:p>
                <w:p>
                  <w:pPr>
                    <w:pStyle w:val="null3"/>
                    <w:spacing w:after="75"/>
                    <w:jc w:val="both"/>
                  </w:pPr>
                  <w:r>
                    <w:rPr>
                      <w:rFonts w:ascii="仿宋_GB2312" w:hAnsi="仿宋_GB2312" w:cs="仿宋_GB2312" w:eastAsia="仿宋_GB2312"/>
                      <w:sz w:val="20"/>
                      <w:color w:val="000000"/>
                    </w:rPr>
                    <w:t>9.</w:t>
                  </w:r>
                  <w:r>
                    <w:rPr>
                      <w:rFonts w:ascii="仿宋_GB2312" w:hAnsi="仿宋_GB2312" w:cs="仿宋_GB2312" w:eastAsia="仿宋_GB2312"/>
                      <w:sz w:val="20"/>
                      <w:color w:val="000000"/>
                    </w:rPr>
                    <w:t>资源管理：教师可对本人上传的校本资源进行分类移动，删除或重命名。</w:t>
                  </w:r>
                </w:p>
                <w:p>
                  <w:pPr>
                    <w:pStyle w:val="null3"/>
                    <w:spacing w:after="75"/>
                    <w:jc w:val="both"/>
                  </w:pPr>
                  <w:r>
                    <w:rPr>
                      <w:rFonts w:ascii="仿宋_GB2312" w:hAnsi="仿宋_GB2312" w:cs="仿宋_GB2312" w:eastAsia="仿宋_GB2312"/>
                      <w:sz w:val="20"/>
                      <w:color w:val="000000"/>
                    </w:rPr>
                    <w:t>10.</w:t>
                  </w:r>
                  <w:r>
                    <w:rPr>
                      <w:rFonts w:ascii="仿宋_GB2312" w:hAnsi="仿宋_GB2312" w:cs="仿宋_GB2312" w:eastAsia="仿宋_GB2312"/>
                      <w:sz w:val="20"/>
                      <w:color w:val="000000"/>
                    </w:rPr>
                    <w:t>数据概览：管理者通过学校数据可视化看板，查看学校云课件教案数、 累计校本研修次数等情况，快速掌握学校教研关 键数据，及时了解关键数据环比上周的的具体情况，直观反 映学校教学信息化投入的应用成效，为各项决策提供有力支撑。</w:t>
                  </w:r>
                </w:p>
                <w:p>
                  <w:pPr>
                    <w:pStyle w:val="null3"/>
                    <w:spacing w:after="75"/>
                    <w:jc w:val="both"/>
                  </w:pPr>
                  <w:r>
                    <w:rPr>
                      <w:rFonts w:ascii="仿宋_GB2312" w:hAnsi="仿宋_GB2312" w:cs="仿宋_GB2312" w:eastAsia="仿宋_GB2312"/>
                      <w:sz w:val="20"/>
                      <w:color w:val="000000"/>
                    </w:rPr>
                    <w:t>11.</w:t>
                  </w:r>
                  <w:r>
                    <w:rPr>
                      <w:rFonts w:ascii="仿宋_GB2312" w:hAnsi="仿宋_GB2312" w:cs="仿宋_GB2312" w:eastAsia="仿宋_GB2312"/>
                      <w:sz w:val="20"/>
                      <w:color w:val="000000"/>
                    </w:rPr>
                    <w:t>资源搜索：具备树形结构目录，便于资源分类及快速查找，具备全局资源搜索，按年级、学科筛选资源，具备查找资源后快速定位到当前资源文件夹。</w:t>
                  </w:r>
                </w:p>
                <w:p>
                  <w:pPr>
                    <w:pStyle w:val="null3"/>
                    <w:spacing w:after="75"/>
                    <w:jc w:val="both"/>
                  </w:pPr>
                  <w:r>
                    <w:rPr>
                      <w:rFonts w:ascii="仿宋_GB2312" w:hAnsi="仿宋_GB2312" w:cs="仿宋_GB2312" w:eastAsia="仿宋_GB2312"/>
                      <w:sz w:val="20"/>
                      <w:color w:val="000000"/>
                    </w:rPr>
                    <w:t>12.</w:t>
                  </w:r>
                  <w:r>
                    <w:rPr>
                      <w:rFonts w:ascii="仿宋_GB2312" w:hAnsi="仿宋_GB2312" w:cs="仿宋_GB2312" w:eastAsia="仿宋_GB2312"/>
                      <w:sz w:val="20"/>
                      <w:color w:val="000000"/>
                    </w:rPr>
                    <w:t>查看及预览：具备查看资源文件夹的创建者、资源的上传作者、更新时间、校本容量等数据。校本资源具备在线预览，方便资源的审核和检查。</w:t>
                  </w:r>
                </w:p>
                <w:p>
                  <w:pPr>
                    <w:pStyle w:val="null3"/>
                    <w:jc w:val="left"/>
                  </w:pPr>
                  <w:r>
                    <w:rPr>
                      <w:rFonts w:ascii="仿宋_GB2312" w:hAnsi="仿宋_GB2312" w:cs="仿宋_GB2312" w:eastAsia="仿宋_GB2312"/>
                      <w:sz w:val="20"/>
                      <w:color w:val="000000"/>
                    </w:rPr>
                    <w:t>七.原有设备的拆除、搬运、垃圾的清理</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2</w:t>
                  </w:r>
                  <w:r>
                    <w:rPr>
                      <w:rFonts w:ascii="仿宋_GB2312" w:hAnsi="仿宋_GB2312" w:cs="仿宋_GB2312" w:eastAsia="仿宋_GB2312"/>
                      <w:sz w:val="20"/>
                      <w:color w:val="000000"/>
                    </w:rPr>
                    <w:t>套</w:t>
                  </w:r>
                </w:p>
              </w:tc>
            </w:tr>
            <w:tr>
              <w:tc>
                <w:tcPr>
                  <w:tcW w:type="dxa" w:w="1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2</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LED</w:t>
                  </w:r>
                  <w:r>
                    <w:rPr>
                      <w:rFonts w:ascii="仿宋_GB2312" w:hAnsi="仿宋_GB2312" w:cs="仿宋_GB2312" w:eastAsia="仿宋_GB2312"/>
                      <w:sz w:val="20"/>
                    </w:rPr>
                    <w:t>教室灯</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、LED教室灯功率≤40W，整灯出光口面尺寸长≥1100mm，灯体背板采用高分子复合材料，材料边缘厚度不低于1.0mm，均匀出光，背部可视发光面积占总背罩面积不低于50%。</w:t>
                  </w:r>
                </w:p>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、LED教室灯功率：36W±4W，色温在3300-5300K，Ra≥90（R9≥50）。</w:t>
                  </w:r>
                </w:p>
                <w:p>
                  <w:pPr>
                    <w:pStyle w:val="null3"/>
                    <w:jc w:val="left"/>
                  </w:pPr>
                  <w:r>
                    <w:rPr>
                      <w:rFonts w:ascii="仿宋_GB2312" w:hAnsi="仿宋_GB2312" w:cs="仿宋_GB2312" w:eastAsia="仿宋_GB2312"/>
                      <w:sz w:val="20"/>
                      <w:color w:val="000000"/>
                    </w:rPr>
                    <w:t>3</w:t>
                  </w:r>
                  <w:r>
                    <w:rPr>
                      <w:rFonts w:ascii="仿宋_GB2312" w:hAnsi="仿宋_GB2312" w:cs="仿宋_GB2312" w:eastAsia="仿宋_GB2312"/>
                      <w:sz w:val="20"/>
                      <w:color w:val="000000"/>
                    </w:rPr>
                    <w:t>、LED教室灯功率因数应≥0.90，总光通量≥2800 lm，光通量（G90-G180）或上射光通量占比≥15%，色容差≤5 SDCM。</w:t>
                  </w:r>
                </w:p>
                <w:p>
                  <w:pPr>
                    <w:pStyle w:val="null3"/>
                    <w:jc w:val="left"/>
                  </w:pPr>
                  <w:r>
                    <w:rPr>
                      <w:rFonts w:ascii="仿宋_GB2312" w:hAnsi="仿宋_GB2312" w:cs="仿宋_GB2312" w:eastAsia="仿宋_GB2312"/>
                      <w:sz w:val="20"/>
                      <w:color w:val="000000"/>
                    </w:rPr>
                    <w:t>4</w:t>
                  </w:r>
                  <w:r>
                    <w:rPr>
                      <w:rFonts w:ascii="仿宋_GB2312" w:hAnsi="仿宋_GB2312" w:cs="仿宋_GB2312" w:eastAsia="仿宋_GB2312"/>
                      <w:sz w:val="20"/>
                      <w:color w:val="000000"/>
                    </w:rPr>
                    <w:t>、LED教室灯闪烁无显著影响（或无频闪危害）。</w:t>
                  </w:r>
                </w:p>
                <w:p>
                  <w:pPr>
                    <w:pStyle w:val="null3"/>
                    <w:jc w:val="left"/>
                  </w:pPr>
                  <w:r>
                    <w:rPr>
                      <w:rFonts w:ascii="仿宋_GB2312" w:hAnsi="仿宋_GB2312" w:cs="仿宋_GB2312" w:eastAsia="仿宋_GB2312"/>
                      <w:sz w:val="20"/>
                      <w:color w:val="000000"/>
                    </w:rPr>
                    <w:t>5</w:t>
                  </w:r>
                  <w:r>
                    <w:rPr>
                      <w:rFonts w:ascii="仿宋_GB2312" w:hAnsi="仿宋_GB2312" w:cs="仿宋_GB2312" w:eastAsia="仿宋_GB2312"/>
                      <w:sz w:val="20"/>
                      <w:color w:val="000000"/>
                    </w:rPr>
                    <w:t>、LED教室灯蓝光危害等级为RG0（或无危险类），辐亮度LB≤5W/(</w:t>
                  </w:r>
                  <w:r>
                    <w:rPr>
                      <w:rFonts w:ascii="仿宋_GB2312" w:hAnsi="仿宋_GB2312" w:cs="仿宋_GB2312" w:eastAsia="仿宋_GB2312"/>
                      <w:sz w:val="20"/>
                      <w:color w:val="000000"/>
                    </w:rPr>
                    <w:t>㎡•</w:t>
                  </w:r>
                  <w:r>
                    <w:rPr>
                      <w:rFonts w:ascii="仿宋_GB2312" w:hAnsi="仿宋_GB2312" w:cs="仿宋_GB2312" w:eastAsia="仿宋_GB2312"/>
                      <w:sz w:val="20"/>
                      <w:color w:val="000000"/>
                    </w:rPr>
                    <w:t>sr)</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6</w:t>
                  </w:r>
                  <w:r>
                    <w:rPr>
                      <w:rFonts w:ascii="仿宋_GB2312" w:hAnsi="仿宋_GB2312" w:cs="仿宋_GB2312" w:eastAsia="仿宋_GB2312"/>
                      <w:sz w:val="20"/>
                      <w:color w:val="000000"/>
                    </w:rPr>
                    <w:t>、LED教室灯的安装吊杆经过200h盐雾试验后外观正常，没有腐蚀、生锈或老化痕迹现象。</w:t>
                  </w:r>
                </w:p>
                <w:p>
                  <w:pPr>
                    <w:pStyle w:val="null3"/>
                    <w:jc w:val="left"/>
                  </w:pPr>
                  <w:r>
                    <w:rPr>
                      <w:rFonts w:ascii="仿宋_GB2312" w:hAnsi="仿宋_GB2312" w:cs="仿宋_GB2312" w:eastAsia="仿宋_GB2312"/>
                      <w:sz w:val="20"/>
                      <w:color w:val="000000"/>
                    </w:rPr>
                    <w:t>7</w:t>
                  </w:r>
                  <w:r>
                    <w:rPr>
                      <w:rFonts w:ascii="仿宋_GB2312" w:hAnsi="仿宋_GB2312" w:cs="仿宋_GB2312" w:eastAsia="仿宋_GB2312"/>
                      <w:sz w:val="20"/>
                      <w:color w:val="000000"/>
                    </w:rPr>
                    <w:t>、LED教室灯应按照GB/T 36876《中小学校普通教室照明设计安装卫生要求》，距课桌垂直距离≥1700mm条件下，教室维持平均照度≥300LX，教室照度均匀度≥0.7，统一眩光值≤16。</w:t>
                  </w:r>
                </w:p>
                <w:p>
                  <w:pPr>
                    <w:pStyle w:val="null3"/>
                    <w:jc w:val="left"/>
                  </w:pPr>
                  <w:r>
                    <w:rPr>
                      <w:rFonts w:ascii="仿宋_GB2312" w:hAnsi="仿宋_GB2312" w:cs="仿宋_GB2312" w:eastAsia="仿宋_GB2312"/>
                      <w:sz w:val="20"/>
                      <w:b/>
                      <w:color w:val="000000"/>
                    </w:rPr>
                    <w:t>注：需拆除教室已有灯具、重新布线、垃圾的清理，安装包含电线、灯具固定吊杆、配件包等完成灯具吊装的所有辅材。</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695</w:t>
                  </w:r>
                  <w:r>
                    <w:rPr>
                      <w:rFonts w:ascii="仿宋_GB2312" w:hAnsi="仿宋_GB2312" w:cs="仿宋_GB2312" w:eastAsia="仿宋_GB2312"/>
                      <w:sz w:val="20"/>
                      <w:color w:val="000000"/>
                    </w:rPr>
                    <w:t>套</w:t>
                  </w:r>
                </w:p>
              </w:tc>
            </w:tr>
            <w:tr>
              <w:tc>
                <w:tcPr>
                  <w:tcW w:type="dxa" w:w="1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3</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LED</w:t>
                  </w:r>
                  <w:r>
                    <w:rPr>
                      <w:rFonts w:ascii="仿宋_GB2312" w:hAnsi="仿宋_GB2312" w:cs="仿宋_GB2312" w:eastAsia="仿宋_GB2312"/>
                      <w:sz w:val="20"/>
                    </w:rPr>
                    <w:t>黑板灯</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、LED黑板灯出光口面尺寸长≥1100mm，控光部件应为透镜；安装吊杆经过盐雾试验后外观正常，没有生锈或老化痕迹现象。</w:t>
                  </w:r>
                </w:p>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、LED黑板灯功率：36W±5W，色温在3300K-5300K之间，总光通量≥3000 lm，色容差≤5 SDCM。</w:t>
                  </w:r>
                </w:p>
                <w:p>
                  <w:pPr>
                    <w:pStyle w:val="null3"/>
                    <w:jc w:val="left"/>
                  </w:pPr>
                  <w:r>
                    <w:rPr>
                      <w:rFonts w:ascii="仿宋_GB2312" w:hAnsi="仿宋_GB2312" w:cs="仿宋_GB2312" w:eastAsia="仿宋_GB2312"/>
                      <w:sz w:val="20"/>
                      <w:color w:val="000000"/>
                    </w:rPr>
                    <w:t>3</w:t>
                  </w:r>
                  <w:r>
                    <w:rPr>
                      <w:rFonts w:ascii="仿宋_GB2312" w:hAnsi="仿宋_GB2312" w:cs="仿宋_GB2312" w:eastAsia="仿宋_GB2312"/>
                      <w:sz w:val="20"/>
                      <w:color w:val="000000"/>
                    </w:rPr>
                    <w:t>、LED黑板灯功率因数≥0.95，效能（光效）≥901m/W，最大色品空间不一致性≤0.004。</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、LED黑板灯50%光束角：C0-180满足89°±2°，C90-270满足32°±2°。</w:t>
                  </w:r>
                </w:p>
                <w:p>
                  <w:pPr>
                    <w:pStyle w:val="null3"/>
                    <w:jc w:val="left"/>
                  </w:pPr>
                  <w:r>
                    <w:rPr>
                      <w:rFonts w:ascii="仿宋_GB2312" w:hAnsi="仿宋_GB2312" w:cs="仿宋_GB2312" w:eastAsia="仿宋_GB2312"/>
                      <w:sz w:val="20"/>
                      <w:color w:val="000000"/>
                    </w:rPr>
                    <w:t>5</w:t>
                  </w:r>
                  <w:r>
                    <w:rPr>
                      <w:rFonts w:ascii="仿宋_GB2312" w:hAnsi="仿宋_GB2312" w:cs="仿宋_GB2312" w:eastAsia="仿宋_GB2312"/>
                      <w:sz w:val="20"/>
                      <w:color w:val="000000"/>
                    </w:rPr>
                    <w:t>、LED黑板灯的光生物安全性符合《GB/T 20145》规定，测试结果为“无危险类”；蓝光危害等级为RG0（或无危险类）。</w:t>
                  </w:r>
                </w:p>
                <w:p>
                  <w:pPr>
                    <w:pStyle w:val="null3"/>
                    <w:jc w:val="left"/>
                  </w:pPr>
                  <w:r>
                    <w:rPr>
                      <w:rFonts w:ascii="仿宋_GB2312" w:hAnsi="仿宋_GB2312" w:cs="仿宋_GB2312" w:eastAsia="仿宋_GB2312"/>
                      <w:sz w:val="20"/>
                      <w:color w:val="000000"/>
                    </w:rPr>
                    <w:t>6</w:t>
                  </w:r>
                  <w:r>
                    <w:rPr>
                      <w:rFonts w:ascii="仿宋_GB2312" w:hAnsi="仿宋_GB2312" w:cs="仿宋_GB2312" w:eastAsia="仿宋_GB2312"/>
                      <w:sz w:val="20"/>
                      <w:color w:val="000000"/>
                    </w:rPr>
                    <w:t>、为避免粉笔粉尘、粉屑可能侵入灯具内部，要求LED黑板灯防护等级≥IP55。</w:t>
                  </w:r>
                </w:p>
                <w:p>
                  <w:pPr>
                    <w:pStyle w:val="null3"/>
                    <w:jc w:val="left"/>
                  </w:pPr>
                  <w:r>
                    <w:rPr>
                      <w:rFonts w:ascii="仿宋_GB2312" w:hAnsi="仿宋_GB2312" w:cs="仿宋_GB2312" w:eastAsia="仿宋_GB2312"/>
                      <w:sz w:val="20"/>
                      <w:color w:val="000000"/>
                    </w:rPr>
                    <w:t>7</w:t>
                  </w:r>
                  <w:r>
                    <w:rPr>
                      <w:rFonts w:ascii="仿宋_GB2312" w:hAnsi="仿宋_GB2312" w:cs="仿宋_GB2312" w:eastAsia="仿宋_GB2312"/>
                      <w:sz w:val="20"/>
                      <w:color w:val="000000"/>
                    </w:rPr>
                    <w:t>、LED黑板灯依据灯具一般安全和试验标准，其悬挂和调节装置通过25倍重量机械加载检测。</w:t>
                  </w:r>
                </w:p>
                <w:p>
                  <w:pPr>
                    <w:pStyle w:val="null3"/>
                    <w:jc w:val="left"/>
                  </w:pPr>
                  <w:r>
                    <w:rPr>
                      <w:rFonts w:ascii="仿宋_GB2312" w:hAnsi="仿宋_GB2312" w:cs="仿宋_GB2312" w:eastAsia="仿宋_GB2312"/>
                      <w:sz w:val="20"/>
                      <w:color w:val="000000"/>
                    </w:rPr>
                    <w:t>8</w:t>
                  </w:r>
                  <w:r>
                    <w:rPr>
                      <w:rFonts w:ascii="仿宋_GB2312" w:hAnsi="仿宋_GB2312" w:cs="仿宋_GB2312" w:eastAsia="仿宋_GB2312"/>
                      <w:sz w:val="20"/>
                      <w:color w:val="000000"/>
                    </w:rPr>
                    <w:t>、LED黑板灯光源具备良好的散热特性，LED灯珠焊盘温度≤45℃。</w:t>
                  </w:r>
                </w:p>
                <w:p>
                  <w:pPr>
                    <w:pStyle w:val="null3"/>
                    <w:jc w:val="left"/>
                  </w:pPr>
                  <w:r>
                    <w:rPr>
                      <w:rFonts w:ascii="仿宋_GB2312" w:hAnsi="仿宋_GB2312" w:cs="仿宋_GB2312" w:eastAsia="仿宋_GB2312"/>
                      <w:sz w:val="20"/>
                      <w:color w:val="000000"/>
                    </w:rPr>
                    <w:t>9</w:t>
                  </w:r>
                  <w:r>
                    <w:rPr>
                      <w:rFonts w:ascii="仿宋_GB2312" w:hAnsi="仿宋_GB2312" w:cs="仿宋_GB2312" w:eastAsia="仿宋_GB2312"/>
                      <w:sz w:val="20"/>
                      <w:color w:val="000000"/>
                    </w:rPr>
                    <w:t>、LED黑板灯的安装需符合中小学校普通教室照明设计安装卫生要求，黑板面维持平均照度≥500LX，黑板面照度均匀度≥0.8。</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10</w:t>
                  </w:r>
                  <w:r>
                    <w:rPr>
                      <w:rFonts w:ascii="仿宋_GB2312" w:hAnsi="仿宋_GB2312" w:cs="仿宋_GB2312" w:eastAsia="仿宋_GB2312"/>
                      <w:sz w:val="20"/>
                      <w:color w:val="000000"/>
                    </w:rPr>
                    <w:t>、为方便灯具后期维护便利，LED黑板灯驱动电源（控制装置）须为外置，内外盒分离设计，内盒集成灯具控制模块并能快速更换。</w:t>
                  </w:r>
                </w:p>
                <w:p>
                  <w:pPr>
                    <w:pStyle w:val="null3"/>
                    <w:jc w:val="left"/>
                  </w:pPr>
                  <w:r>
                    <w:rPr>
                      <w:rFonts w:ascii="仿宋_GB2312" w:hAnsi="仿宋_GB2312" w:cs="仿宋_GB2312" w:eastAsia="仿宋_GB2312"/>
                      <w:sz w:val="20"/>
                      <w:b/>
                      <w:color w:val="000000"/>
                    </w:rPr>
                    <w:t>注：拆除教室已有灯具、重新布线、垃圾的清理，安装包含电线、灯具固定吊杆、配件包等完成灯具吊装的所有辅材。</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190</w:t>
                  </w:r>
                  <w:r>
                    <w:rPr>
                      <w:rFonts w:ascii="仿宋_GB2312" w:hAnsi="仿宋_GB2312" w:cs="仿宋_GB2312" w:eastAsia="仿宋_GB2312"/>
                      <w:sz w:val="20"/>
                      <w:color w:val="000000"/>
                    </w:rPr>
                    <w:t>套</w:t>
                  </w:r>
                </w:p>
              </w:tc>
            </w:tr>
            <w:tr>
              <w:tc>
                <w:tcPr>
                  <w:tcW w:type="dxa" w:w="1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4</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学生桌椅</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b/>
                      <w:color w:val="000000"/>
                    </w:rPr>
                    <w:t>配置不低于：</w:t>
                  </w:r>
                  <w:r>
                    <w:br/>
                  </w:r>
                  <w:r>
                    <w:rPr>
                      <w:rFonts w:ascii="仿宋_GB2312" w:hAnsi="仿宋_GB2312" w:cs="仿宋_GB2312" w:eastAsia="仿宋_GB2312"/>
                      <w:sz w:val="20"/>
                      <w:b/>
                      <w:color w:val="000000"/>
                    </w:rPr>
                    <w:t xml:space="preserve"> 一、学生桌具体参数要求</w:t>
                  </w:r>
                  <w:r>
                    <w:br/>
                  </w:r>
                  <w:r>
                    <w:rPr>
                      <w:rFonts w:ascii="仿宋_GB2312" w:hAnsi="仿宋_GB2312" w:cs="仿宋_GB2312" w:eastAsia="仿宋_GB2312"/>
                      <w:sz w:val="20"/>
                      <w:color w:val="000000"/>
                    </w:rPr>
                    <w:t xml:space="preserve"> 1.</w:t>
                  </w:r>
                  <w:r>
                    <w:rPr>
                      <w:rFonts w:ascii="仿宋_GB2312" w:hAnsi="仿宋_GB2312" w:cs="仿宋_GB2312" w:eastAsia="仿宋_GB2312"/>
                      <w:sz w:val="20"/>
                      <w:color w:val="000000"/>
                    </w:rPr>
                    <w:t>桌面规格为≥600mm×400mm，材质采用多层硬木成型板，板注塑封边，厚≥18mm，表面贴0.7mm防火板。</w:t>
                  </w:r>
                </w:p>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桌斗规格450mm×300mm×150mm,要求为钢制书斗，材质为厚度 0.8mm冷轧钢板一次拉伸成型，书斗下与立柱管间加 20×1.2mm横管一根，桌面与桌斗架采用自攻丝连接，侧面有物件挂钩。</w:t>
                  </w:r>
                  <w:r>
                    <w:br/>
                  </w:r>
                  <w:r>
                    <w:rPr>
                      <w:rFonts w:ascii="仿宋_GB2312" w:hAnsi="仿宋_GB2312" w:cs="仿宋_GB2312" w:eastAsia="仿宋_GB2312"/>
                      <w:sz w:val="20"/>
                      <w:color w:val="000000"/>
                    </w:rPr>
                    <w:t xml:space="preserve"> 3.金属桌架主要为椭圆钢管，要求均为中小学各四级升降。椭圆管的规格为升降上管≥50mm×20mm，管壁厚≥1.2mm，升降下管≥60mm×30mm，管壁厚≥1.2mm，脚登管20*40mm椭圆管，管壁厚≥1.2mm。</w:t>
                  </w:r>
                </w:p>
                <w:p>
                  <w:pPr>
                    <w:pStyle w:val="null3"/>
                    <w:jc w:val="left"/>
                  </w:pPr>
                  <w:r>
                    <w:rPr>
                      <w:rFonts w:ascii="仿宋_GB2312" w:hAnsi="仿宋_GB2312" w:cs="仿宋_GB2312" w:eastAsia="仿宋_GB2312"/>
                      <w:sz w:val="20"/>
                      <w:color w:val="000000"/>
                    </w:rPr>
                    <w:t>4.</w:t>
                  </w:r>
                  <w:r>
                    <w:rPr>
                      <w:rFonts w:ascii="仿宋_GB2312" w:hAnsi="仿宋_GB2312" w:cs="仿宋_GB2312" w:eastAsia="仿宋_GB2312"/>
                      <w:sz w:val="20"/>
                      <w:color w:val="000000"/>
                    </w:rPr>
                    <w:t>学生桌具表面及桌斗内无毛刺，无刺鼻气味</w:t>
                  </w:r>
                  <w:r>
                    <w:br/>
                  </w:r>
                  <w:r>
                    <w:rPr>
                      <w:rFonts w:ascii="仿宋_GB2312" w:hAnsi="仿宋_GB2312" w:cs="仿宋_GB2312" w:eastAsia="仿宋_GB2312"/>
                      <w:sz w:val="20"/>
                      <w:b/>
                      <w:color w:val="000000"/>
                    </w:rPr>
                    <w:t>二、学生</w:t>
                  </w:r>
                  <w:r>
                    <w:rPr>
                      <w:rFonts w:ascii="仿宋_GB2312" w:hAnsi="仿宋_GB2312" w:cs="仿宋_GB2312" w:eastAsia="仿宋_GB2312"/>
                      <w:sz w:val="20"/>
                      <w:b/>
                      <w:color w:val="000000"/>
                    </w:rPr>
                    <w:t>椅</w:t>
                  </w:r>
                  <w:r>
                    <w:rPr>
                      <w:rFonts w:ascii="仿宋_GB2312" w:hAnsi="仿宋_GB2312" w:cs="仿宋_GB2312" w:eastAsia="仿宋_GB2312"/>
                      <w:sz w:val="20"/>
                      <w:b/>
                      <w:color w:val="000000"/>
                    </w:rPr>
                    <w:t>具体参数要求</w:t>
                  </w:r>
                  <w:r>
                    <w:br/>
                  </w:r>
                  <w:r>
                    <w:rPr>
                      <w:rFonts w:ascii="仿宋_GB2312" w:hAnsi="仿宋_GB2312" w:cs="仿宋_GB2312" w:eastAsia="仿宋_GB2312"/>
                      <w:sz w:val="20"/>
                      <w:color w:val="000000"/>
                    </w:rPr>
                    <w:t xml:space="preserve"> 1.</w:t>
                  </w:r>
                  <w:r>
                    <w:rPr>
                      <w:rFonts w:ascii="仿宋_GB2312" w:hAnsi="仿宋_GB2312" w:cs="仿宋_GB2312" w:eastAsia="仿宋_GB2312"/>
                      <w:sz w:val="20"/>
                      <w:color w:val="000000"/>
                    </w:rPr>
                    <w:t>椅面规格为 400mm×365mm，坐靠板400mm×170mm，材质为厚≥18mm多层硬木板。</w:t>
                  </w:r>
                  <w:r>
                    <w:br/>
                  </w:r>
                  <w:r>
                    <w:rPr>
                      <w:rFonts w:ascii="仿宋_GB2312" w:hAnsi="仿宋_GB2312" w:cs="仿宋_GB2312" w:eastAsia="仿宋_GB2312"/>
                      <w:sz w:val="20"/>
                      <w:color w:val="000000"/>
                    </w:rPr>
                    <w:t xml:space="preserve"> 2.金属椅架主要为椭圆钢管，要求均为中小学各四级升降。椭圆管的规格为升降上管≥50mm×20mm，管壁厚≥1.2mm，升降下管≥60mm×30mm，管壁厚</w:t>
                  </w:r>
                  <w:r>
                    <w:rPr>
                      <w:rFonts w:ascii="仿宋_GB2312" w:hAnsi="仿宋_GB2312" w:cs="仿宋_GB2312" w:eastAsia="仿宋_GB2312"/>
                      <w:sz w:val="20"/>
                      <w:color w:val="000000"/>
                    </w:rPr>
                    <w:t>≥</w:t>
                  </w:r>
                  <w:r>
                    <w:rPr>
                      <w:rFonts w:ascii="仿宋_GB2312" w:hAnsi="仿宋_GB2312" w:cs="仿宋_GB2312" w:eastAsia="仿宋_GB2312"/>
                      <w:sz w:val="20"/>
                      <w:color w:val="000000"/>
                    </w:rPr>
                    <w:t xml:space="preserve"> 1.2mm;脚登管20*40mm椭圆管，管壁厚</w:t>
                  </w:r>
                  <w:r>
                    <w:rPr>
                      <w:rFonts w:ascii="仿宋_GB2312" w:hAnsi="仿宋_GB2312" w:cs="仿宋_GB2312" w:eastAsia="仿宋_GB2312"/>
                      <w:sz w:val="20"/>
                      <w:color w:val="000000"/>
                    </w:rPr>
                    <w:t>≥</w:t>
                  </w:r>
                  <w:r>
                    <w:rPr>
                      <w:rFonts w:ascii="仿宋_GB2312" w:hAnsi="仿宋_GB2312" w:cs="仿宋_GB2312" w:eastAsia="仿宋_GB2312"/>
                      <w:sz w:val="20"/>
                      <w:color w:val="000000"/>
                    </w:rPr>
                    <w:t>1.2mm。</w:t>
                  </w:r>
                  <w:r>
                    <w:br/>
                  </w:r>
                  <w:r>
                    <w:rPr>
                      <w:rFonts w:ascii="仿宋_GB2312" w:hAnsi="仿宋_GB2312" w:cs="仿宋_GB2312" w:eastAsia="仿宋_GB2312"/>
                      <w:sz w:val="20"/>
                      <w:b/>
                      <w:color w:val="000000"/>
                    </w:rPr>
                    <w:t>三、</w:t>
                  </w:r>
                  <w:r>
                    <w:rPr>
                      <w:rFonts w:ascii="仿宋_GB2312" w:hAnsi="仿宋_GB2312" w:cs="仿宋_GB2312" w:eastAsia="仿宋_GB2312"/>
                      <w:sz w:val="20"/>
                      <w:color w:val="000000"/>
                    </w:rPr>
                    <w:t xml:space="preserve"> 1.课桌椅执行国家标准QB/T 4071-2010《课桌椅》。</w:t>
                  </w:r>
                </w:p>
                <w:p>
                  <w:pPr>
                    <w:pStyle w:val="null3"/>
                    <w:numPr>
                      <w:ilvl w:val="0"/>
                      <w:numId w:val="1"/>
                    </w:numPr>
                    <w:jc w:val="left"/>
                  </w:pPr>
                  <w:r>
                    <w:rPr>
                      <w:rFonts w:ascii="仿宋_GB2312" w:hAnsi="仿宋_GB2312" w:cs="仿宋_GB2312" w:eastAsia="仿宋_GB2312"/>
                      <w:sz w:val="20"/>
                      <w:color w:val="000000"/>
                    </w:rPr>
                    <w:t>桌面和桌腿采用自攻丝联接，PP护脚铆式固定。</w:t>
                  </w:r>
                </w:p>
                <w:p>
                  <w:pPr>
                    <w:pStyle w:val="null3"/>
                    <w:numPr>
                      <w:ilvl w:val="0"/>
                      <w:numId w:val="1"/>
                    </w:numPr>
                    <w:jc w:val="left"/>
                  </w:pPr>
                  <w:r>
                    <w:rPr>
                      <w:rFonts w:ascii="仿宋_GB2312" w:hAnsi="仿宋_GB2312" w:cs="仿宋_GB2312" w:eastAsia="仿宋_GB2312"/>
                      <w:sz w:val="20"/>
                      <w:color w:val="000000"/>
                    </w:rPr>
                    <w:t>桌椅腿采用二氧化碳气体保护焊接制作，要求焊道均匀，无假焊、漏焊、夹渣等现象。</w:t>
                  </w:r>
                </w:p>
                <w:p>
                  <w:pPr>
                    <w:pStyle w:val="null3"/>
                    <w:numPr>
                      <w:ilvl w:val="0"/>
                      <w:numId w:val="1"/>
                    </w:numPr>
                    <w:jc w:val="left"/>
                  </w:pPr>
                  <w:r>
                    <w:rPr>
                      <w:rFonts w:ascii="仿宋_GB2312" w:hAnsi="仿宋_GB2312" w:cs="仿宋_GB2312" w:eastAsia="仿宋_GB2312"/>
                      <w:sz w:val="20"/>
                      <w:color w:val="000000"/>
                    </w:rPr>
                    <w:t>桌椅金属部分需经抛丸机进行表面除锈，物理除油、除锈后采用高压静电喷涂。</w:t>
                  </w:r>
                  <w:r>
                    <w:br/>
                  </w:r>
                  <w:r>
                    <w:rPr>
                      <w:rFonts w:ascii="仿宋_GB2312" w:hAnsi="仿宋_GB2312" w:cs="仿宋_GB2312" w:eastAsia="仿宋_GB2312"/>
                      <w:sz w:val="20"/>
                      <w:color w:val="000000"/>
                    </w:rPr>
                    <w:t xml:space="preserve"> 5.桌面板周边要求防水、防裂、圆滑过渡，颜色与桌面协调。</w:t>
                  </w:r>
                </w:p>
                <w:p>
                  <w:pPr>
                    <w:pStyle w:val="null3"/>
                    <w:jc w:val="left"/>
                  </w:pPr>
                  <w:r>
                    <w:rPr>
                      <w:rFonts w:ascii="仿宋_GB2312" w:hAnsi="仿宋_GB2312" w:cs="仿宋_GB2312" w:eastAsia="仿宋_GB2312"/>
                      <w:sz w:val="20"/>
                      <w:color w:val="000000"/>
                    </w:rPr>
                    <w:t>6.</w:t>
                  </w:r>
                  <w:r>
                    <w:rPr>
                      <w:rFonts w:ascii="仿宋_GB2312" w:hAnsi="仿宋_GB2312" w:cs="仿宋_GB2312" w:eastAsia="仿宋_GB2312"/>
                      <w:sz w:val="20"/>
                      <w:color w:val="000000"/>
                    </w:rPr>
                    <w:t>桌椅腿垫脚、护套采用高压聚乙希注塑成型，底脚耐磨，无噪声。</w:t>
                  </w:r>
                </w:p>
                <w:p>
                  <w:pPr>
                    <w:pStyle w:val="null3"/>
                    <w:jc w:val="left"/>
                  </w:pPr>
                  <w:r>
                    <w:rPr>
                      <w:rFonts w:ascii="仿宋_GB2312" w:hAnsi="仿宋_GB2312" w:cs="仿宋_GB2312" w:eastAsia="仿宋_GB2312"/>
                      <w:sz w:val="20"/>
                      <w:color w:val="000000"/>
                    </w:rPr>
                    <w:t>7.</w:t>
                  </w:r>
                  <w:r>
                    <w:rPr>
                      <w:rFonts w:ascii="仿宋_GB2312" w:hAnsi="仿宋_GB2312" w:cs="仿宋_GB2312" w:eastAsia="仿宋_GB2312"/>
                      <w:sz w:val="20"/>
                      <w:color w:val="000000"/>
                    </w:rPr>
                    <w:t>学生椅具表面无毛刺，无刺鼻气味</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100</w:t>
                  </w:r>
                  <w:r>
                    <w:rPr>
                      <w:rFonts w:ascii="仿宋_GB2312" w:hAnsi="仿宋_GB2312" w:cs="仿宋_GB2312" w:eastAsia="仿宋_GB2312"/>
                      <w:sz w:val="20"/>
                      <w:color w:val="000000"/>
                    </w:rPr>
                    <w:t>套</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签订合同后15日历天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进度款，项目验收合格后，自收到发票（增值税专用发票）之日起，达到付款条件起30个工作日内，支付合同总金额的60.0%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货物到达甲方指定地点后，甲方根据合同要求，进行外观验收，确认产地、规格、型号和数量。甲乙双方需在约定的时间和地点共同开箱检验。（二）货物安装、调试并正常运行后，由乙方进行自检，合格后能够正常使用时书面通知甲方。（三）甲方确认接收乙方的自检内容后，进行验收，验收合格后，由乙方对甲方操作人员进行培训，完成培训后，甲方填写验收单作为对货物的最终认可。（四）乙方向甲方提交货物实施过程中的所有资料，以便甲方日后管理和维护。（五）验收依据：1、本合同及合同附件。2、国家相应的标准、规范。3、磋商文件、响应文件、澄清表（函）。</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（一）按《中华人民共和国政府采购法》、《中华人民共和国民法典》中的相关条款执行。 （二）未按合同要求提供货物或质量不能满足磋商文件技术要求，在约定的条件下，乙方必须无条件更换，提高技术，完善质量，否则，甲方有权解除合同，解除合同书面通知书到达乙方之日视为合同已解除，并按以下两种方式追究乙方的违约责任： 1、乙方赔偿甲方解除合同的全部损失（包括但不限于重新采购产生的费用、合同未履行导致设备不能按规划交付使用可能产生的租赁费用及其它由此造成的甲方对第三方的违约损失）； 合同争议解决的方式 本合同在履行过程中发生的争议，由甲、乙双方当事人协商解决，协商不成的依法向甲方所在地人民法院起诉。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1.质量保证 ：供应商所供货物必须执行下列条款： （1）保证设备技术指标先进、产品全新、质量性能可靠、进货渠道 正常，配置合理，全面满足甲方要求。（2）符合国家有关规范要求和技术标准，确保达到最佳运行状态。（3）具有良好 的外观，适合安装场所的使用。（4）供应商为采购方提供的设备须为原厂生产全新产品，如果供应商提供产品非原厂生产全新产品，一经查实，甲方有权要求乙方更换符合招标文件所要求的全新产品，一切经济损失由乙方全部承担。 2.售后服务要求：所有设备由中标人负责供货、运输、安装调试、售后服务，并培训操作人员。 （1）电话咨询： 供应商或厂家应当为采购人提供技术援助电话，解答采购人在使用中遇到的问题，及时为采购人提出解决问题的建议。 现场响应采购人遇到的使用及技术问题，电话咨询不能解决的，供应商或厂家应在 2小时内采取相应措施，8小时内提供上门服务，无法在24小时内排除故障的，应在48小时内提供备用设备，使采购人能够正常使用。（2）质保期外服务要求：质量保证期过后，供应商或厂家应同样提供免费电话咨询服务，并应承诺提供设备上门维修服务。（3）质量保证期过后，采购人需要继续由供应商或厂家提供售后服务的，该供应商或厂家应以优惠价格提供售后服务。</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供应商应提供的资格证明文件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供应商应提供的资格证明文件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投标人在递交投标文件截止时间前被“信用中国”网站（www.creditchina.gov.cn）和中国政府采购网 （www.ccgp.gov.cn）上被列入失信被执行人、重大税收违法失信主体、政府采购严重违法失信行为信息记录名单的，不得参加投标。</w:t>
            </w:r>
          </w:p>
        </w:tc>
        <w:tc>
          <w:tcPr>
            <w:tcW w:type="dxa" w:w="1661"/>
          </w:tcPr>
          <w:p>
            <w:pPr>
              <w:pStyle w:val="null3"/>
            </w:pPr>
            <w:r>
              <w:rPr>
                <w:rFonts w:ascii="仿宋_GB2312" w:hAnsi="仿宋_GB2312" w:cs="仿宋_GB2312" w:eastAsia="仿宋_GB2312"/>
              </w:rPr>
              <w:t>供应商应提供的资格证明文件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法人（单位负责人）身份证明或授权委托书</w:t>
            </w:r>
          </w:p>
        </w:tc>
        <w:tc>
          <w:tcPr>
            <w:tcW w:type="dxa" w:w="3322"/>
          </w:tcPr>
          <w:p>
            <w:pPr>
              <w:pStyle w:val="null3"/>
            </w:pPr>
            <w:r>
              <w:rPr>
                <w:rFonts w:ascii="仿宋_GB2312" w:hAnsi="仿宋_GB2312" w:cs="仿宋_GB2312" w:eastAsia="仿宋_GB2312"/>
              </w:rPr>
              <w:t>法定代表人直接参加投标时须出具法定代表人证明书（附法定代表人身份证复印件）以及法定代表人在开标日期前六个月内任意一个月的社保缴纳证明(须赋可查询的验证编号或验证二维码且开标日期在验证有效期内)；被授权人参加投标时须提供法定代表人授权委托书（附法定代表人、被授权人身份证复印件）及被授权人在开标日期前六个月内任意一个月的社保缴纳证明(须赋可查询的验证编号或验证二维码且开标日期在验证有效期内)。</w:t>
            </w:r>
          </w:p>
        </w:tc>
        <w:tc>
          <w:tcPr>
            <w:tcW w:type="dxa" w:w="1661"/>
          </w:tcPr>
          <w:p>
            <w:pPr>
              <w:pStyle w:val="null3"/>
            </w:pPr>
            <w:r>
              <w:rPr>
                <w:rFonts w:ascii="仿宋_GB2312" w:hAnsi="仿宋_GB2312" w:cs="仿宋_GB2312" w:eastAsia="仿宋_GB2312"/>
              </w:rPr>
              <w:t>供应商应提供的资格证明文件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投标人不得存在以下情形</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投标人，不得再参加该采购项目的其他采购活动。</w:t>
            </w:r>
          </w:p>
        </w:tc>
        <w:tc>
          <w:tcPr>
            <w:tcW w:type="dxa" w:w="1661"/>
          </w:tcPr>
          <w:p>
            <w:pPr>
              <w:pStyle w:val="null3"/>
            </w:pPr>
            <w:r>
              <w:rPr>
                <w:rFonts w:ascii="仿宋_GB2312" w:hAnsi="仿宋_GB2312" w:cs="仿宋_GB2312" w:eastAsia="仿宋_GB2312"/>
              </w:rPr>
              <w:t>供应商应提供的资格证明文件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属于第③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 xml:space="preserve"> 响应有效期</w:t>
            </w:r>
          </w:p>
        </w:tc>
        <w:tc>
          <w:tcPr>
            <w:tcW w:type="dxa" w:w="3322"/>
          </w:tcPr>
          <w:p>
            <w:pPr>
              <w:pStyle w:val="null3"/>
            </w:pPr>
            <w:r>
              <w:rPr>
                <w:rFonts w:ascii="仿宋_GB2312" w:hAnsi="仿宋_GB2312" w:cs="仿宋_GB2312" w:eastAsia="仿宋_GB2312"/>
              </w:rPr>
              <w:t xml:space="preserve"> 提交首次响应文件的截止之日起不少于90天</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 xml:space="preserve"> 响应文件的签署、盖章、有效性</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未超出采购预算或最高限价</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 xml:space="preserve"> 有效性审查</w:t>
            </w:r>
          </w:p>
        </w:tc>
        <w:tc>
          <w:tcPr>
            <w:tcW w:type="dxa" w:w="3322"/>
          </w:tcPr>
          <w:p>
            <w:pPr>
              <w:pStyle w:val="null3"/>
            </w:pPr>
            <w:r>
              <w:rPr>
                <w:rFonts w:ascii="仿宋_GB2312" w:hAnsi="仿宋_GB2312" w:cs="仿宋_GB2312" w:eastAsia="仿宋_GB2312"/>
              </w:rPr>
              <w:t>未出现采购文件规定的无效响应情形</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所投产品技术参数清楚、明确并能逐条响应招标文件第四章“技术参数表”中所有参数要求及下方评审办法要求，得41分。其中： （1）▲项（共11项）满分33分，每项负偏离扣3分，扣完为止。 （2）未标项满分8分，每项负偏离扣0.5分，扣完为止。 注：标注“▲”的参数须提供相关技术指标证明材料予以佐证，提供的佐证材料如下：国家认可的第三方检测机构出具的检测报告或产品彩页或软件功能截图或官网截图等相关证明材料。</w:t>
            </w:r>
          </w:p>
        </w:tc>
        <w:tc>
          <w:tcPr>
            <w:tcW w:type="dxa" w:w="831"/>
          </w:tcPr>
          <w:p>
            <w:pPr>
              <w:pStyle w:val="null3"/>
              <w:jc w:val="right"/>
            </w:pPr>
            <w:r>
              <w:rPr>
                <w:rFonts w:ascii="仿宋_GB2312" w:hAnsi="仿宋_GB2312" w:cs="仿宋_GB2312" w:eastAsia="仿宋_GB2312"/>
              </w:rPr>
              <w:t>41.0000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偏离表</w:t>
            </w:r>
          </w:p>
          <w:p>
            <w:pPr>
              <w:pStyle w:val="null3"/>
            </w:pPr>
            <w:r>
              <w:rPr>
                <w:rFonts w:ascii="仿宋_GB2312" w:hAnsi="仿宋_GB2312" w:cs="仿宋_GB2312" w:eastAsia="仿宋_GB2312"/>
              </w:rPr>
              <w:t>响应方案说明</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提出实施方案，方案内容包含：①产品配置与选型；②项目组织机构人员安排及供货、配送、安装、调试方案；③验收方案；④提供设备使用期间可能会发生的故障及故障发生后的响应时间及补救方案。 二、评审标准： 1、完整性：内容必须全面，对评审内容中的各项要求有详细描述；2、可实施性：切合本项目实际情况，提出清晰、合理的内容；3、针对性：内容能够紧扣项目实际情况，内容科学合理。 三、赋分标准 ①产品配置与选型：每完全满足一项评审标准得0.5分，满分1.5分； ②项目组织机构人员安排及供货、配送、安装、调试方案：每完全满足一项评审标准得0.5分，满分1.5分； ③验收、培训方案：每完全满足一项评审标准得0.5分，满分1.5分； ④提供设备使用期间可能会发生的故障及故障发生后的响应时间及补救方案：每完全满足一项评审标准得0.5分，满分1.5分。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w:t>
            </w:r>
          </w:p>
        </w:tc>
      </w:tr>
      <w:tr>
        <w:tc>
          <w:tcPr>
            <w:tcW w:type="dxa" w:w="831"/>
            <w:vMerge/>
          </w:tcPr>
          <w:p/>
        </w:tc>
        <w:tc>
          <w:tcPr>
            <w:tcW w:type="dxa" w:w="1661"/>
          </w:tcPr>
          <w:p>
            <w:pPr>
              <w:pStyle w:val="null3"/>
            </w:pPr>
            <w:r>
              <w:rPr>
                <w:rFonts w:ascii="仿宋_GB2312" w:hAnsi="仿宋_GB2312" w:cs="仿宋_GB2312" w:eastAsia="仿宋_GB2312"/>
              </w:rPr>
              <w:t>保证措施</w:t>
            </w:r>
          </w:p>
        </w:tc>
        <w:tc>
          <w:tcPr>
            <w:tcW w:type="dxa" w:w="2492"/>
          </w:tcPr>
          <w:p>
            <w:pPr>
              <w:pStyle w:val="null3"/>
            </w:pPr>
            <w:r>
              <w:rPr>
                <w:rFonts w:ascii="仿宋_GB2312" w:hAnsi="仿宋_GB2312" w:cs="仿宋_GB2312" w:eastAsia="仿宋_GB2312"/>
              </w:rPr>
              <w:t>一、评审内容： 针对本项目提出保证措施，内容包含：①产品质量保证措施；②项目进度保证措施；③产品性能的保证措施（内容包括：设备先进性，配置完整性，性能的稳定性，系统兼容性，行业使用广泛性等）；④产品可靠性（提供所投产品货源渠道合法的证明文件（内容包括销售协议或代理协议等），产品符合国家、行业标准及有关规定，确保产品性能稳定，无产权纠纷）。 二、评审标准： 1、完整性：内容必须全面，对评审内容中的各项要求有详细描述； 2、可实施性：切合本项目实际情况，提出清晰、合理的内容； 3、针对性：内容能够紧扣项目实际情况，内容科学合理。 三、赋分标准 ①产品质量保证措施：每完全满足一项评审标准得0.5分，满分1.5分； ②项目进度保证措施：每完全满足一项评审标准得0.5分，满分1.5分； ③产品性能的保证措施（内容包括：设备先进性，配置完整性，性能的稳定性，系统兼容性，行业使用广泛性等）：每完全满足一项评审标准得0.5分，满分1.5分； ④产品可靠性（提供所投产品货源渠道合法的证明文件（内容包括销售协议或代理协议或原厂授权等），产品符合国家、行业标准及有关规定，确保产品性能稳定，无产权纠纷）：每完全满足一项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针对本项目提出售后服务内容包含：①售后服务措施；②售后服务机构及售后服务人员配备；③售后服务承诺。 二、评审标准： 1、完整性：内容必须全面，对评审内容中的各项要求有详细描述； 2、可实施性：切合本项目实际情况，提出清晰、合理的内容； 3、针对性：内容能够紧扣项目实际情况，内容科学合理。 三、赋分标准 ①售后服务措施：每完全满足一项评审标准得0.5分，满分1.5分； ②售后服务机构及售后服务人员配备：每完全满足一项评审标准得0.5分，满分1.5分； ③售后服务承诺：每完全满足一项评审标准得1分，满分3分；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培训方案：针对本项目提供培训方案，为采购人培训操作维护人员，以保障使用过程中能熟练操作、维护和正常使用，培训方案内容包含培训内容、培训计划安排（包含不限于：培训技术人员资质、对培训对象、培训时间做出计划，包括培训时间、地点、人次、方式、预计培训结果，保证采购人人员掌握机器的基本操作和日常维护）等。 1.培训方案内容完善、培训计划安排完全满足采购人使用设备需要，得2分； 2.培训方案内容有缺陷（不完整或缺少关键点）、培训计划安排非专门针对本项目或不适用本项目特性，但对项目目标实现具有促进作用，得1分； 3.未提供得0分。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投标人所投产品含有属于政府优先采购产品类别的产品，须按照《财政部发展改革委 生态环境部市场监管总局关于调整优化节能产品、环境标志产品政府采购执行机制的通知》（财库〔2019〕9 号）、《关于印发节能产品政府采购品目清单的通知》（财库〔2019〕19 号）、《关于印发环境标志产品政府采购品目清单的通知》（财库〔2019〕18 号）、《市场监管总局关于发布参与实施政府采购节能产品、环境标志产品认证机构名录的公告》（2019 年第 16 号）要求提供国家确定的认证机构出具的、处于有效期之内的节能产品或环境标志产品认证证书，每提供一个得2分，满分4分。政府强制采购产品不予加分。 备注：证明材料以加盖投标人公章的有效的产品认证证书为计分依据。</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智慧黑板主机质保延长一年加1分，满分3分。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提供2023年1月至今的类似（智慧黑板或LED灯或课桌椅任意一类）项目业绩合同，以签订的合同日期为准。每提供1份完整有效合同得1分，本项最多得2分。（合同内容须完整清晰，若无法辨认不得分）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供应商应提供的资格证明文件</w:t>
            </w:r>
          </w:p>
          <w:p>
            <w:pPr>
              <w:pStyle w:val="null3"/>
            </w:pPr>
            <w:r>
              <w:rPr>
                <w:rFonts w:ascii="仿宋_GB2312" w:hAnsi="仿宋_GB2312" w:cs="仿宋_GB2312" w:eastAsia="仿宋_GB2312"/>
              </w:rPr>
              <w:t>分项报价表</w:t>
            </w:r>
          </w:p>
          <w:p>
            <w:pPr>
              <w:pStyle w:val="null3"/>
            </w:pPr>
            <w:r>
              <w:rPr>
                <w:rFonts w:ascii="仿宋_GB2312" w:hAnsi="仿宋_GB2312" w:cs="仿宋_GB2312" w:eastAsia="仿宋_GB2312"/>
              </w:rPr>
              <w:t>响应方案说明</w:t>
            </w:r>
          </w:p>
          <w:p>
            <w:pPr>
              <w:pStyle w:val="null3"/>
            </w:pPr>
            <w:r>
              <w:rPr>
                <w:rFonts w:ascii="仿宋_GB2312" w:hAnsi="仿宋_GB2312" w:cs="仿宋_GB2312" w:eastAsia="仿宋_GB2312"/>
              </w:rPr>
              <w:t>偏离表</w:t>
            </w:r>
          </w:p>
          <w:p>
            <w:pPr>
              <w:pStyle w:val="null3"/>
            </w:pPr>
            <w:r>
              <w:rPr>
                <w:rFonts w:ascii="仿宋_GB2312" w:hAnsi="仿宋_GB2312" w:cs="仿宋_GB2312" w:eastAsia="仿宋_GB2312"/>
              </w:rPr>
              <w:t>拒绝政府采购领域商业贿赂承诺书</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采用低价优先法计算，即满足磋商文件要求且最后报价最低的供应商的价格为磋商基准价，其价格分为满分。磋商报价得分＝（磋商基准价/最后磋商报价）×价格分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详见附件：供应商应提供的资格证明文件</w:t>
      </w:r>
    </w:p>
    <w:p>
      <w:pPr>
        <w:pStyle w:val="null3"/>
        <w:ind w:firstLine="960"/>
      </w:pPr>
      <w:r>
        <w:rPr>
          <w:rFonts w:ascii="仿宋_GB2312" w:hAnsi="仿宋_GB2312" w:cs="仿宋_GB2312" w:eastAsia="仿宋_GB2312"/>
        </w:rPr>
        <w:t>详见附件：业绩</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详见附件：响应方案说明</w:t>
      </w:r>
    </w:p>
    <w:p>
      <w:pPr>
        <w:pStyle w:val="null3"/>
        <w:ind w:firstLine="960"/>
      </w:pPr>
      <w:r>
        <w:rPr>
          <w:rFonts w:ascii="仿宋_GB2312" w:hAnsi="仿宋_GB2312" w:cs="仿宋_GB2312" w:eastAsia="仿宋_GB2312"/>
        </w:rPr>
        <w:t>详见附件：偏离表</w:t>
      </w:r>
    </w:p>
    <w:p>
      <w:pPr>
        <w:pStyle w:val="null3"/>
        <w:ind w:firstLine="960"/>
      </w:pPr>
      <w:r>
        <w:rPr>
          <w:rFonts w:ascii="仿宋_GB2312" w:hAnsi="仿宋_GB2312" w:cs="仿宋_GB2312" w:eastAsia="仿宋_GB2312"/>
        </w:rPr>
        <w:t>详见附件：拒绝政府采购领域商业贿赂承诺书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详见附件：购货合同.docx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