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3、本单位证明</w:t>
      </w:r>
      <w:bookmarkEnd w:id="2"/>
    </w:p>
    <w:p w14:paraId="47B58940">
      <w:pPr>
        <w:spacing w:after="120"/>
        <w:rPr>
          <w:highlight w:val="none"/>
        </w:rPr>
      </w:pP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ascii="仿宋_GB2312" w:hAnsi="仿宋_GB2312" w:eastAsia="仿宋_GB2312" w:cs="仿宋_GB2312"/>
        </w:rPr>
        <w:t>法定代表人直接参加投标时须出具法定代表人证明书（附法定代表人身份证复印件）以及法定代表人在开标日期前六个月内任意一个月的社保缴纳证明(须赋可查询的验证编号或验证二维码且开标日期在验证有效期内)；被授权人参加投标时须提供法定代表人授权委托书（附法定代表人、被授权人身份证复印件）及被授权人在开标日期前六个月内任意一个月的社保缴纳证明(须赋可查询的验证编号或验证二维码且开标日期在验证有效期内)。</w:t>
      </w: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bookmarkStart w:id="24" w:name="_GoBack"/>
      <w:bookmarkEnd w:id="24"/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2194347"/>
      <w:bookmarkStart w:id="4" w:name="_Toc60929130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99"/>
      <w:bookmarkStart w:id="15" w:name="_Toc60928818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819"/>
      <w:bookmarkStart w:id="17" w:name="_Toc60928900"/>
      <w:bookmarkStart w:id="18" w:name="_Toc7005127"/>
      <w:bookmarkStart w:id="19" w:name="_Toc60929132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901"/>
      <w:bookmarkStart w:id="21" w:name="_Toc60929133"/>
      <w:bookmarkStart w:id="22" w:name="_Toc60928820"/>
      <w:bookmarkStart w:id="23" w:name="_Toc7005128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8530EA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2158</Words>
  <Characters>2208</Characters>
  <Lines>0</Lines>
  <Paragraphs>0</Paragraphs>
  <TotalTime>0</TotalTime>
  <ScaleCrop>false</ScaleCrop>
  <LinksUpToDate>false</LinksUpToDate>
  <CharactersWithSpaces>3522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admin</cp:lastModifiedBy>
  <dcterms:modified xsi:type="dcterms:W3CDTF">2026-07-28T04:06:42Z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eyJoZGlkIjoiZDQzOTc1YTY3NDA5NGM2OWVkMjdkNDk5MjJiOWFjYzQiLCJ1c2VySWQiOiIxMTcyNDcyOSJ9</vt:lpwstr>
  </property>
  <property fmtid="{D5CDD505-2E9C-101B-9397-08002B2CF9AE}" pid="4" name="ICV">
    <vt:lpwstr>44FB3F3088D042388888E45C2E59C30B_12</vt:lpwstr>
  </property>
</Properties>
</file>