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052"/>
        <w:gridCol w:w="6702"/>
      </w:tblGrid>
      <w:tr w14:paraId="6779862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768" w:type="dxa"/>
          </w:tcPr>
          <w:p w14:paraId="524F2CB7">
            <w:pPr>
              <w:pStyle w:val="5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序号</w:t>
            </w:r>
          </w:p>
        </w:tc>
        <w:tc>
          <w:tcPr>
            <w:tcW w:w="1052" w:type="dxa"/>
          </w:tcPr>
          <w:p w14:paraId="2B7B6ED0">
            <w:pPr>
              <w:pStyle w:val="5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参数性质</w:t>
            </w:r>
          </w:p>
        </w:tc>
        <w:tc>
          <w:tcPr>
            <w:tcW w:w="6702" w:type="dxa"/>
          </w:tcPr>
          <w:p w14:paraId="50198565">
            <w:pPr>
              <w:pStyle w:val="5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技术参数与性能指标</w:t>
            </w:r>
          </w:p>
        </w:tc>
      </w:tr>
      <w:tr w14:paraId="3B7666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45BC4896">
            <w:pPr>
              <w:pStyle w:val="5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1</w:t>
            </w:r>
          </w:p>
        </w:tc>
        <w:tc>
          <w:tcPr>
            <w:tcW w:w="1052" w:type="dxa"/>
          </w:tcPr>
          <w:p w14:paraId="0D33DB24">
            <w:pPr>
              <w:rPr>
                <w:highlight w:val="none"/>
              </w:rPr>
            </w:pPr>
          </w:p>
        </w:tc>
        <w:tc>
          <w:tcPr>
            <w:tcW w:w="6702" w:type="dxa"/>
          </w:tcPr>
          <w:p w14:paraId="4E9E258B">
            <w:pPr>
              <w:pStyle w:val="5"/>
              <w:rPr>
                <w:rFonts w:hint="default" w:ascii="仿宋_GB2312" w:hAnsi="仿宋_GB2312" w:eastAsia="仿宋_GB2312" w:cs="仿宋_GB231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highlight w:val="none"/>
              </w:rPr>
              <w:t>工期</w:t>
            </w:r>
            <w:r>
              <w:rPr>
                <w:rFonts w:hint="eastAsia" w:ascii="仿宋_GB2312" w:hAnsi="仿宋_GB2312" w:eastAsia="仿宋_GB2312" w:cs="仿宋_GB2312"/>
                <w:b/>
                <w:bCs/>
                <w:highlight w:val="none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2026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年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月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25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日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前完工</w:t>
            </w:r>
          </w:p>
        </w:tc>
      </w:tr>
      <w:tr w14:paraId="0A6AA62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64351BE7">
            <w:pPr>
              <w:pStyle w:val="5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2</w:t>
            </w:r>
          </w:p>
        </w:tc>
        <w:tc>
          <w:tcPr>
            <w:tcW w:w="1052" w:type="dxa"/>
          </w:tcPr>
          <w:p w14:paraId="5EB622B7">
            <w:pPr>
              <w:rPr>
                <w:highlight w:val="none"/>
              </w:rPr>
            </w:pPr>
          </w:p>
        </w:tc>
        <w:tc>
          <w:tcPr>
            <w:tcW w:w="6702" w:type="dxa"/>
          </w:tcPr>
          <w:p w14:paraId="4C497133">
            <w:pPr>
              <w:rPr>
                <w:rFonts w:hint="default" w:ascii="仿宋_GB2312" w:hAnsi="仿宋_GB2312" w:eastAsia="仿宋_GB2312" w:cs="仿宋_GB2312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0"/>
                <w:szCs w:val="20"/>
                <w:highlight w:val="none"/>
                <w:lang w:val="en-US" w:eastAsia="zh-CN"/>
              </w:rPr>
              <w:t>项目地点：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highlight w:val="none"/>
                <w:lang w:val="en-US" w:eastAsia="zh-CN"/>
              </w:rPr>
              <w:t>西安市雁塔区长安南路437号西安外国语大学附属学校</w:t>
            </w:r>
          </w:p>
        </w:tc>
      </w:tr>
      <w:tr w14:paraId="1BDFEA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</w:tcPr>
          <w:p w14:paraId="68FAFB14">
            <w:pPr>
              <w:rPr>
                <w:highlight w:val="none"/>
              </w:rPr>
            </w:pPr>
            <w:r>
              <w:rPr>
                <w:highlight w:val="none"/>
              </w:rPr>
              <w:t>3</w:t>
            </w:r>
          </w:p>
        </w:tc>
        <w:tc>
          <w:tcPr>
            <w:tcW w:w="1052" w:type="dxa"/>
          </w:tcPr>
          <w:p w14:paraId="794DD8FD">
            <w:pPr>
              <w:rPr>
                <w:highlight w:val="none"/>
              </w:rPr>
            </w:pPr>
          </w:p>
        </w:tc>
        <w:tc>
          <w:tcPr>
            <w:tcW w:w="6702" w:type="dxa"/>
          </w:tcPr>
          <w:p w14:paraId="45F80DDD">
            <w:pP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0"/>
                <w:szCs w:val="20"/>
                <w:highlight w:val="none"/>
                <w:lang w:val="en-US" w:eastAsia="zh-CN"/>
              </w:rPr>
              <w:t>付款方式：</w:t>
            </w:r>
            <w:r>
              <w:rPr>
                <w:rFonts w:hint="default" w:ascii="仿宋_GB2312" w:hAnsi="仿宋_GB2312" w:eastAsia="仿宋_GB2312" w:cs="仿宋_GB2312"/>
                <w:kern w:val="0"/>
                <w:sz w:val="20"/>
                <w:szCs w:val="20"/>
                <w:highlight w:val="none"/>
                <w:lang w:val="en-US" w:eastAsia="zh-CN"/>
              </w:rPr>
              <w:t>付款方式：按照工程进度进行付款，合同签订生效后，支付合同金额的30%；竣工验收合格后，支付至合同金额的50%；经学校审计并出具审计报告后分两期累计付至审定金额的97%，第一期累计支付至审定金额的70%，第二期累计支付至审定金额的97%；剩余审定金额的3%作为质量保证金，对应缺陷责任期为2年（自工程竣工验收合格之日起计算），缺陷责任期满且无质量问题后一次性无息退还。</w:t>
            </w:r>
          </w:p>
          <w:p w14:paraId="61235DA6">
            <w:pPr>
              <w:ind w:firstLine="400" w:firstLineChars="200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kern w:val="0"/>
                <w:sz w:val="20"/>
                <w:szCs w:val="20"/>
                <w:highlight w:val="none"/>
                <w:lang w:val="en-US" w:eastAsia="zh-CN"/>
              </w:rPr>
              <w:t>本项目外立面主体施工质量保修期为2年，外立面防水相关部位质量保修期为5年，保修期自工程竣工验收合格之日起计算。保修期内，如出现质量缺陷，乙方应在接到甲方通知后按约定时限到场维修，逾期或拒绝维修的，甲方有权委托第三方维修，相关费用由乙方承担或从应付款项中扣除，乙方还须按合同约定承担相应的违约责任。</w:t>
            </w:r>
          </w:p>
        </w:tc>
      </w:tr>
      <w:tr w14:paraId="52BFE0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  <w:shd w:val="clear" w:color="auto" w:fill="auto"/>
            <w:vAlign w:val="top"/>
          </w:tcPr>
          <w:p w14:paraId="0A46E07E">
            <w:pPr>
              <w:pStyle w:val="5"/>
              <w:rPr>
                <w:rFonts w:hint="eastAsia" w:asciiTheme="minorHAnsi" w:hAnsiTheme="minorHAnsi" w:eastAsiaTheme="minorEastAsia" w:cstheme="minorBidi"/>
                <w:highlight w:val="none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4</w:t>
            </w:r>
          </w:p>
        </w:tc>
        <w:tc>
          <w:tcPr>
            <w:tcW w:w="1052" w:type="dxa"/>
          </w:tcPr>
          <w:p w14:paraId="746CE23B">
            <w:pPr>
              <w:rPr>
                <w:highlight w:val="none"/>
              </w:rPr>
            </w:pPr>
          </w:p>
        </w:tc>
        <w:tc>
          <w:tcPr>
            <w:tcW w:w="6702" w:type="dxa"/>
          </w:tcPr>
          <w:p w14:paraId="3414B015">
            <w:pPr>
              <w:pStyle w:val="5"/>
              <w:rPr>
                <w:rFonts w:hint="default" w:ascii="仿宋_GB2312" w:hAnsi="仿宋_GB2312" w:eastAsia="仿宋_GB2312" w:cs="仿宋_GB2312"/>
                <w:b/>
                <w:bCs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0"/>
                <w:szCs w:val="20"/>
                <w:highlight w:val="none"/>
                <w:lang w:val="en-US" w:eastAsia="zh-CN"/>
              </w:rPr>
              <w:t>质量要求：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0"/>
                <w:szCs w:val="20"/>
                <w:highlight w:val="none"/>
                <w:lang w:val="en-US" w:eastAsia="zh-CN"/>
              </w:rPr>
              <w:t>合格。</w:t>
            </w:r>
          </w:p>
        </w:tc>
      </w:tr>
      <w:tr w14:paraId="7F91B1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  <w:shd w:val="clear" w:color="auto" w:fill="auto"/>
            <w:vAlign w:val="top"/>
          </w:tcPr>
          <w:p w14:paraId="4095C153">
            <w:pPr>
              <w:pStyle w:val="5"/>
              <w:rPr>
                <w:rFonts w:hint="eastAsia" w:asciiTheme="minorHAnsi" w:hAnsiTheme="minorHAnsi" w:eastAsiaTheme="minorEastAsia" w:cstheme="minorBidi"/>
                <w:highlight w:val="none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5</w:t>
            </w:r>
          </w:p>
        </w:tc>
        <w:tc>
          <w:tcPr>
            <w:tcW w:w="1052" w:type="dxa"/>
          </w:tcPr>
          <w:p w14:paraId="68E4FC18">
            <w:pPr>
              <w:rPr>
                <w:highlight w:val="none"/>
              </w:rPr>
            </w:pPr>
          </w:p>
        </w:tc>
        <w:tc>
          <w:tcPr>
            <w:tcW w:w="6702" w:type="dxa"/>
          </w:tcPr>
          <w:p w14:paraId="28B1BF6E">
            <w:pPr>
              <w:pStyle w:val="5"/>
              <w:rPr>
                <w:rFonts w:hint="default" w:ascii="仿宋_GB2312" w:hAnsi="仿宋_GB2312" w:eastAsia="仿宋_GB2312" w:cs="仿宋_GB2312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0"/>
                <w:szCs w:val="20"/>
                <w:highlight w:val="none"/>
                <w:lang w:val="en-US" w:eastAsia="zh-CN"/>
              </w:rPr>
              <w:t>质保期：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highlight w:val="none"/>
                <w:lang w:val="en-US" w:eastAsia="zh-CN"/>
              </w:rPr>
              <w:t>本项目外立面主体施工质保 2 年，外立面防水相关部位质保 5 年，质保期自工程竣工验收合格之日起计算。</w:t>
            </w:r>
          </w:p>
        </w:tc>
      </w:tr>
      <w:tr w14:paraId="62739B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  <w:shd w:val="clear" w:color="auto" w:fill="auto"/>
            <w:vAlign w:val="top"/>
          </w:tcPr>
          <w:p w14:paraId="013A24E0">
            <w:pPr>
              <w:pStyle w:val="5"/>
              <w:rPr>
                <w:rFonts w:hint="eastAsia" w:asciiTheme="minorHAnsi" w:hAnsiTheme="minorHAnsi" w:eastAsiaTheme="minorEastAsia" w:cstheme="minorBidi"/>
                <w:highlight w:val="none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6</w:t>
            </w:r>
          </w:p>
        </w:tc>
        <w:tc>
          <w:tcPr>
            <w:tcW w:w="1052" w:type="dxa"/>
          </w:tcPr>
          <w:p w14:paraId="7B1B81A5">
            <w:pPr>
              <w:rPr>
                <w:highlight w:val="none"/>
              </w:rPr>
            </w:pPr>
          </w:p>
        </w:tc>
        <w:tc>
          <w:tcPr>
            <w:tcW w:w="6702" w:type="dxa"/>
          </w:tcPr>
          <w:p w14:paraId="41044970">
            <w:pPr>
              <w:pStyle w:val="5"/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highlight w:val="none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0"/>
                <w:szCs w:val="20"/>
                <w:highlight w:val="none"/>
                <w:lang w:val="en-US" w:eastAsia="zh-Hans"/>
              </w:rPr>
              <w:t>响应时效：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highlight w:val="none"/>
                <w:lang w:val="en-US" w:eastAsia="zh-Hans"/>
              </w:rPr>
              <w:t>即时响应（包括电话响应）；电话响应无法解决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highlight w:val="no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highlight w:val="none"/>
                <w:lang w:val="en-US" w:eastAsia="zh-Hans"/>
              </w:rPr>
              <w:t>小时内到达现场。修复时间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highlight w:val="none"/>
                <w:lang w:val="en-US" w:eastAsia="zh-CN"/>
              </w:rPr>
              <w:t>24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highlight w:val="none"/>
                <w:lang w:val="en-US" w:eastAsia="zh-Hans"/>
              </w:rPr>
              <w:t>小时内解决；如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highlight w:val="none"/>
                <w:lang w:val="en-US" w:eastAsia="zh-CN"/>
              </w:rPr>
              <w:t>24</w:t>
            </w: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highlight w:val="none"/>
                <w:lang w:val="en-US" w:eastAsia="zh-Hans"/>
              </w:rPr>
              <w:t>小时内无法修复，应提供相应解决方案。</w:t>
            </w:r>
          </w:p>
        </w:tc>
      </w:tr>
      <w:tr w14:paraId="50C7C3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  <w:shd w:val="clear" w:color="auto" w:fill="auto"/>
            <w:vAlign w:val="top"/>
          </w:tcPr>
          <w:p w14:paraId="160EF5E4">
            <w:pPr>
              <w:pStyle w:val="5"/>
              <w:rPr>
                <w:rFonts w:hint="eastAsia" w:asciiTheme="minorHAnsi" w:hAnsiTheme="minorHAnsi" w:eastAsiaTheme="minorEastAsia" w:cstheme="minorBidi"/>
                <w:highlight w:val="none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7</w:t>
            </w:r>
          </w:p>
        </w:tc>
        <w:tc>
          <w:tcPr>
            <w:tcW w:w="1052" w:type="dxa"/>
          </w:tcPr>
          <w:p w14:paraId="3E24C5E8">
            <w:pPr>
              <w:rPr>
                <w:highlight w:val="none"/>
              </w:rPr>
            </w:pPr>
          </w:p>
        </w:tc>
        <w:tc>
          <w:tcPr>
            <w:tcW w:w="6702" w:type="dxa"/>
          </w:tcPr>
          <w:p w14:paraId="0D931646">
            <w:pPr>
              <w:pStyle w:val="5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0"/>
                <w:szCs w:val="20"/>
                <w:highlight w:val="none"/>
                <w:lang w:val="en-US" w:eastAsia="zh-Hans"/>
              </w:rPr>
              <w:t>工程量清单：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0"/>
                <w:szCs w:val="20"/>
                <w:highlight w:val="none"/>
                <w:lang w:val="en-US" w:eastAsia="zh-Hans"/>
              </w:rPr>
              <w:t>详见附件。</w:t>
            </w:r>
          </w:p>
        </w:tc>
      </w:tr>
      <w:tr w14:paraId="7E54B65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8" w:type="dxa"/>
            <w:vAlign w:val="top"/>
          </w:tcPr>
          <w:p w14:paraId="3E67AC98">
            <w:pPr>
              <w:pStyle w:val="5"/>
              <w:rPr>
                <w:rFonts w:hint="eastAsia" w:eastAsiaTheme="minor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8</w:t>
            </w:r>
          </w:p>
        </w:tc>
        <w:tc>
          <w:tcPr>
            <w:tcW w:w="1052" w:type="dxa"/>
            <w:vAlign w:val="top"/>
          </w:tcPr>
          <w:p w14:paraId="26EB4BE9">
            <w:pPr>
              <w:rPr>
                <w:highlight w:val="none"/>
              </w:rPr>
            </w:pPr>
          </w:p>
        </w:tc>
        <w:tc>
          <w:tcPr>
            <w:tcW w:w="6702" w:type="dxa"/>
            <w:vAlign w:val="top"/>
          </w:tcPr>
          <w:p w14:paraId="23B46FC1">
            <w:pPr>
              <w:pStyle w:val="5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0"/>
                <w:szCs w:val="20"/>
                <w:highlight w:val="none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0"/>
                <w:szCs w:val="20"/>
                <w:highlight w:val="none"/>
                <w:lang w:val="en-US" w:eastAsia="zh-Hans"/>
              </w:rPr>
              <w:t>原有设施保护要求：本工程范围包含空调落水管的改造施工。施工过程中，若承包方对现场原有的设备、设施造成损坏，承包方须负责对其进行恢复、维修或更换，并承担全部相关费用，确保所有设备设施功能完好、外观达标。</w:t>
            </w:r>
          </w:p>
        </w:tc>
      </w:tr>
    </w:tbl>
    <w:p w14:paraId="4FFAEA7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A0378A"/>
    <w:rsid w:val="56A03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widowControl w:val="0"/>
      <w:adjustRightInd w:val="0"/>
      <w:snapToGrid w:val="0"/>
      <w:spacing w:before="20" w:after="0" w:line="360" w:lineRule="auto"/>
      <w:ind w:left="0" w:right="0" w:firstLine="560" w:firstLineChars="200"/>
      <w:jc w:val="both"/>
    </w:pPr>
    <w:rPr>
      <w:rFonts w:ascii="宋体" w:hAnsi="宋体" w:eastAsia="宋体" w:cs="Times New Roman"/>
      <w:kern w:val="0"/>
      <w:sz w:val="24"/>
      <w:szCs w:val="20"/>
      <w:lang w:val="en-US" w:eastAsia="zh-CN" w:bidi="ar-SA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2026-07-09T12:26:00Z</dcterms:created>
  <dc:creator>好好的</dc:creator>
  <cp:lastModifiedBy>好好的</cp:lastModifiedBy>
  <dcterms:modified xsi:type="dcterms:W3CDTF">2026-07-09T12:26:51Z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D5B1866D3F3A40BF893C4E33C319B8F3_11</vt:lpwstr>
  </property>
  <property fmtid="{D5CDD505-2E9C-101B-9397-08002B2CF9AE}" pid="4" name="KSOTemplateDocerSaveRecord">
    <vt:lpwstr>eyJoZGlkIjoiNGI5OTM1M2UwMTUxOGI1ZjZmZGRiNjY2YjkzZTljYmIiLCJ1c2VySWQiOiIzMzEzMzk0MDUifQ==</vt:lpwstr>
  </property>
</Properties>
</file>