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78" w:type="dxa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686"/>
        <w:gridCol w:w="4211"/>
        <w:gridCol w:w="1478"/>
        <w:gridCol w:w="1500"/>
      </w:tblGrid>
      <w:tr w14:paraId="237B1AA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</w:trPr>
        <w:tc>
          <w:tcPr>
            <w:tcW w:w="847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879C95">
            <w:pPr>
              <w:pStyle w:val="4"/>
              <w:spacing w:before="240" w:after="120"/>
              <w:outlineLvl w:val="2"/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</w:rPr>
              <w:t>（一）安防平台国产化适配</w:t>
            </w:r>
          </w:p>
        </w:tc>
      </w:tr>
      <w:tr w14:paraId="03550A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68B72F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序号</w:t>
            </w:r>
          </w:p>
        </w:tc>
        <w:tc>
          <w:tcPr>
            <w:tcW w:w="6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4F5356B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名称</w:t>
            </w:r>
          </w:p>
        </w:tc>
        <w:tc>
          <w:tcPr>
            <w:tcW w:w="421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C973A8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主要功能</w:t>
            </w:r>
            <w:r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b/>
                <w:sz w:val="18"/>
              </w:rPr>
              <w:t>要求</w:t>
            </w:r>
          </w:p>
        </w:tc>
        <w:tc>
          <w:tcPr>
            <w:tcW w:w="147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AB5F72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sz w:val="18"/>
              </w:rPr>
              <w:t>数量</w:t>
            </w:r>
          </w:p>
        </w:tc>
        <w:tc>
          <w:tcPr>
            <w:tcW w:w="15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3A1F49">
            <w:pPr>
              <w:pStyle w:val="4"/>
              <w:spacing w:before="30" w:after="30"/>
              <w:ind w:firstLine="361" w:firstLineChars="200"/>
              <w:jc w:val="both"/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lang w:val="en-US" w:eastAsia="zh-CN"/>
              </w:rPr>
              <w:t>备注</w:t>
            </w:r>
          </w:p>
        </w:tc>
      </w:tr>
      <w:tr w14:paraId="284D20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15F874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3207A9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4029777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★基于采购方提供的软硬件基础环境（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服务器、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操作系统、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国产</w:t>
            </w:r>
            <w:r>
              <w:rPr>
                <w:rFonts w:hint="eastAsia" w:ascii="仿宋" w:hAnsi="仿宋" w:eastAsia="仿宋" w:cs="仿宋"/>
              </w:rPr>
              <w:t>数据库等）完成安防平台的国产化适配、部署，不得改变原授权功能及授权点位数量，实现平台原有功能并完成历史数据迁移。</w:t>
            </w:r>
          </w:p>
          <w:p w14:paraId="40FEB14E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★应同时具备B/S和C/S构架，能适配X86、C86、ARM等CPU架构以及Windows、银河麒麟，统信UOS等桌面操作系统。</w:t>
            </w:r>
          </w:p>
          <w:p w14:paraId="71D7A05C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包含但不限于以下内容：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5E1D76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D0D695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11BCE71E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6B025F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B78D2D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B3DA5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464BF2A9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1512A92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038DCB1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257B0DA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6624549A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1FEE7710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89432D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3959F5AA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7CDC177B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40A57CF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56D19205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</w:p>
          <w:p w14:paraId="779D5794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在用平台品牌</w:t>
            </w:r>
          </w:p>
          <w:p w14:paraId="34D780A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及型号：</w:t>
            </w:r>
          </w:p>
          <w:p w14:paraId="6EB0527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海康威视,</w:t>
            </w:r>
          </w:p>
          <w:p w14:paraId="2F0D3F7D">
            <w:pPr>
              <w:pStyle w:val="4"/>
              <w:spacing w:before="30" w:after="3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Infovison SPCC 智慧监所综合管控</w:t>
            </w:r>
          </w:p>
          <w:p w14:paraId="285620E6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平台V1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.4</w:t>
            </w:r>
            <w:r>
              <w:rPr>
                <w:rFonts w:hint="eastAsia" w:ascii="仿宋" w:hAnsi="仿宋" w:eastAsia="仿宋" w:cs="仿宋"/>
              </w:rPr>
              <w:t>及</w:t>
            </w:r>
          </w:p>
          <w:p w14:paraId="22F0722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V2.1版</w:t>
            </w:r>
          </w:p>
        </w:tc>
      </w:tr>
      <w:tr w14:paraId="32ED39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097" w:hRule="atLeast"/>
        </w:trPr>
        <w:tc>
          <w:tcPr>
            <w:tcW w:w="603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2A743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7CAD007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108A97B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414AEBE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2BEE2F1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667ADC0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20093C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1469D51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6433799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  <w:p w14:paraId="02C6B41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  <w:p w14:paraId="58EF1DD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D80C6C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基础功能适配迁移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E9368A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★（1）平台基础包、视频监控、视频级联、电视墙、门禁管理、重点区域人员门禁管控、入侵报警、监所报警中心、智能监控、人员核验、防误放管理等功能的适配。</w:t>
            </w:r>
          </w:p>
          <w:p w14:paraId="25DC48A1">
            <w:pPr>
              <w:pStyle w:val="4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▲（2）车辆区域管控、人员区域管控、监所地图、监所人员管理、AI模型管理、人车智能档案、外来人车登记、车辆核验</w:t>
            </w:r>
            <w:r>
              <w:rPr>
                <w:rFonts w:hint="eastAsia" w:ascii="仿宋" w:hAnsi="仿宋" w:eastAsia="仿宋" w:cs="仿宋"/>
                <w:b w:val="0"/>
                <w:bCs/>
                <w:sz w:val="18"/>
                <w:lang w:eastAsia="zh-CN"/>
              </w:rPr>
              <w:t>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2670B1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D0BC61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9FDB77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C8EE1D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EAB748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定制功能适配迁移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72268D4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（1）广播联动：实现报警与对讲分机、IP音柱的联动喊话，提供配置页面；</w:t>
            </w:r>
          </w:p>
          <w:p w14:paraId="51EB94A3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（2）指挥中大厅两侧led屏发布定制迁移，实现与值班信息、电网数据、报警信息对接；</w:t>
            </w:r>
          </w:p>
          <w:p w14:paraId="61C30335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（3）周界监墙的高压智能电网联动预警，实现旭飞电网报警（触网、短路、断路）上传平台，能够显示实时电网状态；</w:t>
            </w:r>
          </w:p>
          <w:p w14:paraId="6DE27196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（4）鑫晨风周界微振动报警接入定制迁移；</w:t>
            </w:r>
          </w:p>
          <w:p w14:paraId="0FF49246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（5）罪犯信息库、民警信息库定制接入迁移。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11B3A1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666BE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DE7CEC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6687BC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6E83A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算法策略平台适配迁移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FAB858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★通过灵活的组合策略配置实现对人数异常、区域入侵、攀高、单人滞留等报警进行二次分析或服装过滤，提高报警的准确性。同时具备策略回溯、研判等功能。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44B70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80336A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0C4FA79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8A599E7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1D5D977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边缘域智能调度适配迁移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7055D8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支持边缘算力的管理和调度，包括融合超脑、AI超脑、AI相机、行业智能分析服务器、轻量级深思等；支持边缘通用算法的下发和任务配置，包括人脸、人体、车辆、周界等；需支持多种任务调度方式，图片抓拍分析、视频轮巡分析；支持智能分析规则配置；支持任务管理，能对任务运行状态进行监测，对设备提前配置分析任务模板，为上层应用提供便捷的任务分析功能。</w:t>
            </w:r>
          </w:p>
          <w:p w14:paraId="7ECD9255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603F9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282A21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46876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93614CC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8817D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平台数据迁移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4FB7766">
            <w:pPr>
              <w:pStyle w:val="4"/>
              <w:rPr>
                <w:rFonts w:hint="eastAsia" w:ascii="仿宋" w:hAnsi="仿宋" w:eastAsia="仿宋" w:cs="仿宋"/>
                <w:b w:val="0"/>
                <w:bCs/>
                <w:sz w:val="1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完成现用版本平台上的视频设备、门禁设备、报警主机、报警联动配置、监所地图、行为分析规则配置迁移；存储设备音视频数据的迁移；实现向上级平台推送目录资源及报警信息。</w:t>
            </w:r>
          </w:p>
          <w:p w14:paraId="7D8757DB">
            <w:pPr>
              <w:pStyle w:val="4"/>
              <w:rPr>
                <w:rFonts w:hint="eastAsia" w:ascii="仿宋" w:hAnsi="仿宋" w:eastAsia="仿宋" w:cs="仿宋"/>
                <w:b w:val="0"/>
                <w:bCs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提供三年原厂服务，包含软件部署、提供补丁更新、故障处理等。UOS等桌面操作系统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F59FD3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18"/>
              </w:rPr>
              <w:t>1套</w:t>
            </w:r>
          </w:p>
        </w:tc>
        <w:tc>
          <w:tcPr>
            <w:tcW w:w="1500" w:type="dxa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0E6A7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sz w:val="18"/>
              </w:rPr>
            </w:pPr>
          </w:p>
        </w:tc>
      </w:tr>
      <w:tr w14:paraId="16B2407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74" w:hRule="atLeast"/>
        </w:trPr>
        <w:tc>
          <w:tcPr>
            <w:tcW w:w="8478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E2F2C4B">
            <w:pPr>
              <w:pStyle w:val="4"/>
              <w:outlineLvl w:val="2"/>
              <w:rPr>
                <w:rFonts w:hint="eastAsia" w:ascii="仿宋" w:hAnsi="仿宋" w:eastAsia="仿宋" w:cs="仿宋"/>
                <w:b/>
                <w:sz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</w:rPr>
              <w:t>（</w:t>
            </w:r>
            <w:r>
              <w:rPr>
                <w:rFonts w:hint="eastAsia" w:ascii="仿宋" w:hAnsi="仿宋" w:eastAsia="仿宋" w:cs="仿宋"/>
                <w:b/>
                <w:sz w:val="18"/>
              </w:rPr>
              <w:t>二）灭火系统维护更新</w:t>
            </w:r>
          </w:p>
        </w:tc>
      </w:tr>
      <w:tr w14:paraId="571D5BB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73FD1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A30808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</w:rPr>
              <w:t>七氟丙烷灭火系统维护更新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CA79EF2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对数据机房、指挥中心设备间七氟丙烷灭火系统进行维护更新，满足消防合规要求。含包但不限于气瓶更换、药剂填充、报警控制器及按钮移装等。容量：数据机房120L，指挥大厅设备间70L。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30ABDB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2套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C93CF5">
            <w:pPr>
              <w:pStyle w:val="4"/>
              <w:spacing w:before="30" w:after="30"/>
              <w:ind w:left="200" w:hanging="200" w:hangingChars="10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机房、指挥大厅设备间各1套</w:t>
            </w:r>
          </w:p>
        </w:tc>
      </w:tr>
      <w:tr w14:paraId="670BB3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8478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25CC63C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三</w:t>
            </w: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设施维护更新、设备采购及安装</w:t>
            </w:r>
          </w:p>
        </w:tc>
      </w:tr>
      <w:tr w14:paraId="21CC60E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74529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58EF02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指挥大厅地板及地毯维护更新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4F0E41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对指挥大厅地板及地毯进行维护更换，含损坏地板及底座修复、旧地毯拆除及清运、新地毯安装等。地毯要求：</w:t>
            </w:r>
          </w:p>
          <w:p w14:paraId="68701B60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1.规格：500×500mm，总厚度≥5.5mm；</w:t>
            </w:r>
          </w:p>
          <w:p w14:paraId="0DB04131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2.材质：绒面：100%尼龙（含抗静电纤维，永久抗静电），绒高≥4mm，色牢度≥4级；底背：环保PVC，防潮防翘边。</w:t>
            </w:r>
          </w:p>
          <w:p w14:paraId="12FB0D52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3.性能：阻燃达GB 8624-2012 B1级，提供CMA/CNAS第三方检测报告。</w:t>
            </w:r>
          </w:p>
          <w:p w14:paraId="4B84730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4.安装要求：含基层处理、专用环保胶、收边条，铺设平整无鼓包、拼缝严密。</w:t>
            </w:r>
          </w:p>
          <w:p w14:paraId="6609B32F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含不少于三年质保。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DBE0B06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160平方米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FD0F86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729787B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C386E6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615439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车间弱电机柜供电改造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BA50D8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对1#-5#习艺车间弱电机柜供电线路进行改造，将原来的从值班室配电箱取电改为从车间总配电箱取电，设置独立空开。取电位置为隔壁房间，含YJV3*6阻燃线材100米、40A空开5个、配电箱5个及相关辅材。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B1484D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1项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779D9D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4D81BE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90CE77D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7F1C20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UPS机头更换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DAF4576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在线式，10KVA，含安装调试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7D4CFF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788D005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AB门配电室</w:t>
            </w:r>
          </w:p>
        </w:tc>
      </w:tr>
      <w:tr w14:paraId="13014D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B533D9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E2F80EF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时序电源控制器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6C79409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≥2+8路万用插座继电器受控，总功率≥6000W、单路≥2000W，具备滤波功能，过载、过流保护，具备电压显示及输入输出指示灯，顺序开启、逆序关闭，标准机架式（含电源线及安装配件）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1816E6E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51AA06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弱电机柜使用</w:t>
            </w:r>
          </w:p>
        </w:tc>
      </w:tr>
      <w:tr w14:paraId="56B5FE6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899ABA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3FE91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声光报警音箱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CA9ED6C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音频触发声光报警，具备电脑原声输出，音量可调；LED旋转发光，红色；支持种3.5mm音频接口接入；带电源适配器、音频线，磁吸底座。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C2AE8F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830C5D0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报警提示</w:t>
            </w:r>
          </w:p>
        </w:tc>
      </w:tr>
      <w:tr w14:paraId="4E6498E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84266A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52F0745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透尘透水汽摄像机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2E604B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最高分辨率可达400万像素，并在此分辨率下可输出30 fps实时图像，图像更流畅；支持透雾、电子防抖；支持宽动态120 dB；焦距：2.8~12 mm；带雨刷 (配毛刷)；支持防雷、防浪涌、防静电，IP68防护等级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4B8A454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19507ED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65D1842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C5CBF43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63A647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广角半球摄像机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08AA8E07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具有≥500万像素CMOS图像传感器，内置不少于1个扬声器和1个拾音器，具有不少于1个RJ45接口、1个音频输入接口、1个音频输出接口、1个SD卡槽、2个报警输入接口、1个报警输出接口、1个RS485接口。支持焦距：≤</w:t>
            </w:r>
          </w:p>
          <w:p w14:paraId="6BAFEED8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1.8mm，定焦。水平视场角:≥130°，垂直视场角:100°。防暴:IK10。支持在温度 -30℃~60℃（-22°F~140°F）下正常使用。支持宽动态自动切换功能，在环境亮度变化时，可自动进行关闭/开启切换。含底座。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D9CADA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7135FD7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289D8A1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EF2F011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294CA9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开关电源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5C7153A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箱式，12V、30A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24499569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20台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32A4EB3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  <w:tr w14:paraId="67AFFF4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9B2C722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593E37B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电子白板一体机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295B53B">
            <w:pPr>
              <w:pStyle w:val="4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内存≥4G、存储≥64G；≥75英寸触摸屏、4K超高清；具备≥RJ45*1、Audio out*1、USB 3.0*2、HMDI in*2等接口；内置扬声器、蓝牙、Wi-Fi，防爆屏，无线投屏，笔迹识别，反向触控，多分屏投屏，多功能白板；具备定时投放壁纸、海报、宣传稿件功能。含支架+传屏器+书写笔*2；三年质保</w:t>
            </w:r>
            <w:r>
              <w:rPr>
                <w:rFonts w:hint="eastAsia" w:ascii="仿宋" w:hAnsi="仿宋" w:eastAsia="仿宋" w:cs="仿宋"/>
                <w:lang w:eastAsia="zh-CN"/>
              </w:rPr>
              <w:t>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3DF8E8B8">
            <w:pPr>
              <w:pStyle w:val="4"/>
              <w:spacing w:before="30" w:after="3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4963D3F8">
            <w:pPr>
              <w:pStyle w:val="4"/>
              <w:spacing w:before="30" w:after="30"/>
              <w:jc w:val="both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指挥大厅</w:t>
            </w:r>
          </w:p>
        </w:tc>
      </w:tr>
      <w:tr w14:paraId="5524EF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6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6CDB6AE2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</w:t>
            </w:r>
          </w:p>
        </w:tc>
        <w:tc>
          <w:tcPr>
            <w:tcW w:w="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DD7F356">
            <w:pPr>
              <w:pStyle w:val="4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监视器</w:t>
            </w:r>
          </w:p>
        </w:tc>
        <w:tc>
          <w:tcPr>
            <w:tcW w:w="42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10509445">
            <w:pPr>
              <w:pStyle w:val="4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面板尺寸：65英寸；亮度：400cd/m²；供电方式：100–240VAC，50/60Hz；工作温度：0℃～+40℃；信号输入标配：HDMI×2、USB×1、VGA×1、SPDIF×1、Audio×1、RS232×1，7*24小时持续工作。</w:t>
            </w:r>
          </w:p>
        </w:tc>
        <w:tc>
          <w:tcPr>
            <w:tcW w:w="147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5DC18AFB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top"/>
          </w:tcPr>
          <w:p w14:paraId="7340462F">
            <w:pPr>
              <w:pStyle w:val="4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备件</w:t>
            </w:r>
          </w:p>
        </w:tc>
      </w:tr>
    </w:tbl>
    <w:p w14:paraId="50457A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大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6B70B1"/>
    <w:rsid w:val="046B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2026-09-15T01:24:00Z</dcterms:created>
  <dc:creator>琢</dc:creator>
  <cp:lastModifiedBy>琢</cp:lastModifiedBy>
  <dcterms:modified xsi:type="dcterms:W3CDTF">2026-09-15T01:28:19Z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A08C2AF032E0487B87B7C3F7A780128F_11</vt:lpwstr>
  </property>
  <property fmtid="{D5CDD505-2E9C-101B-9397-08002B2CF9AE}" pid="4" name="KSOTemplateDocerSaveRecord">
    <vt:lpwstr>eyJoZGlkIjoiM2NhMzM2ZDlmNjM2ZTM0Zjc5MjQyNTVhY2E3ZmRkN2YiLCJ1c2VySWQiOiIzOTc4NDkyMzYifQ==</vt:lpwstr>
  </property>
</Properties>
</file>