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28B405">
      <w:pPr>
        <w:pStyle w:val="2"/>
        <w:numPr>
          <w:ilvl w:val="0"/>
          <w:numId w:val="0"/>
        </w:numPr>
        <w:spacing w:line="360" w:lineRule="auto"/>
        <w:jc w:val="center"/>
        <w:rPr>
          <w:sz w:val="32"/>
          <w:szCs w:val="32"/>
        </w:rPr>
      </w:pPr>
      <w:r>
        <w:rPr>
          <w:rFonts w:hint="eastAsia"/>
          <w:bCs w:val="0"/>
          <w:sz w:val="32"/>
          <w:szCs w:val="32"/>
        </w:rPr>
        <w:t>产品技术参数表</w:t>
      </w:r>
    </w:p>
    <w:p w14:paraId="008EF4BE">
      <w:pPr>
        <w:spacing w:line="360" w:lineRule="auto"/>
        <w:ind w:left="1532" w:hanging="1313" w:hangingChars="545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采购项目名称：</w:t>
      </w:r>
      <w:r>
        <w:rPr>
          <w:sz w:val="24"/>
          <w:szCs w:val="24"/>
        </w:rPr>
        <w:t>{</w:t>
      </w:r>
      <w:r>
        <w:rPr>
          <w:rFonts w:hint="eastAsia"/>
          <w:sz w:val="24"/>
          <w:szCs w:val="24"/>
          <w:lang w:eastAsia="zh-Hans"/>
        </w:rPr>
        <w:t>请填写采购项目名称</w:t>
      </w:r>
      <w:r>
        <w:rPr>
          <w:sz w:val="24"/>
          <w:szCs w:val="24"/>
        </w:rPr>
        <w:t>}</w:t>
      </w:r>
    </w:p>
    <w:p w14:paraId="074FD719">
      <w:pPr>
        <w:spacing w:line="360" w:lineRule="auto"/>
        <w:rPr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采购项目编号：</w:t>
      </w:r>
      <w:r>
        <w:rPr>
          <w:sz w:val="24"/>
          <w:szCs w:val="24"/>
        </w:rPr>
        <w:t>{</w:t>
      </w:r>
      <w:r>
        <w:rPr>
          <w:rFonts w:hint="eastAsia"/>
          <w:sz w:val="24"/>
          <w:szCs w:val="24"/>
          <w:lang w:eastAsia="zh-Hans"/>
        </w:rPr>
        <w:t>请填写采购项目编号</w:t>
      </w:r>
      <w:r>
        <w:rPr>
          <w:sz w:val="24"/>
          <w:szCs w:val="24"/>
        </w:rPr>
        <w:t>}</w:t>
      </w:r>
    </w:p>
    <w:p w14:paraId="1CFB84CB">
      <w:pPr>
        <w:spacing w:line="360" w:lineRule="auto"/>
        <w:rPr>
          <w:sz w:val="28"/>
          <w:szCs w:val="28"/>
        </w:rPr>
      </w:pPr>
      <w:r>
        <w:rPr>
          <w:rFonts w:hint="eastAsia"/>
          <w:b/>
          <w:bCs/>
          <w:sz w:val="24"/>
          <w:szCs w:val="24"/>
        </w:rPr>
        <w:t>采购</w:t>
      </w:r>
      <w:r>
        <w:rPr>
          <w:rFonts w:hint="eastAsia"/>
          <w:b/>
          <w:bCs/>
          <w:sz w:val="24"/>
          <w:szCs w:val="24"/>
          <w:lang w:eastAsia="zh-Hans"/>
        </w:rPr>
        <w:t>包号：</w:t>
      </w:r>
      <w:r>
        <w:rPr>
          <w:sz w:val="24"/>
          <w:szCs w:val="24"/>
        </w:rPr>
        <w:t>{</w:t>
      </w:r>
      <w:r>
        <w:rPr>
          <w:rFonts w:hint="eastAsia"/>
          <w:sz w:val="24"/>
          <w:szCs w:val="24"/>
          <w:lang w:eastAsia="zh-Hans"/>
        </w:rPr>
        <w:t>请填写</w:t>
      </w:r>
      <w:r>
        <w:rPr>
          <w:rFonts w:hint="eastAsia"/>
          <w:sz w:val="24"/>
          <w:szCs w:val="24"/>
        </w:rPr>
        <w:t>采购包</w:t>
      </w:r>
      <w:r>
        <w:rPr>
          <w:rFonts w:hint="eastAsia"/>
          <w:sz w:val="24"/>
          <w:szCs w:val="24"/>
          <w:lang w:eastAsia="zh-Hans"/>
        </w:rPr>
        <w:t>编号</w:t>
      </w:r>
      <w:r>
        <w:rPr>
          <w:sz w:val="24"/>
          <w:szCs w:val="24"/>
        </w:rPr>
        <w:t xml:space="preserve">}  </w:t>
      </w:r>
      <w:r>
        <w:rPr>
          <w:sz w:val="28"/>
          <w:szCs w:val="28"/>
        </w:rPr>
        <w:t xml:space="preserve">                    </w:t>
      </w:r>
    </w:p>
    <w:tbl>
      <w:tblPr>
        <w:tblStyle w:val="8"/>
        <w:tblW w:w="85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1"/>
        <w:gridCol w:w="1048"/>
        <w:gridCol w:w="1443"/>
        <w:gridCol w:w="1839"/>
        <w:gridCol w:w="1048"/>
        <w:gridCol w:w="1048"/>
        <w:gridCol w:w="1445"/>
      </w:tblGrid>
      <w:tr w14:paraId="65238C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223340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ascii="Calibri" w:eastAsia="宋体"/>
                <w:b/>
                <w:sz w:val="24"/>
                <w:szCs w:val="24"/>
              </w:rPr>
            </w:pPr>
            <w:r>
              <w:rPr>
                <w:rFonts w:hint="eastAsia" w:ascii="Calibri" w:eastAsia="宋体"/>
                <w:b/>
                <w:sz w:val="24"/>
                <w:szCs w:val="24"/>
              </w:rPr>
              <w:t>序号</w:t>
            </w:r>
          </w:p>
        </w:tc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151C17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ascii="Calibri" w:eastAsia="宋体"/>
                <w:b/>
                <w:sz w:val="24"/>
                <w:szCs w:val="24"/>
              </w:rPr>
            </w:pPr>
            <w:r>
              <w:rPr>
                <w:rFonts w:hint="eastAsia" w:ascii="Calibri" w:eastAsia="宋体"/>
                <w:b/>
                <w:sz w:val="24"/>
                <w:szCs w:val="24"/>
              </w:rPr>
              <w:t>标的名称</w:t>
            </w: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E38DEC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ascii="Calibri" w:eastAsia="宋体"/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  <w:lang w:val="en-US" w:eastAsia="zh-CN"/>
              </w:rPr>
              <w:t>谈判</w:t>
            </w:r>
            <w:r>
              <w:rPr>
                <w:rFonts w:hint="eastAsia" w:ascii="Calibri" w:eastAsia="宋体"/>
                <w:b/>
                <w:sz w:val="24"/>
                <w:szCs w:val="24"/>
              </w:rPr>
              <w:t>文件要求</w:t>
            </w:r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C88256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ascii="Calibri" w:eastAsia="宋体"/>
                <w:b/>
                <w:sz w:val="24"/>
                <w:szCs w:val="24"/>
              </w:rPr>
            </w:pPr>
            <w:r>
              <w:rPr>
                <w:rFonts w:hint="eastAsia" w:ascii="Calibri" w:hAnsi="宋体" w:eastAsia="宋体" w:cs="宋体"/>
                <w:b/>
                <w:sz w:val="24"/>
                <w:szCs w:val="24"/>
              </w:rPr>
              <w:t>响应</w:t>
            </w:r>
            <w:r>
              <w:rPr>
                <w:rFonts w:hint="eastAsia" w:ascii="Calibri" w:eastAsia="宋体"/>
                <w:b/>
                <w:sz w:val="24"/>
                <w:szCs w:val="24"/>
              </w:rPr>
              <w:t>产品技术参数</w:t>
            </w:r>
          </w:p>
        </w:tc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4CE0D2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default" w:ascii="Calibri" w:hAnsi="宋体" w:eastAsia="宋体" w:cs="宋体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Calibri" w:hAnsi="宋体" w:eastAsia="宋体" w:cs="宋体"/>
                <w:b/>
                <w:sz w:val="24"/>
                <w:szCs w:val="24"/>
                <w:lang w:val="en-US" w:eastAsia="zh-CN"/>
              </w:rPr>
              <w:t>偏离情况</w:t>
            </w:r>
          </w:p>
        </w:tc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0DFD76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default" w:ascii="Calibri" w:hAnsi="宋体" w:eastAsia="宋体" w:cs="宋体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hAnsi="宋体" w:cs="宋体"/>
                <w:b/>
                <w:sz w:val="24"/>
                <w:szCs w:val="24"/>
                <w:lang w:val="en-US" w:eastAsia="zh-CN"/>
              </w:rPr>
              <w:t>偏离简诉</w:t>
            </w:r>
          </w:p>
        </w:tc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B3CBA2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default" w:hAnsi="宋体" w:cs="宋体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hAnsi="宋体" w:cs="宋体"/>
                <w:b/>
                <w:sz w:val="24"/>
                <w:szCs w:val="24"/>
                <w:lang w:val="en-US" w:eastAsia="zh-CN"/>
              </w:rPr>
              <w:t>证明材料页码</w:t>
            </w:r>
          </w:p>
        </w:tc>
      </w:tr>
      <w:tr w14:paraId="26A522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2E7F61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sz w:val="28"/>
                <w:szCs w:val="28"/>
              </w:rPr>
            </w:pPr>
          </w:p>
        </w:tc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D98688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sz w:val="28"/>
                <w:szCs w:val="28"/>
              </w:rPr>
            </w:pP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0ABE2A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sz w:val="28"/>
                <w:szCs w:val="28"/>
              </w:rPr>
            </w:pPr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2E11EC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sz w:val="28"/>
                <w:szCs w:val="28"/>
              </w:rPr>
            </w:pPr>
          </w:p>
        </w:tc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DE4B75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sz w:val="28"/>
                <w:szCs w:val="28"/>
              </w:rPr>
            </w:pPr>
          </w:p>
        </w:tc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CD25B8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sz w:val="28"/>
                <w:szCs w:val="28"/>
              </w:rPr>
            </w:pPr>
          </w:p>
        </w:tc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740183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sz w:val="28"/>
                <w:szCs w:val="28"/>
              </w:rPr>
            </w:pPr>
          </w:p>
        </w:tc>
      </w:tr>
      <w:tr w14:paraId="7E4E61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21DD3E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sz w:val="28"/>
                <w:szCs w:val="28"/>
                <w:highlight w:val="red"/>
              </w:rPr>
            </w:pPr>
          </w:p>
        </w:tc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3156F5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sz w:val="28"/>
                <w:szCs w:val="28"/>
                <w:highlight w:val="red"/>
              </w:rPr>
            </w:pP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E1E121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sz w:val="28"/>
                <w:szCs w:val="28"/>
                <w:highlight w:val="red"/>
              </w:rPr>
            </w:pPr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8666A8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sz w:val="28"/>
                <w:szCs w:val="28"/>
                <w:highlight w:val="red"/>
              </w:rPr>
            </w:pPr>
          </w:p>
        </w:tc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8B615F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sz w:val="28"/>
                <w:szCs w:val="28"/>
                <w:highlight w:val="red"/>
              </w:rPr>
            </w:pPr>
          </w:p>
        </w:tc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B94B2D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sz w:val="28"/>
                <w:szCs w:val="28"/>
                <w:highlight w:val="red"/>
              </w:rPr>
            </w:pPr>
          </w:p>
        </w:tc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575A37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sz w:val="28"/>
                <w:szCs w:val="28"/>
                <w:highlight w:val="red"/>
              </w:rPr>
            </w:pPr>
          </w:p>
        </w:tc>
      </w:tr>
      <w:tr w14:paraId="3923AE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39E156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sz w:val="28"/>
                <w:szCs w:val="28"/>
                <w:highlight w:val="red"/>
              </w:rPr>
            </w:pPr>
          </w:p>
        </w:tc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866B06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sz w:val="28"/>
                <w:szCs w:val="28"/>
                <w:highlight w:val="red"/>
              </w:rPr>
            </w:pP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C4834D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sz w:val="28"/>
                <w:szCs w:val="28"/>
                <w:highlight w:val="red"/>
              </w:rPr>
            </w:pPr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EDC458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sz w:val="28"/>
                <w:szCs w:val="28"/>
                <w:highlight w:val="red"/>
              </w:rPr>
            </w:pPr>
          </w:p>
        </w:tc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8C82F0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sz w:val="28"/>
                <w:szCs w:val="28"/>
                <w:highlight w:val="red"/>
              </w:rPr>
            </w:pPr>
          </w:p>
        </w:tc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C5EB6D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sz w:val="28"/>
                <w:szCs w:val="28"/>
                <w:highlight w:val="red"/>
              </w:rPr>
            </w:pPr>
          </w:p>
        </w:tc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3A966A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sz w:val="28"/>
                <w:szCs w:val="28"/>
                <w:highlight w:val="red"/>
              </w:rPr>
            </w:pPr>
          </w:p>
        </w:tc>
      </w:tr>
      <w:tr w14:paraId="503B98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1353AE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sz w:val="28"/>
                <w:szCs w:val="28"/>
                <w:highlight w:val="red"/>
              </w:rPr>
            </w:pPr>
          </w:p>
        </w:tc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7DF541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sz w:val="28"/>
                <w:szCs w:val="28"/>
                <w:highlight w:val="red"/>
              </w:rPr>
            </w:pP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369D8C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sz w:val="28"/>
                <w:szCs w:val="28"/>
                <w:highlight w:val="red"/>
              </w:rPr>
            </w:pPr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46E304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sz w:val="28"/>
                <w:szCs w:val="28"/>
                <w:highlight w:val="red"/>
              </w:rPr>
            </w:pPr>
          </w:p>
        </w:tc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F674EB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sz w:val="28"/>
                <w:szCs w:val="28"/>
                <w:highlight w:val="red"/>
              </w:rPr>
            </w:pPr>
          </w:p>
        </w:tc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1CBDBA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sz w:val="28"/>
                <w:szCs w:val="28"/>
                <w:highlight w:val="red"/>
              </w:rPr>
            </w:pPr>
          </w:p>
        </w:tc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C16634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sz w:val="28"/>
                <w:szCs w:val="28"/>
                <w:highlight w:val="red"/>
              </w:rPr>
            </w:pPr>
          </w:p>
        </w:tc>
      </w:tr>
      <w:tr w14:paraId="5762C9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3A23A7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sz w:val="28"/>
                <w:szCs w:val="28"/>
                <w:highlight w:val="red"/>
              </w:rPr>
            </w:pPr>
          </w:p>
        </w:tc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76A67D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sz w:val="28"/>
                <w:szCs w:val="28"/>
                <w:highlight w:val="red"/>
              </w:rPr>
            </w:pP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DE0E1B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sz w:val="28"/>
                <w:szCs w:val="28"/>
                <w:highlight w:val="red"/>
              </w:rPr>
            </w:pPr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D01605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sz w:val="28"/>
                <w:szCs w:val="28"/>
                <w:highlight w:val="red"/>
              </w:rPr>
            </w:pPr>
          </w:p>
        </w:tc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91301A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sz w:val="28"/>
                <w:szCs w:val="28"/>
                <w:highlight w:val="red"/>
              </w:rPr>
            </w:pPr>
          </w:p>
        </w:tc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0A0316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sz w:val="28"/>
                <w:szCs w:val="28"/>
                <w:highlight w:val="red"/>
              </w:rPr>
            </w:pPr>
          </w:p>
        </w:tc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B1F2E1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sz w:val="28"/>
                <w:szCs w:val="28"/>
                <w:highlight w:val="red"/>
              </w:rPr>
            </w:pPr>
          </w:p>
        </w:tc>
      </w:tr>
      <w:tr w14:paraId="016A65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9649B9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sz w:val="28"/>
                <w:szCs w:val="28"/>
                <w:highlight w:val="red"/>
              </w:rPr>
            </w:pPr>
          </w:p>
        </w:tc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971D37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sz w:val="28"/>
                <w:szCs w:val="28"/>
                <w:highlight w:val="red"/>
              </w:rPr>
            </w:pP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48AD1C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sz w:val="28"/>
                <w:szCs w:val="28"/>
                <w:highlight w:val="red"/>
              </w:rPr>
            </w:pPr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25D4C1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sz w:val="28"/>
                <w:szCs w:val="28"/>
                <w:highlight w:val="red"/>
              </w:rPr>
            </w:pPr>
          </w:p>
        </w:tc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A03B9C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sz w:val="28"/>
                <w:szCs w:val="28"/>
                <w:highlight w:val="red"/>
              </w:rPr>
            </w:pPr>
          </w:p>
        </w:tc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74D886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sz w:val="28"/>
                <w:szCs w:val="28"/>
                <w:highlight w:val="red"/>
              </w:rPr>
            </w:pPr>
          </w:p>
        </w:tc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474246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sz w:val="28"/>
                <w:szCs w:val="28"/>
                <w:highlight w:val="red"/>
              </w:rPr>
            </w:pPr>
          </w:p>
        </w:tc>
      </w:tr>
      <w:tr w14:paraId="6B99F2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35D0F4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sz w:val="28"/>
                <w:szCs w:val="28"/>
                <w:highlight w:val="red"/>
              </w:rPr>
            </w:pPr>
          </w:p>
        </w:tc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9E10A8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sz w:val="28"/>
                <w:szCs w:val="28"/>
                <w:highlight w:val="red"/>
              </w:rPr>
            </w:pP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F1EC26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sz w:val="28"/>
                <w:szCs w:val="28"/>
                <w:highlight w:val="red"/>
              </w:rPr>
            </w:pPr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FD55F5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sz w:val="28"/>
                <w:szCs w:val="28"/>
                <w:highlight w:val="red"/>
              </w:rPr>
            </w:pPr>
          </w:p>
        </w:tc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44B517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sz w:val="28"/>
                <w:szCs w:val="28"/>
                <w:highlight w:val="red"/>
              </w:rPr>
            </w:pPr>
          </w:p>
        </w:tc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8015AF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sz w:val="28"/>
                <w:szCs w:val="28"/>
                <w:highlight w:val="red"/>
              </w:rPr>
            </w:pPr>
          </w:p>
        </w:tc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7C0C31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sz w:val="28"/>
                <w:szCs w:val="28"/>
                <w:highlight w:val="red"/>
              </w:rPr>
            </w:pPr>
          </w:p>
        </w:tc>
      </w:tr>
    </w:tbl>
    <w:p w14:paraId="0CD8A6AF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注：</w:t>
      </w:r>
    </w:p>
    <w:p w14:paraId="7568B781">
      <w:pPr>
        <w:spacing w:line="360" w:lineRule="auto"/>
        <w:rPr>
          <w:rFonts w:hint="eastAsia"/>
          <w:sz w:val="22"/>
          <w:szCs w:val="22"/>
        </w:rPr>
      </w:pPr>
      <w:r>
        <w:rPr>
          <w:sz w:val="22"/>
          <w:szCs w:val="22"/>
        </w:rPr>
        <w:t>1.</w:t>
      </w:r>
      <w:r>
        <w:rPr>
          <w:rFonts w:hint="eastAsia"/>
          <w:sz w:val="22"/>
          <w:szCs w:val="22"/>
        </w:rPr>
        <w:t>以上表格格式行、列可增减。</w:t>
      </w:r>
    </w:p>
    <w:p w14:paraId="13E0E82F">
      <w:pPr>
        <w:spacing w:line="360" w:lineRule="auto"/>
        <w:rPr>
          <w:rFonts w:hint="eastAsia"/>
          <w:sz w:val="22"/>
          <w:szCs w:val="22"/>
        </w:rPr>
      </w:pPr>
      <w:r>
        <w:rPr>
          <w:rFonts w:hint="eastAsia"/>
          <w:sz w:val="22"/>
          <w:szCs w:val="22"/>
          <w:lang w:val="en-US" w:eastAsia="zh-CN"/>
        </w:rPr>
        <w:t>2</w:t>
      </w:r>
      <w:r>
        <w:rPr>
          <w:rFonts w:hint="eastAsia"/>
          <w:sz w:val="22"/>
          <w:szCs w:val="22"/>
        </w:rPr>
        <w:t>.供应商根据采购项目的全部技术参数逐条填写此表</w:t>
      </w:r>
      <w:r>
        <w:rPr>
          <w:rFonts w:hint="eastAsia"/>
          <w:sz w:val="22"/>
          <w:szCs w:val="22"/>
          <w:lang w:eastAsia="zh-CN"/>
        </w:rPr>
        <w:t>，</w:t>
      </w:r>
      <w:r>
        <w:rPr>
          <w:rFonts w:hint="eastAsia"/>
          <w:sz w:val="22"/>
          <w:szCs w:val="22"/>
          <w:lang w:val="en-US" w:eastAsia="zh-CN"/>
        </w:rPr>
        <w:t>并在偏离情况</w:t>
      </w:r>
      <w:r>
        <w:rPr>
          <w:rFonts w:hint="eastAsia"/>
          <w:sz w:val="22"/>
          <w:szCs w:val="22"/>
        </w:rPr>
        <w:t>栏中标注“正偏离”或“负偏离”</w:t>
      </w:r>
      <w:r>
        <w:rPr>
          <w:rFonts w:hint="eastAsia"/>
          <w:sz w:val="22"/>
          <w:szCs w:val="22"/>
          <w:lang w:val="en-US" w:eastAsia="zh-CN"/>
        </w:rPr>
        <w:t>或</w:t>
      </w:r>
      <w:r>
        <w:rPr>
          <w:rFonts w:hint="eastAsia"/>
          <w:sz w:val="22"/>
          <w:szCs w:val="22"/>
        </w:rPr>
        <w:t>“无偏离”，</w:t>
      </w:r>
      <w:r>
        <w:rPr>
          <w:rFonts w:hint="eastAsia"/>
          <w:sz w:val="22"/>
          <w:szCs w:val="22"/>
          <w:lang w:val="en-US" w:eastAsia="zh-CN"/>
        </w:rPr>
        <w:t>有偏离的条款需在偏离简诉</w:t>
      </w:r>
      <w:r>
        <w:rPr>
          <w:rFonts w:hint="eastAsia"/>
          <w:sz w:val="22"/>
          <w:szCs w:val="22"/>
        </w:rPr>
        <w:t>栏中加以说明。</w:t>
      </w:r>
    </w:p>
    <w:p w14:paraId="5B10A0CA">
      <w:pPr>
        <w:spacing w:line="360" w:lineRule="auto"/>
        <w:rPr>
          <w:rFonts w:hint="eastAsia"/>
          <w:sz w:val="22"/>
          <w:szCs w:val="22"/>
          <w:lang w:val="en-US" w:eastAsia="zh-CN"/>
        </w:rPr>
      </w:pPr>
      <w:r>
        <w:rPr>
          <w:rFonts w:hint="eastAsia"/>
          <w:sz w:val="22"/>
          <w:szCs w:val="22"/>
          <w:lang w:val="en-US" w:eastAsia="zh-CN"/>
        </w:rPr>
        <w:t>3.响应</w:t>
      </w:r>
      <w:r>
        <w:rPr>
          <w:rFonts w:hint="eastAsia"/>
          <w:sz w:val="22"/>
          <w:szCs w:val="22"/>
        </w:rPr>
        <w:t>文件技术参数指标响应内容必须按照</w:t>
      </w:r>
      <w:r>
        <w:rPr>
          <w:rFonts w:hint="eastAsia"/>
          <w:sz w:val="22"/>
          <w:szCs w:val="22"/>
          <w:lang w:val="en-US" w:eastAsia="zh-CN"/>
        </w:rPr>
        <w:t>所</w:t>
      </w:r>
      <w:r>
        <w:rPr>
          <w:rFonts w:hint="eastAsia"/>
          <w:sz w:val="22"/>
          <w:szCs w:val="22"/>
        </w:rPr>
        <w:t>投产品实际参数指标填写，与</w:t>
      </w:r>
      <w:r>
        <w:rPr>
          <w:rFonts w:hint="eastAsia"/>
          <w:sz w:val="22"/>
          <w:szCs w:val="22"/>
          <w:lang w:val="en-US" w:eastAsia="zh-CN"/>
        </w:rPr>
        <w:t>有效</w:t>
      </w:r>
      <w:r>
        <w:rPr>
          <w:rFonts w:hint="eastAsia"/>
          <w:sz w:val="22"/>
          <w:szCs w:val="22"/>
        </w:rPr>
        <w:t>证明材料一致</w:t>
      </w:r>
      <w:r>
        <w:rPr>
          <w:rFonts w:hint="eastAsia"/>
          <w:sz w:val="22"/>
          <w:szCs w:val="22"/>
          <w:lang w:eastAsia="zh-CN"/>
        </w:rPr>
        <w:t>，</w:t>
      </w:r>
      <w:r>
        <w:rPr>
          <w:rFonts w:hint="eastAsia"/>
          <w:sz w:val="22"/>
          <w:szCs w:val="22"/>
          <w:lang w:val="en-US" w:eastAsia="zh-CN"/>
        </w:rPr>
        <w:t>须</w:t>
      </w:r>
      <w:r>
        <w:rPr>
          <w:rFonts w:hint="eastAsia"/>
          <w:sz w:val="22"/>
          <w:szCs w:val="22"/>
        </w:rPr>
        <w:t>在</w:t>
      </w:r>
      <w:r>
        <w:rPr>
          <w:rFonts w:hint="eastAsia"/>
          <w:sz w:val="22"/>
          <w:szCs w:val="22"/>
          <w:lang w:val="en-US" w:eastAsia="zh-CN"/>
        </w:rPr>
        <w:t>证明材料页码栏中</w:t>
      </w:r>
      <w:r>
        <w:rPr>
          <w:rFonts w:hint="eastAsia"/>
          <w:sz w:val="22"/>
          <w:szCs w:val="22"/>
        </w:rPr>
        <w:t>标明证明材料所在页码</w:t>
      </w:r>
      <w:r>
        <w:rPr>
          <w:rFonts w:hint="eastAsia"/>
          <w:sz w:val="22"/>
          <w:szCs w:val="22"/>
          <w:lang w:eastAsia="zh-CN"/>
        </w:rPr>
        <w:t>，</w:t>
      </w:r>
      <w:r>
        <w:rPr>
          <w:rFonts w:hint="eastAsia"/>
          <w:sz w:val="22"/>
          <w:szCs w:val="22"/>
          <w:lang w:val="en-US" w:eastAsia="zh-CN"/>
        </w:rPr>
        <w:t>无证明材料或响应数据与证明材料不符均视为负偏离或虚假应标。</w:t>
      </w:r>
    </w:p>
    <w:p w14:paraId="4B9485A9">
      <w:pPr>
        <w:spacing w:line="360" w:lineRule="auto"/>
        <w:rPr>
          <w:rFonts w:hint="default"/>
          <w:sz w:val="22"/>
          <w:szCs w:val="22"/>
          <w:lang w:val="en-US" w:eastAsia="zh-CN"/>
        </w:rPr>
      </w:pPr>
      <w:r>
        <w:rPr>
          <w:rFonts w:hint="eastAsia"/>
          <w:sz w:val="22"/>
          <w:szCs w:val="22"/>
          <w:lang w:val="en-US" w:eastAsia="zh-CN"/>
        </w:rPr>
        <w:t>4.</w:t>
      </w:r>
      <w:r>
        <w:rPr>
          <w:rFonts w:hint="eastAsia"/>
          <w:sz w:val="24"/>
          <w:szCs w:val="24"/>
        </w:rPr>
        <w:t>不得直接将采购文件的技术参数指标要求完全复制作为</w:t>
      </w:r>
      <w:r>
        <w:rPr>
          <w:rFonts w:hint="eastAsia"/>
          <w:sz w:val="24"/>
          <w:szCs w:val="24"/>
          <w:lang w:val="en-US" w:eastAsia="zh-CN"/>
        </w:rPr>
        <w:t>谈判响应</w:t>
      </w:r>
      <w:r>
        <w:rPr>
          <w:rFonts w:hint="eastAsia"/>
          <w:sz w:val="24"/>
          <w:szCs w:val="24"/>
        </w:rPr>
        <w:t>文件</w:t>
      </w:r>
      <w:r>
        <w:rPr>
          <w:rFonts w:hint="eastAsia"/>
          <w:sz w:val="24"/>
          <w:szCs w:val="24"/>
          <w:lang w:val="en-US" w:eastAsia="zh-CN"/>
        </w:rPr>
        <w:t>的</w:t>
      </w:r>
      <w:r>
        <w:rPr>
          <w:rFonts w:hint="eastAsia"/>
          <w:sz w:val="24"/>
          <w:szCs w:val="24"/>
        </w:rPr>
        <w:t>响应内容</w:t>
      </w:r>
      <w:r>
        <w:rPr>
          <w:rFonts w:hint="eastAsia"/>
          <w:sz w:val="24"/>
          <w:szCs w:val="24"/>
          <w:lang w:eastAsia="zh-CN"/>
        </w:rPr>
        <w:t>。</w:t>
      </w:r>
    </w:p>
    <w:p w14:paraId="49678C6F">
      <w:pPr>
        <w:spacing w:line="360" w:lineRule="auto"/>
        <w:rPr>
          <w:rFonts w:hint="eastAsia"/>
          <w:sz w:val="24"/>
          <w:szCs w:val="24"/>
          <w:lang w:eastAsia="zh-CN"/>
        </w:rPr>
      </w:pPr>
      <w:bookmarkStart w:id="0" w:name="_GoBack"/>
      <w:bookmarkEnd w:id="0"/>
    </w:p>
    <w:p w14:paraId="27EC22FE">
      <w:pPr>
        <w:spacing w:line="360" w:lineRule="auto"/>
        <w:rPr>
          <w:rFonts w:hint="eastAsia"/>
          <w:sz w:val="24"/>
          <w:szCs w:val="24"/>
          <w:lang w:eastAsia="zh-CN"/>
        </w:rPr>
      </w:pPr>
    </w:p>
    <w:p w14:paraId="1F26DD55">
      <w:pPr>
        <w:spacing w:line="360" w:lineRule="auto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宋体" w:hAnsi="宋体" w:eastAsia="宋体" w:cs="宋体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2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685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252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7299E01"/>
    <w:rsid w:val="00232381"/>
    <w:rsid w:val="00366213"/>
    <w:rsid w:val="004A4EC7"/>
    <w:rsid w:val="004E088D"/>
    <w:rsid w:val="00536A98"/>
    <w:rsid w:val="00874F67"/>
    <w:rsid w:val="009C4EAF"/>
    <w:rsid w:val="00A5507E"/>
    <w:rsid w:val="00E752CD"/>
    <w:rsid w:val="00EF7F84"/>
    <w:rsid w:val="0F6E111A"/>
    <w:rsid w:val="20DF7F26"/>
    <w:rsid w:val="2C516580"/>
    <w:rsid w:val="2EB529CB"/>
    <w:rsid w:val="3619454C"/>
    <w:rsid w:val="381B1E18"/>
    <w:rsid w:val="442561D0"/>
    <w:rsid w:val="543409CE"/>
    <w:rsid w:val="67299E01"/>
    <w:rsid w:val="6894168D"/>
    <w:rsid w:val="6B705704"/>
    <w:rsid w:val="6CA34594"/>
    <w:rsid w:val="7ED24865"/>
    <w:rsid w:val="FBFF9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iPriority="99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link w:val="11"/>
    <w:unhideWhenUsed/>
    <w:qFormat/>
    <w:uiPriority w:val="0"/>
    <w:pPr>
      <w:keepNext/>
      <w:keepLines/>
      <w:numPr>
        <w:ilvl w:val="2"/>
        <w:numId w:val="1"/>
      </w:numPr>
      <w:spacing w:line="360" w:lineRule="auto"/>
      <w:outlineLvl w:val="2"/>
    </w:pPr>
    <w:rPr>
      <w:rFonts w:ascii="宋体" w:hAnsi="宋体" w:cs="宋体"/>
      <w:b/>
      <w:bCs/>
      <w:color w:val="000000"/>
      <w:kern w:val="0"/>
      <w:sz w:val="28"/>
      <w:szCs w:val="28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2"/>
    <w:unhideWhenUsed/>
    <w:qFormat/>
    <w:uiPriority w:val="0"/>
    <w:pPr>
      <w:jc w:val="left"/>
    </w:pPr>
  </w:style>
  <w:style w:type="paragraph" w:styleId="4">
    <w:name w:val="Body Text"/>
    <w:basedOn w:val="1"/>
    <w:next w:val="1"/>
    <w:qFormat/>
    <w:uiPriority w:val="0"/>
    <w:pPr>
      <w:spacing w:after="120"/>
    </w:pPr>
  </w:style>
  <w:style w:type="paragraph" w:styleId="5">
    <w:name w:val="footer"/>
    <w:basedOn w:val="1"/>
    <w:link w:val="14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toc 2"/>
    <w:basedOn w:val="1"/>
    <w:next w:val="1"/>
    <w:qFormat/>
    <w:uiPriority w:val="0"/>
    <w:pPr>
      <w:tabs>
        <w:tab w:val="left" w:pos="620"/>
        <w:tab w:val="right" w:leader="dot" w:pos="8364"/>
      </w:tabs>
      <w:ind w:left="180"/>
      <w:jc w:val="left"/>
    </w:pPr>
    <w:rPr>
      <w:rFonts w:ascii="华文中宋" w:hAnsi="华文中宋" w:eastAsia="华文中宋"/>
      <w:smallCaps/>
      <w:sz w:val="20"/>
      <w:szCs w:val="20"/>
    </w:rPr>
  </w:style>
  <w:style w:type="character" w:styleId="10">
    <w:name w:val="annotation reference"/>
    <w:basedOn w:val="9"/>
    <w:unhideWhenUsed/>
    <w:qFormat/>
    <w:uiPriority w:val="99"/>
    <w:rPr>
      <w:sz w:val="21"/>
      <w:szCs w:val="21"/>
    </w:rPr>
  </w:style>
  <w:style w:type="character" w:customStyle="1" w:styleId="11">
    <w:name w:val="标题 3 字符"/>
    <w:basedOn w:val="9"/>
    <w:link w:val="2"/>
    <w:qFormat/>
    <w:uiPriority w:val="0"/>
    <w:rPr>
      <w:rFonts w:ascii="宋体" w:hAnsi="宋体" w:eastAsia="宋体" w:cs="宋体"/>
      <w:b/>
      <w:bCs/>
      <w:color w:val="000000"/>
      <w:sz w:val="28"/>
      <w:szCs w:val="28"/>
    </w:rPr>
  </w:style>
  <w:style w:type="character" w:customStyle="1" w:styleId="12">
    <w:name w:val="批注文字 字符"/>
    <w:basedOn w:val="9"/>
    <w:link w:val="3"/>
    <w:qFormat/>
    <w:uiPriority w:val="0"/>
    <w:rPr>
      <w:rFonts w:ascii="Calibri" w:hAnsi="Calibri" w:eastAsia="宋体" w:cs="Times New Roman"/>
      <w:kern w:val="2"/>
      <w:sz w:val="21"/>
      <w:szCs w:val="22"/>
    </w:rPr>
  </w:style>
  <w:style w:type="character" w:customStyle="1" w:styleId="13">
    <w:name w:val="页眉 字符"/>
    <w:basedOn w:val="9"/>
    <w:link w:val="6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4">
    <w:name w:val="页脚 字符"/>
    <w:basedOn w:val="9"/>
    <w:link w:val="5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paragraph" w:customStyle="1" w:styleId="1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271</Words>
  <Characters>274</Characters>
  <Lines>1</Lines>
  <Paragraphs>1</Paragraphs>
  <TotalTime>0</TotalTime>
  <ScaleCrop>false</ScaleCrop>
  <LinksUpToDate>false</LinksUpToDate>
  <CharactersWithSpaces>296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2022-03-16T19:23:00Z</dcterms:created>
  <dc:creator>陕西省政府采购综合管理平台</dc:creator>
  <cp:lastModifiedBy>坏蜀黍～</cp:lastModifiedBy>
  <dcterms:modified xsi:type="dcterms:W3CDTF">2026-08-31T07:21:06Z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eyJoZGlkIjoiYTY0ZTIzYmQyY2UwNWI3Zjc3MDM1YWRkOGUxMjg3NzEiLCJ1c2VySWQiOiIzNTc0NDQ5NTIifQ==</vt:lpwstr>
  </property>
  <property fmtid="{D5CDD505-2E9C-101B-9397-08002B2CF9AE}" pid="4" name="ICV">
    <vt:lpwstr>C77AA02CF1014484A9180C773A990B22_13</vt:lpwstr>
  </property>
</Properties>
</file>