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版本号：SXZL-2026-001.1B120260709001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西延高铁项目(鹿苑辖区)外部环境整治企业厂房加固鹿苑东樊段工程(二次)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SXZL-2026-001.1B1</w:t>
      </w:r>
      <w:r>
        <w:br/>
      </w:r>
      <w:r>
        <w:br/>
      </w:r>
      <w:r>
        <w:br/>
      </w:r>
    </w:p>
    <w:p>
      <w:pPr>
        <w:pStyle w:val="null3"/>
        <w:jc w:val="center"/>
        <w:outlineLvl w:val="2"/>
      </w:pPr>
      <w:r>
        <w:rPr>
          <w:rFonts w:ascii="仿宋_GB2312" w:hAnsi="仿宋_GB2312" w:cs="仿宋_GB2312" w:eastAsia="仿宋_GB2312"/>
          <w:sz w:val="28"/>
          <w:b/>
        </w:rPr>
        <w:t>西安市高陵区鹿苑街道办事处</w:t>
      </w:r>
    </w:p>
    <w:p>
      <w:pPr>
        <w:pStyle w:val="null3"/>
        <w:jc w:val="center"/>
        <w:outlineLvl w:val="2"/>
      </w:pPr>
      <w:r>
        <w:rPr>
          <w:rFonts w:ascii="仿宋_GB2312" w:hAnsi="仿宋_GB2312" w:cs="仿宋_GB2312" w:eastAsia="仿宋_GB2312"/>
          <w:sz w:val="28"/>
          <w:b/>
        </w:rPr>
        <w:t>陕西中磊工程项目管理有限公司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陕西中磊工程项目管理有限公司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西安市高陵区鹿苑街道办事处</w:t>
      </w:r>
      <w:r>
        <w:rPr>
          <w:rFonts w:ascii="仿宋_GB2312" w:hAnsi="仿宋_GB2312" w:cs="仿宋_GB2312" w:eastAsia="仿宋_GB2312"/>
        </w:rPr>
        <w:t>委托，拟对</w:t>
      </w:r>
      <w:r>
        <w:rPr>
          <w:rFonts w:ascii="仿宋_GB2312" w:hAnsi="仿宋_GB2312" w:cs="仿宋_GB2312" w:eastAsia="仿宋_GB2312"/>
        </w:rPr>
        <w:t>西延高铁项目(鹿苑辖区)外部环境整治企业厂房加固鹿苑东樊段工程(二次)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SXZL-2026-001.1B1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西延高铁项目(鹿苑辖区)外部环境整治企业厂房加固鹿苑东樊段工程(二次)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西延⾼铁项⽬(⿅苑辖区)外部环境整治企业⼚房加固⿅苑东樊段⼯程（二次）主要内容为：对西京⽔泥⼚所有⼚房加固，以防构件 松动或撕裂后的安全隐患。具体详⻅⼯程量清单。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采购包1（西延高铁项目(鹿苑辖区)外部环境整治企业厂房加固鹿苑东樊段工程）：属于专门面向中小企业采购。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2、供应商资质要求：供应商须具备建筑工程施工总承包三级及以上资质，同时具有合格有效的营业执照及安全生产许可证。</w:t>
      </w:r>
    </w:p>
    <w:p>
      <w:pPr>
        <w:pStyle w:val="null3"/>
      </w:pPr>
      <w:r>
        <w:rPr>
          <w:rFonts w:ascii="仿宋_GB2312" w:hAnsi="仿宋_GB2312" w:cs="仿宋_GB2312" w:eastAsia="仿宋_GB2312"/>
        </w:rPr>
        <w:t>3、拟派项目经理要求：拟派项目经理具备建筑工程专业二级及以上注册建造师资格及安全考核合格证（B证）。在本单位注册且未担任在建项目的项目经理，提供项目经理无在建承诺书。</w:t>
      </w:r>
    </w:p>
    <w:p>
      <w:pPr>
        <w:pStyle w:val="null3"/>
      </w:pPr>
      <w:r>
        <w:rPr>
          <w:rFonts w:ascii="仿宋_GB2312" w:hAnsi="仿宋_GB2312" w:cs="仿宋_GB2312" w:eastAsia="仿宋_GB2312"/>
        </w:rPr>
        <w:t>4、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财务状况：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w:t>
      </w:r>
    </w:p>
    <w:p>
      <w:pPr>
        <w:pStyle w:val="null3"/>
      </w:pPr>
      <w:r>
        <w:rPr>
          <w:rFonts w:ascii="仿宋_GB2312" w:hAnsi="仿宋_GB2312" w:cs="仿宋_GB2312" w:eastAsia="仿宋_GB2312"/>
        </w:rPr>
        <w:t>7、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8、非联合体投标声明：本项目不接受联合体投标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西安市高陵区鹿苑街道办事处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西安市高陵区鹿苑街道办事处经办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029-86912090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西安市高新区科技三路融城云谷B座1804室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闫彬、张洲飞、陈雨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15202966844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采购包1：3,138,084.22元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代理服务费收费标准：招标代理服务费参照“国家计委关于印发《招标代理服务收费管理暂⾏办 法》的通知国家发改委⽂件计价格〔2002〕1980号、发改办价格〔2003〕857号及发改价格 〔2015〕299号规定按照“⼯程类”项⽬的取费标准，以中标(成交)价为基数计算，下浮3%按照 24217.59元收取，招标代理服务费由成交供应商向采购代理机构⽀付。 成交服务费账户： 开户名称：陕西中磊⼯程项⽬管理有限公司 开户银⾏：中国农业银⾏西安科技路⽀⾏ 账 号：26136501040005047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西安市高陵区鹿苑街道办事处</w:t>
      </w:r>
      <w:r>
        <w:rPr>
          <w:rFonts w:ascii="仿宋_GB2312" w:hAnsi="仿宋_GB2312" w:cs="仿宋_GB2312" w:eastAsia="仿宋_GB2312"/>
        </w:rPr>
        <w:t>和</w:t>
      </w:r>
      <w:r>
        <w:rPr>
          <w:rFonts w:ascii="仿宋_GB2312" w:hAnsi="仿宋_GB2312" w:cs="仿宋_GB2312" w:eastAsia="仿宋_GB2312"/>
        </w:rPr>
        <w:t>陕西中磊工程项目管理有限公司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西安市高陵区鹿苑街道办事处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西安市高陵区鹿苑街道办事处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陕西中磊工程项目管理有限公司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陕西中磊工程项目管理有限公司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联系人：闫彬、张洲飞、陈雨</w:t>
      </w:r>
    </w:p>
    <w:p>
      <w:pPr>
        <w:pStyle w:val="null3"/>
      </w:pPr>
      <w:r>
        <w:rPr>
          <w:rFonts w:ascii="仿宋_GB2312" w:hAnsi="仿宋_GB2312" w:cs="仿宋_GB2312" w:eastAsia="仿宋_GB2312"/>
        </w:rPr>
        <w:t>联系电话：15202966844</w:t>
      </w:r>
    </w:p>
    <w:p>
      <w:pPr>
        <w:pStyle w:val="null3"/>
      </w:pPr>
      <w:r>
        <w:rPr>
          <w:rFonts w:ascii="仿宋_GB2312" w:hAnsi="仿宋_GB2312" w:cs="仿宋_GB2312" w:eastAsia="仿宋_GB2312"/>
        </w:rPr>
        <w:t>地址：西安市高新区科技三路融城云谷B座1804室</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3,138,084.22</w:t>
      </w:r>
    </w:p>
    <w:p>
      <w:pPr>
        <w:pStyle w:val="null3"/>
      </w:pPr>
      <w:r>
        <w:rPr>
          <w:rFonts w:ascii="仿宋_GB2312" w:hAnsi="仿宋_GB2312" w:cs="仿宋_GB2312" w:eastAsia="仿宋_GB2312"/>
        </w:rPr>
        <w:t>采购包最高限价（元）: 3,138,084.22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西延高铁项目(鹿苑辖区)外部环境整治企业厂房加固鹿苑东樊段工程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3,138,084.22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标的名称：西延高铁项目(鹿苑辖区)外部环境整治企业厂房加固鹿苑东樊段工程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54"/>
              <w:gridCol w:w="182"/>
              <w:gridCol w:w="2063"/>
            </w:tblGrid>
            <w:tr>
              <w:tc>
                <w:tcPr>
                  <w:tcW w:type="dxa" w:w="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both"/>
                  </w:pPr>
                  <w:r>
                    <w:rPr>
                      <w:rFonts w:ascii="仿宋_GB2312" w:hAnsi="仿宋_GB2312" w:cs="仿宋_GB2312" w:eastAsia="仿宋_GB2312"/>
                      <w:sz w:val="21"/>
                      <w:color w:val="000000"/>
                    </w:rPr>
                    <w:t>参数性质</w:t>
                  </w:r>
                </w:p>
              </w:tc>
              <w:tc>
                <w:tcPr>
                  <w:tcW w:type="dxa" w:w="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both"/>
                  </w:pPr>
                  <w:r>
                    <w:rPr>
                      <w:rFonts w:ascii="仿宋_GB2312" w:hAnsi="仿宋_GB2312" w:cs="仿宋_GB2312" w:eastAsia="仿宋_GB2312"/>
                      <w:sz w:val="21"/>
                      <w:color w:val="000000"/>
                    </w:rPr>
                    <w:t>序号</w:t>
                  </w:r>
                </w:p>
              </w:tc>
              <w:tc>
                <w:tcPr>
                  <w:tcW w:type="dxa" w:w="20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jc w:val="both"/>
                  </w:pPr>
                  <w:r>
                    <w:rPr>
                      <w:rFonts w:ascii="仿宋_GB2312" w:hAnsi="仿宋_GB2312" w:cs="仿宋_GB2312" w:eastAsia="仿宋_GB2312"/>
                      <w:sz w:val="21"/>
                      <w:color w:val="000000"/>
                    </w:rPr>
                    <w:t>技术参数与性能指标</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jc w:val="both"/>
                  </w:pPr>
                </w:p>
              </w:tc>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1</w:t>
                  </w:r>
                </w:p>
              </w:tc>
              <w:tc>
                <w:tcPr>
                  <w:tcW w:type="dxa" w:w="20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pPr>
                  <w:r>
                    <w:rPr>
                      <w:rFonts w:ascii="仿宋_GB2312" w:hAnsi="仿宋_GB2312" w:cs="仿宋_GB2312" w:eastAsia="仿宋_GB2312"/>
                      <w:sz w:val="21"/>
                      <w:color w:val="000000"/>
                    </w:rPr>
                    <w:t>（一）工程内容：对西京水泥厂所有厂房加固，以防构件松动或撕裂后的安全隐患。预估工程量为：</w:t>
                  </w:r>
                  <w:r>
                    <w:rPr>
                      <w:rFonts w:ascii="仿宋_GB2312" w:hAnsi="仿宋_GB2312" w:cs="仿宋_GB2312" w:eastAsia="仿宋_GB2312"/>
                      <w:sz w:val="19"/>
                      <w:color w:val="000000"/>
                    </w:rPr>
                    <w:t>52987.62</w:t>
                  </w:r>
                  <w:r>
                    <w:rPr>
                      <w:rFonts w:ascii="仿宋_GB2312" w:hAnsi="仿宋_GB2312" w:cs="仿宋_GB2312" w:eastAsia="仿宋_GB2312"/>
                      <w:sz w:val="24"/>
                    </w:rPr>
                    <w:t>㎡</w:t>
                  </w:r>
                  <w:r>
                    <w:rPr>
                      <w:rFonts w:ascii="仿宋_GB2312" w:hAnsi="仿宋_GB2312" w:cs="仿宋_GB2312" w:eastAsia="仿宋_GB2312"/>
                      <w:sz w:val="21"/>
                      <w:color w:val="000000"/>
                    </w:rPr>
                    <w:t>，以现场实际测量面积为准。</w:t>
                  </w:r>
                </w:p>
                <w:p>
                  <w:pPr>
                    <w:pStyle w:val="null3"/>
                    <w:spacing w:before="180"/>
                    <w:ind w:left="555"/>
                  </w:pPr>
                  <w:r>
                    <w:rPr>
                      <w:rFonts w:ascii="仿宋_GB2312" w:hAnsi="仿宋_GB2312" w:cs="仿宋_GB2312" w:eastAsia="仿宋_GB2312"/>
                      <w:sz w:val="21"/>
                      <w:color w:val="000000"/>
                    </w:rPr>
                    <w:t>（二）工程地点：陕西省西安市高陵区鹿苑街道。</w:t>
                  </w:r>
                </w:p>
                <w:p>
                  <w:pPr>
                    <w:pStyle w:val="null3"/>
                    <w:spacing w:before="180"/>
                    <w:ind w:left="555"/>
                    <w:jc w:val="both"/>
                  </w:pPr>
                  <w:r>
                    <w:rPr>
                      <w:rFonts w:ascii="仿宋_GB2312" w:hAnsi="仿宋_GB2312" w:cs="仿宋_GB2312" w:eastAsia="仿宋_GB2312"/>
                      <w:sz w:val="21"/>
                      <w:color w:val="000000"/>
                    </w:rPr>
                    <w:t>（三）计划工期：自进场之日起</w:t>
                  </w:r>
                  <w:r>
                    <w:rPr>
                      <w:rFonts w:ascii="仿宋_GB2312" w:hAnsi="仿宋_GB2312" w:cs="仿宋_GB2312" w:eastAsia="仿宋_GB2312"/>
                      <w:sz w:val="21"/>
                      <w:color w:val="000000"/>
                    </w:rPr>
                    <w:t>60个日历日</w:t>
                  </w:r>
                </w:p>
                <w:p>
                  <w:pPr>
                    <w:pStyle w:val="null3"/>
                    <w:spacing w:before="180"/>
                    <w:ind w:left="555"/>
                    <w:jc w:val="both"/>
                  </w:pPr>
                  <w:r>
                    <w:rPr>
                      <w:rFonts w:ascii="仿宋_GB2312" w:hAnsi="仿宋_GB2312" w:cs="仿宋_GB2312" w:eastAsia="仿宋_GB2312"/>
                      <w:sz w:val="21"/>
                      <w:color w:val="000000"/>
                    </w:rPr>
                    <w:t>（四）缺陷责任期：自实际交工日期起计算</w:t>
                  </w:r>
                  <w:r>
                    <w:rPr>
                      <w:rFonts w:ascii="仿宋_GB2312" w:hAnsi="仿宋_GB2312" w:cs="仿宋_GB2312" w:eastAsia="仿宋_GB2312"/>
                      <w:sz w:val="21"/>
                      <w:color w:val="000000"/>
                    </w:rPr>
                    <w:t>2年</w:t>
                  </w:r>
                </w:p>
                <w:p>
                  <w:pPr>
                    <w:pStyle w:val="null3"/>
                    <w:spacing w:before="180"/>
                    <w:ind w:left="555"/>
                    <w:jc w:val="both"/>
                  </w:pPr>
                  <w:r>
                    <w:rPr>
                      <w:rFonts w:ascii="仿宋_GB2312" w:hAnsi="仿宋_GB2312" w:cs="仿宋_GB2312" w:eastAsia="仿宋_GB2312"/>
                      <w:sz w:val="21"/>
                      <w:color w:val="000000"/>
                    </w:rPr>
                    <w:t>（五）质量保修期：按照《建设工程质量管理条例》规定。</w:t>
                  </w:r>
                </w:p>
                <w:p>
                  <w:pPr>
                    <w:pStyle w:val="null3"/>
                    <w:spacing w:before="180"/>
                    <w:ind w:left="555"/>
                    <w:jc w:val="both"/>
                  </w:pPr>
                  <w:r>
                    <w:rPr>
                      <w:rFonts w:ascii="仿宋_GB2312" w:hAnsi="仿宋_GB2312" w:cs="仿宋_GB2312" w:eastAsia="仿宋_GB2312"/>
                      <w:sz w:val="21"/>
                      <w:color w:val="000000"/>
                    </w:rPr>
                    <w:t>（六）工程量清单编制依据：</w:t>
                  </w:r>
                  <w:r>
                    <w:rPr>
                      <w:rFonts w:ascii="仿宋_GB2312" w:hAnsi="仿宋_GB2312" w:cs="仿宋_GB2312" w:eastAsia="仿宋_GB2312"/>
                      <w:sz w:val="21"/>
                      <w:color w:val="000000"/>
                    </w:rPr>
                    <w:t>《陕西省建设工程工程量清单计价计算标准及计算标准(2025)》、《2025陕西省房屋建筑与装饰工程计价表》、《陕西省建设工程费用规则(2025)》、《陕西省房屋建筑与装饰工程基价表(2025)》、《陕西省通用安装工程基价表(2025)》、《陕西省房屋建筑与装饰工程消耗量定额(2025)》、《陕西省通用安装工程工程消耗量定额(2025)》、《陕西省建设工程施工机械台班费用定额(2025)》、《陕西省建设工程施工仪器仪表台班费用定额(2025)》。</w:t>
                  </w:r>
                </w:p>
                <w:tbl>
                  <w:tblPr>
                    <w:tblInd w:type="dxa" w:w="135"/>
                    <w:tblBorders>
                      <w:top w:val="none" w:color="000000" w:sz="4"/>
                      <w:left w:val="none" w:color="000000" w:sz="4"/>
                      <w:bottom w:val="none" w:color="000000" w:sz="4"/>
                      <w:right w:val="none" w:color="000000" w:sz="4"/>
                      <w:insideH w:val="none"/>
                      <w:insideV w:val="none"/>
                    </w:tblBorders>
                  </w:tblPr>
                  <w:tblGrid>
                    <w:gridCol w:w="179"/>
                    <w:gridCol w:w="365"/>
                    <w:gridCol w:w="477"/>
                    <w:gridCol w:w="407"/>
                    <w:gridCol w:w="150"/>
                    <w:gridCol w:w="259"/>
                  </w:tblGrid>
                  <w:tr>
                    <w:tc>
                      <w:tcPr>
                        <w:tcW w:type="dxa" w:w="1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项目编码</w:t>
                        </w:r>
                      </w:p>
                    </w:tc>
                    <w:tc>
                      <w:tcPr>
                        <w:tcW w:type="dxa" w:w="4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项目名称</w:t>
                        </w:r>
                      </w:p>
                    </w:tc>
                    <w:tc>
                      <w:tcPr>
                        <w:tcW w:type="dxa" w:w="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项目特征描述</w:t>
                        </w:r>
                      </w:p>
                    </w:tc>
                    <w:tc>
                      <w:tcPr>
                        <w:tcW w:type="dxa" w:w="1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2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工程数量</w:t>
                        </w:r>
                      </w:p>
                    </w:tc>
                  </w:tr>
                  <w:tr>
                    <w:tc>
                      <w:tcPr>
                        <w:tcW w:type="dxa" w:w="179"/>
                        <w:vMerge/>
                        <w:tcBorders>
                          <w:top w:val="single" w:color="000000" w:sz="4"/>
                          <w:left w:val="singl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07"/>
                        <w:vMerge/>
                        <w:tcBorders>
                          <w:top w:val="single" w:color="000000" w:sz="4"/>
                          <w:left w:val="none" w:color="000000" w:sz="4"/>
                          <w:bottom w:val="single" w:color="000000" w:sz="4"/>
                          <w:right w:val="single" w:color="000000" w:sz="4"/>
                        </w:tcBorders>
                      </w:tcPr>
                      <w:p/>
                    </w:tc>
                    <w:tc>
                      <w:tcPr>
                        <w:tcW w:type="dxa" w:w="150"/>
                        <w:vMerge/>
                        <w:tcBorders>
                          <w:top w:val="single" w:color="000000" w:sz="4"/>
                          <w:left w:val="none" w:color="000000" w:sz="4"/>
                          <w:bottom w:val="single" w:color="000000" w:sz="4"/>
                          <w:right w:val="single" w:color="000000" w:sz="4"/>
                        </w:tcBorders>
                      </w:tcPr>
                      <w:p/>
                    </w:tc>
                    <w:tc>
                      <w:tcPr>
                        <w:tcW w:type="dxa" w:w="259"/>
                        <w:vMerge/>
                        <w:tcBorders>
                          <w:top w:val="single" w:color="000000" w:sz="4"/>
                          <w:left w:val="none" w:color="000000" w:sz="4"/>
                          <w:bottom w:val="single" w:color="000000" w:sz="4"/>
                          <w:right w:val="single" w:color="000000" w:sz="4"/>
                        </w:tcBorders>
                      </w:tc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01B001</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彩钢房镀锌扁铁加固</w:t>
                        </w:r>
                      </w:p>
                    </w:tc>
                    <w:tc>
                      <w:tcPr>
                        <w:tcW w:type="dxa" w:w="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1.部位:厂区内骨料间、生产车间、大门出入口等部位；</w:t>
                        </w:r>
                        <w:r>
                          <w:rPr>
                            <w:rFonts w:ascii="仿宋_GB2312" w:hAnsi="仿宋_GB2312" w:cs="仿宋_GB2312" w:eastAsia="仿宋_GB2312"/>
                            <w:sz w:val="18"/>
                            <w:color w:val="000000"/>
                          </w:rPr>
                          <w:t>2.做法:镀锌扁铁十字</w:t>
                        </w:r>
                        <w:r>
                          <w:rPr>
                            <w:rFonts w:ascii="仿宋_GB2312" w:hAnsi="仿宋_GB2312" w:cs="仿宋_GB2312" w:eastAsia="仿宋_GB2312"/>
                            <w:sz w:val="18"/>
                            <w:color w:val="000000"/>
                          </w:rPr>
                          <w:t>交叉敷设加固</w:t>
                        </w:r>
                      </w:p>
                      <w:p>
                        <w:pPr>
                          <w:pStyle w:val="null3"/>
                          <w:jc w:val="both"/>
                        </w:pPr>
                        <w:r>
                          <w:rPr>
                            <w:rFonts w:ascii="仿宋_GB2312" w:hAnsi="仿宋_GB2312" w:cs="仿宋_GB2312" w:eastAsia="仿宋_GB2312"/>
                            <w:sz w:val="18"/>
                            <w:color w:val="000000"/>
                          </w:rPr>
                          <w:t>3.材质:-40×3.5镀锌扁铁，膨胀螺栓固定</w:t>
                        </w:r>
                        <w:r>
                          <w:br/>
                        </w:r>
                        <w:r>
                          <w:rPr>
                            <w:rFonts w:ascii="仿宋_GB2312" w:hAnsi="仿宋_GB2312" w:cs="仿宋_GB2312" w:eastAsia="仿宋_GB2312"/>
                            <w:sz w:val="18"/>
                            <w:color w:val="000000"/>
                          </w:rPr>
                          <w:t xml:space="preserve"> [工作内容]</w:t>
                        </w:r>
                        <w:r>
                          <w:br/>
                        </w:r>
                        <w:r>
                          <w:rPr>
                            <w:rFonts w:ascii="仿宋_GB2312" w:hAnsi="仿宋_GB2312" w:cs="仿宋_GB2312" w:eastAsia="仿宋_GB2312"/>
                            <w:sz w:val="18"/>
                            <w:color w:val="000000"/>
                          </w:rPr>
                          <w:t xml:space="preserve"> 1.高空作业吊车、材料吊装机械到场、架设</w:t>
                        </w:r>
                        <w:r>
                          <w:br/>
                        </w:r>
                        <w:r>
                          <w:rPr>
                            <w:rFonts w:ascii="仿宋_GB2312" w:hAnsi="仿宋_GB2312" w:cs="仿宋_GB2312" w:eastAsia="仿宋_GB2312"/>
                            <w:sz w:val="18"/>
                            <w:color w:val="000000"/>
                          </w:rPr>
                          <w:t xml:space="preserve"> 2.材料装卸、运输</w:t>
                        </w:r>
                        <w:r>
                          <w:rPr>
                            <w:rFonts w:ascii="仿宋_GB2312" w:hAnsi="仿宋_GB2312" w:cs="仿宋_GB2312" w:eastAsia="仿宋_GB2312"/>
                            <w:sz w:val="18"/>
                            <w:color w:val="000000"/>
                          </w:rPr>
                          <w:t>3.打孔、敷设</w:t>
                        </w:r>
                        <w:r>
                          <w:br/>
                        </w:r>
                        <w:r>
                          <w:rPr>
                            <w:rFonts w:ascii="仿宋_GB2312" w:hAnsi="仿宋_GB2312" w:cs="仿宋_GB2312" w:eastAsia="仿宋_GB2312"/>
                            <w:sz w:val="18"/>
                            <w:color w:val="000000"/>
                          </w:rPr>
                          <w:t>4.施工现场清理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52987.62（预估量）</w:t>
                        </w:r>
                      </w:p>
                    </w:tc>
                  </w:tr>
                </w:tbl>
                <w:p>
                  <w:pPr>
                    <w:pStyle w:val="null3"/>
                    <w:spacing w:before="180"/>
                    <w:ind w:left="555"/>
                    <w:jc w:val="both"/>
                  </w:pPr>
                </w:p>
              </w:tc>
            </w:tr>
          </w:tbl>
          <w:p>
            <w:pPr>
              <w:pStyle w:val="null3"/>
            </w:pPr>
            <w:r>
              <w:rPr>
                <w:rFonts w:ascii="仿宋_GB2312" w:hAnsi="仿宋_GB2312" w:cs="仿宋_GB2312" w:eastAsia="仿宋_GB2312"/>
              </w:rPr>
              <w:t>一、供应商针对本项目的施工，必须达到国家及行业现行技术规范标准，符合国家及行业验收合格标准：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pPr>
            <w:r>
              <w:rPr>
                <w:rFonts w:ascii="仿宋_GB2312" w:hAnsi="仿宋_GB2312" w:cs="仿宋_GB2312" w:eastAsia="仿宋_GB2312"/>
              </w:rPr>
              <w:t>二、针对本项目的其他技术服务要求：</w:t>
            </w:r>
          </w:p>
          <w:p>
            <w:pPr>
              <w:pStyle w:val="null3"/>
              <w:spacing w:before="150"/>
              <w:ind w:left="375"/>
              <w:jc w:val="both"/>
            </w:pPr>
            <w:r>
              <w:rPr>
                <w:rFonts w:ascii="仿宋_GB2312" w:hAnsi="仿宋_GB2312" w:cs="仿宋_GB2312" w:eastAsia="仿宋_GB2312"/>
              </w:rPr>
              <w:t>1、施工要求</w:t>
            </w:r>
          </w:p>
          <w:p>
            <w:pPr>
              <w:pStyle w:val="null3"/>
              <w:spacing w:before="150"/>
              <w:ind w:left="375"/>
              <w:jc w:val="both"/>
            </w:pPr>
            <w:r>
              <w:rPr>
                <w:rFonts w:ascii="仿宋_GB2312" w:hAnsi="仿宋_GB2312" w:cs="仿宋_GB2312" w:eastAsia="仿宋_GB2312"/>
              </w:rPr>
              <w:t>在施工期间，中标供应商必须注意人员安全，加强安全措施，并对施工人员进行安全教育。施工人员必须持证上岗。中标供应商应对施工现场的安全负责，在整个施工过程中，不得出现任何事故，否则由此造成的一切后果均由中标供应商承担;若因本项目合同履行造成采购人、中标供应商、各方工作人员或任意第三方人身损害或财产损失的，由中标供应商承担全部责任，若采购人因此遭到索赔的，有权向中标供应商追偿。</w:t>
            </w:r>
          </w:p>
          <w:p>
            <w:pPr>
              <w:pStyle w:val="null3"/>
            </w:pPr>
            <w:r>
              <w:rPr>
                <w:rFonts w:ascii="仿宋_GB2312" w:hAnsi="仿宋_GB2312" w:cs="仿宋_GB2312" w:eastAsia="仿宋_GB2312"/>
                <w:b/>
              </w:rPr>
              <w:t>三、商务要求</w:t>
            </w:r>
          </w:p>
          <w:p>
            <w:pPr>
              <w:pStyle w:val="null3"/>
            </w:pPr>
            <w:r>
              <w:rPr>
                <w:rFonts w:ascii="仿宋_GB2312" w:hAnsi="仿宋_GB2312" w:cs="仿宋_GB2312" w:eastAsia="仿宋_GB2312"/>
              </w:rPr>
              <w:t>1、合同价款约定：全费用综合单价包干。</w:t>
            </w:r>
          </w:p>
          <w:p>
            <w:pPr>
              <w:pStyle w:val="null3"/>
            </w:pPr>
            <w:r>
              <w:rPr>
                <w:rFonts w:ascii="仿宋_GB2312" w:hAnsi="仿宋_GB2312" w:cs="仿宋_GB2312" w:eastAsia="仿宋_GB2312"/>
              </w:rPr>
              <w:t>全费用综合单价包含但不限于完成本工程的直接费、间接费、保险费、利润和税金以及供应商必须花费的其他费用，并全面考虑所有风险和责任、义务等的全部费用。</w:t>
            </w:r>
          </w:p>
          <w:p>
            <w:pPr>
              <w:pStyle w:val="null3"/>
            </w:pPr>
            <w:r>
              <w:rPr>
                <w:rFonts w:ascii="仿宋_GB2312" w:hAnsi="仿宋_GB2312" w:cs="仿宋_GB2312" w:eastAsia="仿宋_GB2312"/>
              </w:rPr>
              <w:t>2、付款方式：合同签订后支付合同价款的30%作为预付款，工程竣工、验收合格后15个工作日内支付至合同价款的75%；经财政部门审核后支付剩余合同结算价。</w:t>
            </w:r>
          </w:p>
          <w:p>
            <w:pPr>
              <w:pStyle w:val="null3"/>
            </w:pPr>
            <w:r>
              <w:rPr>
                <w:rFonts w:ascii="仿宋_GB2312" w:hAnsi="仿宋_GB2312" w:cs="仿宋_GB2312" w:eastAsia="仿宋_GB2312"/>
              </w:rPr>
              <w:t>3、合同结算价：按实际施工面积及全费用单价据实结算。</w:t>
            </w:r>
          </w:p>
          <w:p>
            <w:pPr>
              <w:pStyle w:val="null3"/>
            </w:pPr>
            <w:r>
              <w:rPr>
                <w:rFonts w:ascii="仿宋_GB2312" w:hAnsi="仿宋_GB2312" w:cs="仿宋_GB2312" w:eastAsia="仿宋_GB2312"/>
              </w:rPr>
              <w:t>4、付款依据：满足付款条件的情况下，供应商出具符合国家财税规定的发票，否则采购人有权延迟履行付款义务。如因供应商缘故导致采购人无法按时付款，采购人不承担违约责任。</w:t>
            </w:r>
          </w:p>
          <w:p>
            <w:pPr>
              <w:pStyle w:val="null3"/>
            </w:pPr>
            <w:r>
              <w:rPr>
                <w:rFonts w:ascii="仿宋_GB2312" w:hAnsi="仿宋_GB2312" w:cs="仿宋_GB2312" w:eastAsia="仿宋_GB2312"/>
              </w:rPr>
              <w:t>5、单价最高限价：59.22元/㎡；投标总报价=单价最高限价*预估量（小于等于投标总报价则为有效报价，大于投标总报价按无效投标文件处理）</w:t>
            </w:r>
          </w:p>
          <w:p>
            <w:pPr>
              <w:pStyle w:val="null3"/>
            </w:pPr>
            <w:r>
              <w:rPr>
                <w:rFonts w:ascii="仿宋_GB2312" w:hAnsi="仿宋_GB2312" w:cs="仿宋_GB2312" w:eastAsia="仿宋_GB2312"/>
              </w:rPr>
              <w:t>6、违约责任</w:t>
            </w:r>
          </w:p>
          <w:p>
            <w:pPr>
              <w:pStyle w:val="null3"/>
            </w:pPr>
            <w:r>
              <w:rPr>
                <w:rFonts w:ascii="仿宋_GB2312" w:hAnsi="仿宋_GB2312" w:cs="仿宋_GB2312" w:eastAsia="仿宋_GB2312"/>
              </w:rPr>
              <w:t>6.1、按《中华人民共和国民法典》等相关法律法规中的相关条款执行。</w:t>
            </w:r>
          </w:p>
          <w:p>
            <w:pPr>
              <w:pStyle w:val="null3"/>
            </w:pPr>
            <w:r>
              <w:rPr>
                <w:rFonts w:ascii="仿宋_GB2312" w:hAnsi="仿宋_GB2312" w:cs="仿宋_GB2312" w:eastAsia="仿宋_GB2312"/>
              </w:rPr>
              <w:t>6.2、未按合同要求提供材料或工程质量达不到国家标准要求，由供应商负责整改，并承担相关费用，由此引起一切经济损失及影响由供应商承担。</w:t>
            </w:r>
          </w:p>
          <w:p>
            <w:pPr>
              <w:pStyle w:val="null3"/>
            </w:pPr>
            <w:r>
              <w:rPr>
                <w:rFonts w:ascii="仿宋_GB2312" w:hAnsi="仿宋_GB2312" w:cs="仿宋_GB2312" w:eastAsia="仿宋_GB2312"/>
              </w:rPr>
              <w:t>7、技术标准和要求</w:t>
            </w:r>
          </w:p>
          <w:p>
            <w:pPr>
              <w:pStyle w:val="null3"/>
            </w:pPr>
            <w:r>
              <w:rPr>
                <w:rFonts w:ascii="仿宋_GB2312" w:hAnsi="仿宋_GB2312" w:cs="仿宋_GB2312" w:eastAsia="仿宋_GB2312"/>
              </w:rPr>
              <w:t>7.1、本工程在施工过程中，如果国家或有关部门颁布了新的技术标准或规范，则供应商应采用新的标准或规范进行实施。过程和成果必须符合国家有关工程建设标准强制性条文和国家或有关部门关于现行的标准、规范、规程、定额、办法、示例，以及陕西省关于工程施工方面的文件、规定。</w:t>
            </w:r>
          </w:p>
          <w:p>
            <w:pPr>
              <w:pStyle w:val="null3"/>
            </w:pPr>
            <w:r>
              <w:rPr>
                <w:rFonts w:ascii="仿宋_GB2312" w:hAnsi="仿宋_GB2312" w:cs="仿宋_GB2312" w:eastAsia="仿宋_GB2312"/>
              </w:rPr>
              <w:t>7.2、供应商在实施过程中使用或参考上述标准、规范以外的技术标准、规范时，应征得采购人或采购人指定代表人的同意。</w:t>
            </w:r>
          </w:p>
          <w:p>
            <w:pPr>
              <w:pStyle w:val="null3"/>
            </w:pPr>
            <w:r>
              <w:rPr>
                <w:rFonts w:ascii="仿宋_GB2312" w:hAnsi="仿宋_GB2312" w:cs="仿宋_GB2312" w:eastAsia="仿宋_GB2312"/>
              </w:rPr>
              <w:t>四、其他说明</w:t>
            </w:r>
          </w:p>
          <w:p>
            <w:pPr>
              <w:pStyle w:val="null3"/>
            </w:pPr>
            <w:r>
              <w:rPr>
                <w:rFonts w:ascii="仿宋_GB2312" w:hAnsi="仿宋_GB2312" w:cs="仿宋_GB2312" w:eastAsia="仿宋_GB2312"/>
              </w:rPr>
              <w:t>中标（成交）供应商在开标结束后3个工作日内向代理机构提供纸质版响应文件，响应文件为正本一份，副本二份，电子U盘二个（U盘内容包括Word版本、签字盖章扫描后的PDF版本响应文件及广联达版本报价）。纸质响应文件均须A4纸打印，分别各自装订成册并编制目录和页码</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国家标准、⾏业标准及采购⼈要求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供应商须具备建筑工程施工总承包三级及以上资质，同时具有合格有效的营业执照及安全生产许可证。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拟派项目经理具备建筑工程专业二级及以上注册建造师资格及安全考核合格证（B证）。在本单位注册且未担任在建项目的项目经理，提供项目经理无在建承诺书。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报价一览表.docx 报价函 标的清单 已标价的工程量清单.docx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响应⽂件的有效期</w:t>
            </w:r>
          </w:p>
        </w:tc>
        <w:tc>
          <w:tcPr>
            <w:tcW w:type="dxa" w:w="3322"/>
          </w:tcPr>
          <w:p>
            <w:pPr>
              <w:pStyle w:val="null3"/>
            </w:pPr>
            <w:r>
              <w:rPr>
                <w:rFonts w:ascii="仿宋_GB2312" w:hAnsi="仿宋_GB2312" w:cs="仿宋_GB2312" w:eastAsia="仿宋_GB2312"/>
              </w:rPr>
              <w:t>磋商响应⽂件递交截⽌之⽇起90⽇历天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响应⽂件的签署、盖章、有效性</w:t>
            </w:r>
          </w:p>
        </w:tc>
        <w:tc>
          <w:tcPr>
            <w:tcW w:type="dxa" w:w="3322"/>
          </w:tcPr>
          <w:p>
            <w:pPr>
              <w:pStyle w:val="null3"/>
            </w:pPr>
            <w:r>
              <w:rPr>
                <w:rFonts w:ascii="仿宋_GB2312" w:hAnsi="仿宋_GB2312" w:cs="仿宋_GB2312" w:eastAsia="仿宋_GB2312"/>
              </w:rPr>
              <w:t>响应交件按采购交件要求签署、盖章</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报价函 已标价的工程量清单.docx 技术服务合同条款及其他商务要求应答表 标的清单 资格证明材料.docx 项目实施方案.docx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一、评审内容：施工方案内容至少包括：①施工总平面布置图、施工进度表或施工网络图；②施工准备及进度安排;③施工方法；④重点难点工程分析及解决措施；⑤影响正常施工外在因素分析及对应预案等。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2、可实施性：切合本项目实际情况，提出步骤清晰、合理的方案；3、针对性：方案能够紧扣项目实际情况，内容科学合理。 上述5项评审内容全部满足评审标准得15分，每有一个评审内容缺项扣3分，每有一项评审内容存在缺陷，扣1分，扣完为止，不计负分。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2、可实施性：切合本项目实际情况，提出步骤清晰、合理的方案；3、针对性：方案能够紧扣项目实际情况，内容科学合理。 上述4项评审内容全部满足评审标准得12分，每有一个评审内容缺项扣3分，每有一项评审内容存在缺陷，扣1分，扣完为止，不计负分。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2、可实施性：切合本项目实际情况，提出步骤清晰、合理的方案；3、针对性：方案能够紧扣项目实际情况，内容科学合理。 上述4项评审内容全部满足评审标准得10分，每有一个评审内容缺项扣2.5分，每有一项评审内容存在缺陷，扣1分，扣完为止，不计负分。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 二、评审标准： 1、完善性：方案必须全面，对评审内容中的各项要求有详细阐述； 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一、评审内容：内容至少包括①项目成员配置清单②配备人员的资质证书及经验③人员组织结构与岗位职责④人员响应时间； 二、评审标准： 1、完善性：方案必须全面，对评审内容中的各项要求有详细阐述； 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项目组配备人员须提供相关人员证书等）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一、评审内容：内容至少包括①施工进度安排；②工期目标控制和保证措施；③材料供应措施；④成品、半成品保护监管措施等。二、评审标准： 1、完善性：方案必须全面，对评审内容中的各项要求有详细阐述； 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 二、评审标准： 1、完善性：方案必须全面，对评审内容中的各项要求有详细阐述； 2、可实施性：切合本项目实际情况，提出步骤清晰、合理的方案；3、针对性：方案能够紧扣项目实际情况，内容科学合理。 上述3项评审内容全部满足评审标准得9分，每有一个评审内容缺项扣3分，每有一项评审内容存在缺陷，扣0.5分，扣完为止，不计负分。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并进行价格评审。满足磋商文件实质性要求且最终报价最低的供应商的价格为磋商基准价，其价格分为满分30分。磋商报价得分=（磋商基准价/最终磋商报价）×30的公式计算得分。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已标价的工程量清单.docx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详见附件：已标价的工程量清单.docx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